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A8" w:rsidRPr="00AE3FC1" w:rsidRDefault="00FF27A4" w:rsidP="001678A8">
      <w:pPr>
        <w:spacing w:line="360" w:lineRule="auto"/>
        <w:jc w:val="center"/>
        <w:rPr>
          <w:rFonts w:asciiTheme="minorEastAsia" w:hAnsiTheme="minorEastAsia"/>
          <w:b/>
          <w:color w:val="000000" w:themeColor="text1"/>
          <w:sz w:val="28"/>
          <w:szCs w:val="28"/>
        </w:rPr>
      </w:pPr>
      <w:r w:rsidRPr="00AE3FC1">
        <w:rPr>
          <w:rFonts w:asciiTheme="minorEastAsia" w:hAnsiTheme="minorEastAsia" w:hint="eastAsia"/>
          <w:b/>
          <w:color w:val="000000" w:themeColor="text1"/>
          <w:sz w:val="28"/>
          <w:szCs w:val="28"/>
        </w:rPr>
        <w:t>太平基金管理有限公司</w:t>
      </w:r>
    </w:p>
    <w:p w:rsidR="001678A8" w:rsidRPr="00AE3FC1" w:rsidRDefault="00FF27A4" w:rsidP="001678A8">
      <w:pPr>
        <w:spacing w:line="360" w:lineRule="auto"/>
        <w:jc w:val="center"/>
        <w:rPr>
          <w:rFonts w:asciiTheme="minorEastAsia" w:hAnsiTheme="minorEastAsia"/>
          <w:b/>
          <w:color w:val="000000" w:themeColor="text1"/>
          <w:sz w:val="28"/>
          <w:szCs w:val="28"/>
        </w:rPr>
      </w:pPr>
      <w:r w:rsidRPr="00AE3FC1">
        <w:rPr>
          <w:rFonts w:asciiTheme="minorEastAsia" w:hAnsiTheme="minorEastAsia" w:hint="eastAsia"/>
          <w:b/>
          <w:color w:val="000000" w:themeColor="text1"/>
          <w:sz w:val="28"/>
          <w:szCs w:val="28"/>
        </w:rPr>
        <w:t>关于旗下基金增加</w:t>
      </w:r>
      <w:r w:rsidR="00B56395">
        <w:rPr>
          <w:rFonts w:asciiTheme="minorEastAsia" w:hAnsiTheme="minorEastAsia" w:hint="eastAsia"/>
          <w:b/>
          <w:color w:val="000000" w:themeColor="text1"/>
          <w:sz w:val="28"/>
          <w:szCs w:val="28"/>
        </w:rPr>
        <w:t>天风</w:t>
      </w:r>
      <w:r w:rsidR="00AD1FAE">
        <w:rPr>
          <w:rFonts w:asciiTheme="minorEastAsia" w:hAnsiTheme="minorEastAsia" w:hint="eastAsia"/>
          <w:b/>
          <w:color w:val="000000" w:themeColor="text1"/>
          <w:sz w:val="28"/>
          <w:szCs w:val="28"/>
        </w:rPr>
        <w:t>证券股份</w:t>
      </w:r>
      <w:r w:rsidR="002A7338" w:rsidRPr="002A7338">
        <w:rPr>
          <w:rFonts w:asciiTheme="minorEastAsia" w:hAnsiTheme="minorEastAsia" w:hint="eastAsia"/>
          <w:b/>
          <w:color w:val="000000" w:themeColor="text1"/>
          <w:sz w:val="28"/>
          <w:szCs w:val="28"/>
        </w:rPr>
        <w:t>有限公司</w:t>
      </w:r>
      <w:r w:rsidRPr="00AE3FC1">
        <w:rPr>
          <w:rFonts w:asciiTheme="minorEastAsia" w:hAnsiTheme="minorEastAsia" w:hint="eastAsia"/>
          <w:b/>
          <w:color w:val="000000" w:themeColor="text1"/>
          <w:sz w:val="28"/>
          <w:szCs w:val="28"/>
        </w:rPr>
        <w:t>为销售机构</w:t>
      </w:r>
    </w:p>
    <w:p w:rsidR="004C526F" w:rsidRPr="00AE3FC1" w:rsidRDefault="0083395B" w:rsidP="001678A8">
      <w:pPr>
        <w:spacing w:line="360" w:lineRule="auto"/>
        <w:jc w:val="center"/>
        <w:rPr>
          <w:rFonts w:asciiTheme="minorEastAsia" w:hAnsiTheme="minorEastAsia"/>
          <w:b/>
          <w:color w:val="000000" w:themeColor="text1"/>
          <w:sz w:val="28"/>
          <w:szCs w:val="28"/>
        </w:rPr>
      </w:pPr>
      <w:r w:rsidRPr="00AE3FC1">
        <w:rPr>
          <w:rFonts w:asciiTheme="minorEastAsia" w:hAnsiTheme="minorEastAsia" w:hint="eastAsia"/>
          <w:b/>
          <w:color w:val="000000" w:themeColor="text1"/>
          <w:sz w:val="28"/>
          <w:szCs w:val="28"/>
        </w:rPr>
        <w:t>并参加其费率优惠</w:t>
      </w:r>
      <w:r w:rsidR="00FF27A4" w:rsidRPr="00AE3FC1">
        <w:rPr>
          <w:rFonts w:asciiTheme="minorEastAsia" w:hAnsiTheme="minorEastAsia" w:hint="eastAsia"/>
          <w:b/>
          <w:color w:val="000000" w:themeColor="text1"/>
          <w:sz w:val="28"/>
          <w:szCs w:val="28"/>
        </w:rPr>
        <w:t>的公告</w:t>
      </w:r>
    </w:p>
    <w:p w:rsidR="004C526F" w:rsidRPr="00AE3FC1" w:rsidRDefault="004C526F">
      <w:pPr>
        <w:spacing w:line="360" w:lineRule="auto"/>
        <w:jc w:val="center"/>
        <w:rPr>
          <w:rFonts w:asciiTheme="minorEastAsia" w:hAnsiTheme="minorEastAsia"/>
          <w:b/>
          <w:color w:val="000000" w:themeColor="text1"/>
          <w:sz w:val="24"/>
          <w:szCs w:val="24"/>
        </w:rPr>
      </w:pPr>
    </w:p>
    <w:p w:rsidR="00C60F2A" w:rsidRPr="00AE3FC1" w:rsidRDefault="00FF27A4" w:rsidP="00D86772">
      <w:pPr>
        <w:spacing w:line="360" w:lineRule="auto"/>
        <w:ind w:firstLineChars="200" w:firstLine="480"/>
        <w:jc w:val="left"/>
        <w:rPr>
          <w:b/>
          <w:color w:val="000000" w:themeColor="text1"/>
          <w:sz w:val="32"/>
        </w:rPr>
      </w:pPr>
      <w:r w:rsidRPr="00AE3FC1">
        <w:rPr>
          <w:rFonts w:asciiTheme="minorEastAsia" w:hAnsiTheme="minorEastAsia" w:hint="eastAsia"/>
          <w:color w:val="000000" w:themeColor="text1"/>
          <w:sz w:val="24"/>
          <w:szCs w:val="24"/>
        </w:rPr>
        <w:t>为了更好地满足广大投资者的理财需求，根据太平基金管理有限公司（以下简称“本公司”）与</w:t>
      </w:r>
      <w:r w:rsidR="00B56395">
        <w:rPr>
          <w:rFonts w:asciiTheme="minorEastAsia" w:hAnsiTheme="minorEastAsia" w:hint="eastAsia"/>
          <w:color w:val="000000" w:themeColor="text1"/>
          <w:sz w:val="24"/>
          <w:szCs w:val="24"/>
        </w:rPr>
        <w:t>天风</w:t>
      </w:r>
      <w:r w:rsidR="00AD1FAE" w:rsidRPr="00AD1FAE">
        <w:rPr>
          <w:rFonts w:asciiTheme="minorEastAsia" w:hAnsiTheme="minorEastAsia" w:hint="eastAsia"/>
          <w:color w:val="000000" w:themeColor="text1"/>
          <w:sz w:val="24"/>
          <w:szCs w:val="24"/>
        </w:rPr>
        <w:t>证券股份有限公司</w:t>
      </w:r>
      <w:r w:rsidRPr="00AE3FC1">
        <w:rPr>
          <w:rFonts w:asciiTheme="minorEastAsia" w:hAnsiTheme="minorEastAsia" w:hint="eastAsia"/>
          <w:color w:val="000000" w:themeColor="text1"/>
          <w:sz w:val="24"/>
          <w:szCs w:val="24"/>
        </w:rPr>
        <w:t>（以下简称“</w:t>
      </w:r>
      <w:r w:rsidR="00B56395">
        <w:rPr>
          <w:rFonts w:asciiTheme="minorEastAsia" w:hAnsiTheme="minorEastAsia" w:hint="eastAsia"/>
          <w:color w:val="000000" w:themeColor="text1"/>
          <w:sz w:val="24"/>
          <w:szCs w:val="24"/>
        </w:rPr>
        <w:t>天风</w:t>
      </w:r>
      <w:r w:rsidR="00AD1FAE">
        <w:rPr>
          <w:rFonts w:asciiTheme="minorEastAsia" w:hAnsiTheme="minorEastAsia" w:hint="eastAsia"/>
          <w:color w:val="000000" w:themeColor="text1"/>
          <w:sz w:val="24"/>
          <w:szCs w:val="24"/>
        </w:rPr>
        <w:t>证券</w:t>
      </w:r>
      <w:r w:rsidRPr="00AE3FC1">
        <w:rPr>
          <w:rFonts w:asciiTheme="minorEastAsia" w:hAnsiTheme="minorEastAsia" w:hint="eastAsia"/>
          <w:color w:val="000000" w:themeColor="text1"/>
          <w:sz w:val="24"/>
          <w:szCs w:val="24"/>
        </w:rPr>
        <w:t>”）签署的相关销售协议，自</w:t>
      </w:r>
      <w:r w:rsidR="00CB1557" w:rsidRPr="00AE3FC1">
        <w:rPr>
          <w:rFonts w:asciiTheme="minorEastAsia" w:hAnsiTheme="minorEastAsia"/>
          <w:color w:val="000000" w:themeColor="text1"/>
          <w:sz w:val="24"/>
          <w:szCs w:val="24"/>
        </w:rPr>
        <w:t>2</w:t>
      </w:r>
      <w:r w:rsidR="00CB1557" w:rsidRPr="00AE3FC1">
        <w:rPr>
          <w:rFonts w:asciiTheme="minorEastAsia" w:hAnsiTheme="minorEastAsia" w:hint="eastAsia"/>
          <w:color w:val="000000" w:themeColor="text1"/>
          <w:sz w:val="24"/>
          <w:szCs w:val="24"/>
        </w:rPr>
        <w:t>02</w:t>
      </w:r>
      <w:r w:rsidR="00B56395">
        <w:rPr>
          <w:rFonts w:asciiTheme="minorEastAsia" w:hAnsiTheme="minorEastAsia" w:hint="eastAsia"/>
          <w:color w:val="000000" w:themeColor="text1"/>
          <w:sz w:val="24"/>
          <w:szCs w:val="24"/>
        </w:rPr>
        <w:t>5</w:t>
      </w:r>
      <w:r w:rsidR="00CB1557" w:rsidRPr="00AE3FC1">
        <w:rPr>
          <w:rFonts w:asciiTheme="minorEastAsia" w:hAnsiTheme="minorEastAsia"/>
          <w:color w:val="000000" w:themeColor="text1"/>
          <w:sz w:val="24"/>
          <w:szCs w:val="24"/>
        </w:rPr>
        <w:t>年</w:t>
      </w:r>
      <w:r w:rsidR="00B56395">
        <w:rPr>
          <w:rFonts w:asciiTheme="minorEastAsia" w:hAnsiTheme="minorEastAsia" w:hint="eastAsia"/>
          <w:color w:val="000000" w:themeColor="text1"/>
          <w:sz w:val="24"/>
          <w:szCs w:val="24"/>
        </w:rPr>
        <w:t>6</w:t>
      </w:r>
      <w:r w:rsidR="00835B17" w:rsidRPr="00AE3FC1">
        <w:rPr>
          <w:rFonts w:asciiTheme="minorEastAsia" w:hAnsiTheme="minorEastAsia" w:hint="eastAsia"/>
          <w:color w:val="000000" w:themeColor="text1"/>
          <w:sz w:val="24"/>
          <w:szCs w:val="24"/>
        </w:rPr>
        <w:t>月</w:t>
      </w:r>
      <w:r w:rsidR="00B56395">
        <w:rPr>
          <w:rFonts w:asciiTheme="minorEastAsia" w:hAnsiTheme="minorEastAsia" w:hint="eastAsia"/>
          <w:color w:val="000000" w:themeColor="text1"/>
          <w:sz w:val="24"/>
          <w:szCs w:val="24"/>
        </w:rPr>
        <w:t>6</w:t>
      </w:r>
      <w:r w:rsidR="00835B17" w:rsidRPr="00AE3FC1">
        <w:rPr>
          <w:rFonts w:asciiTheme="minorEastAsia" w:hAnsiTheme="minorEastAsia" w:hint="eastAsia"/>
          <w:color w:val="000000" w:themeColor="text1"/>
          <w:sz w:val="24"/>
          <w:szCs w:val="24"/>
        </w:rPr>
        <w:t>日</w:t>
      </w:r>
      <w:r w:rsidRPr="00AE3FC1">
        <w:rPr>
          <w:rFonts w:asciiTheme="minorEastAsia" w:hAnsiTheme="minorEastAsia" w:hint="eastAsia"/>
          <w:color w:val="000000" w:themeColor="text1"/>
          <w:sz w:val="24"/>
          <w:szCs w:val="24"/>
        </w:rPr>
        <w:t>起，本公司</w:t>
      </w:r>
      <w:r w:rsidR="00C60F2A" w:rsidRPr="00AE3FC1">
        <w:rPr>
          <w:rFonts w:asciiTheme="minorEastAsia" w:hAnsiTheme="minorEastAsia" w:hint="eastAsia"/>
          <w:color w:val="000000" w:themeColor="text1"/>
          <w:sz w:val="24"/>
          <w:szCs w:val="24"/>
        </w:rPr>
        <w:t>增加</w:t>
      </w:r>
      <w:r w:rsidR="00F72765">
        <w:rPr>
          <w:rFonts w:asciiTheme="minorEastAsia" w:hAnsiTheme="minorEastAsia" w:hint="eastAsia"/>
          <w:color w:val="000000" w:themeColor="text1"/>
          <w:sz w:val="24"/>
          <w:szCs w:val="24"/>
        </w:rPr>
        <w:t>天风</w:t>
      </w:r>
      <w:r w:rsidR="00AD1FAE">
        <w:rPr>
          <w:rFonts w:asciiTheme="minorEastAsia" w:hAnsiTheme="minorEastAsia" w:hint="eastAsia"/>
          <w:color w:val="000000" w:themeColor="text1"/>
          <w:sz w:val="24"/>
          <w:szCs w:val="24"/>
        </w:rPr>
        <w:t>证券</w:t>
      </w:r>
      <w:r w:rsidR="00C60F2A" w:rsidRPr="00AE3FC1">
        <w:rPr>
          <w:rFonts w:asciiTheme="minorEastAsia" w:hAnsiTheme="minorEastAsia" w:hint="eastAsia"/>
          <w:color w:val="000000" w:themeColor="text1"/>
          <w:sz w:val="24"/>
          <w:szCs w:val="24"/>
        </w:rPr>
        <w:t>为销售机构并参加其费率优惠，具体基金为：</w:t>
      </w:r>
    </w:p>
    <w:p w:rsidR="00B56395" w:rsidRPr="002F3A84" w:rsidRDefault="00B56395" w:rsidP="00B56395">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太平日日金货币市场基金（基金简称：太平日日金；A类份额基金代码：003398，B类份额基金代码：003399）；</w:t>
      </w:r>
    </w:p>
    <w:p w:rsidR="00B56395" w:rsidRPr="002F3A84" w:rsidRDefault="00B56395" w:rsidP="00B56395">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太平日日鑫货币市场基金（基金简称：太平日日鑫；A类份额基金代码：004330，B类份额基金代码：004331）；</w:t>
      </w:r>
    </w:p>
    <w:p w:rsidR="00B56395" w:rsidRPr="002F3A84" w:rsidRDefault="00B56395" w:rsidP="00B56395">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太平睿盈混合型证券投资基金（基金简称：太平睿盈混合；A类份额基金代码：006973，C类份额基金代码：007669）</w:t>
      </w:r>
      <w:bookmarkStart w:id="0" w:name="_Hlk61803015"/>
      <w:r w:rsidRPr="002F3A84">
        <w:rPr>
          <w:rFonts w:asciiTheme="minorEastAsia" w:hAnsiTheme="minorEastAsia" w:hint="eastAsia"/>
          <w:color w:val="000000" w:themeColor="text1"/>
          <w:sz w:val="24"/>
          <w:szCs w:val="24"/>
        </w:rPr>
        <w:t>；</w:t>
      </w:r>
    </w:p>
    <w:bookmarkEnd w:id="0"/>
    <w:p w:rsidR="00B56395" w:rsidRPr="002F3A84" w:rsidRDefault="00B56395" w:rsidP="00B56395">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太平睿享混合型证券投资基金（基金简称：太平睿享，A类份额：013260，C类份额：013261）</w:t>
      </w:r>
    </w:p>
    <w:p w:rsidR="00B56395" w:rsidRPr="002F3A84" w:rsidRDefault="00B56395" w:rsidP="00B56395">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太平恒安三个月定期开放债券型证券投资基金（基金简称：太平恒安三个月定开债；基金代码：007545）；</w:t>
      </w:r>
    </w:p>
    <w:p w:rsidR="00B56395" w:rsidRPr="002F3A84" w:rsidRDefault="00B56395" w:rsidP="00B56395">
      <w:pPr>
        <w:spacing w:line="360" w:lineRule="auto"/>
        <w:ind w:firstLine="601"/>
        <w:jc w:val="left"/>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太平MSCI香港价值增强指数证券投资基金（基金简称：太平MSCI香港价值增强；A类份额：007107 C类份额：007108）</w:t>
      </w:r>
    </w:p>
    <w:p w:rsidR="00B56395" w:rsidRPr="002F3A84" w:rsidRDefault="00B56395" w:rsidP="00B56395">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太平改革红利精选灵活配置混合型证券投资基金（基金简称：太平改革红利精选混合；基金代码：</w:t>
      </w:r>
      <w:r w:rsidRPr="002F3A84">
        <w:rPr>
          <w:rFonts w:asciiTheme="minorEastAsia" w:hAnsiTheme="minorEastAsia"/>
          <w:color w:val="000000" w:themeColor="text1"/>
          <w:sz w:val="24"/>
          <w:szCs w:val="24"/>
        </w:rPr>
        <w:t>005270</w:t>
      </w:r>
      <w:r w:rsidRPr="002F3A84">
        <w:rPr>
          <w:rFonts w:asciiTheme="minorEastAsia" w:hAnsiTheme="minorEastAsia" w:hint="eastAsia"/>
          <w:color w:val="000000" w:themeColor="text1"/>
          <w:sz w:val="24"/>
          <w:szCs w:val="24"/>
        </w:rPr>
        <w:t>）</w:t>
      </w:r>
    </w:p>
    <w:p w:rsidR="00B56395" w:rsidRPr="002F3A84" w:rsidRDefault="00B56395" w:rsidP="00B56395">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太平恒兴纯债债券型证券投资基金（基金简称：太平恒兴纯债；基金代码：</w:t>
      </w:r>
      <w:r w:rsidRPr="002F3A84">
        <w:rPr>
          <w:rFonts w:asciiTheme="minorEastAsia" w:hAnsiTheme="minorEastAsia"/>
          <w:color w:val="000000" w:themeColor="text1"/>
          <w:sz w:val="24"/>
          <w:szCs w:val="24"/>
        </w:rPr>
        <w:t>014055</w:t>
      </w:r>
      <w:r w:rsidRPr="002F3A84">
        <w:rPr>
          <w:rFonts w:asciiTheme="minorEastAsia" w:hAnsiTheme="minorEastAsia" w:hint="eastAsia"/>
          <w:color w:val="000000" w:themeColor="text1"/>
          <w:sz w:val="24"/>
          <w:szCs w:val="24"/>
        </w:rPr>
        <w:t>）</w:t>
      </w:r>
    </w:p>
    <w:p w:rsidR="00B56395" w:rsidRPr="002F3A84" w:rsidRDefault="00B56395" w:rsidP="00B56395">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太平中证1000指数增强型证券投资基金（基金简称：太平中证1000指数增强；A类份额：</w:t>
      </w:r>
      <w:r w:rsidRPr="002F3A84">
        <w:rPr>
          <w:rFonts w:asciiTheme="minorEastAsia" w:hAnsiTheme="minorEastAsia"/>
          <w:color w:val="000000" w:themeColor="text1"/>
          <w:sz w:val="24"/>
          <w:szCs w:val="24"/>
        </w:rPr>
        <w:t>015466</w:t>
      </w:r>
      <w:r w:rsidRPr="002F3A84">
        <w:rPr>
          <w:rFonts w:asciiTheme="minorEastAsia" w:hAnsiTheme="minorEastAsia" w:hint="eastAsia"/>
          <w:color w:val="000000" w:themeColor="text1"/>
          <w:sz w:val="24"/>
          <w:szCs w:val="24"/>
        </w:rPr>
        <w:t>，C类份额：</w:t>
      </w:r>
      <w:r w:rsidRPr="002F3A84">
        <w:rPr>
          <w:rFonts w:asciiTheme="minorEastAsia" w:hAnsiTheme="minorEastAsia"/>
          <w:color w:val="000000" w:themeColor="text1"/>
          <w:sz w:val="24"/>
          <w:szCs w:val="24"/>
        </w:rPr>
        <w:t xml:space="preserve"> 015467</w:t>
      </w:r>
      <w:r w:rsidRPr="002F3A84">
        <w:rPr>
          <w:rFonts w:asciiTheme="minorEastAsia" w:hAnsiTheme="minorEastAsia" w:hint="eastAsia"/>
          <w:color w:val="000000" w:themeColor="text1"/>
          <w:sz w:val="24"/>
          <w:szCs w:val="24"/>
        </w:rPr>
        <w:t>）</w:t>
      </w:r>
    </w:p>
    <w:p w:rsidR="00B56395" w:rsidRPr="002F3A84" w:rsidRDefault="00B56395" w:rsidP="00B56395">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太平中证同业存单AAA指数7天持有期证券投资基金（基金简称：太平中证同业存单AAA指数7天持有；基金代码：017563）</w:t>
      </w:r>
    </w:p>
    <w:p w:rsidR="00B56395" w:rsidRPr="002F3A84" w:rsidRDefault="00B56395" w:rsidP="00B56395">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lastRenderedPageBreak/>
        <w:t>太平嘉和三个月定期开放债券型发起式证券投资基金（基金简称：太平嘉和三个月定开债发起；基金代码：015959）</w:t>
      </w:r>
    </w:p>
    <w:p w:rsidR="00B56395" w:rsidRPr="00AE3FC1" w:rsidRDefault="00B56395" w:rsidP="00B56395">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太平消费升级一年持有期混合型证券投资基金</w:t>
      </w:r>
      <w:r w:rsidRPr="002F3A84">
        <w:rPr>
          <w:rFonts w:asciiTheme="minorEastAsia" w:hAnsiTheme="minorEastAsia" w:hint="eastAsia"/>
          <w:color w:val="000000" w:themeColor="text1"/>
          <w:sz w:val="24"/>
          <w:szCs w:val="24"/>
        </w:rPr>
        <w:tab/>
        <w:t>（基金简称：太平消费升级一年持有；A类份额：</w:t>
      </w:r>
      <w:r w:rsidRPr="002F3A84">
        <w:rPr>
          <w:rFonts w:asciiTheme="minorEastAsia" w:hAnsiTheme="minorEastAsia"/>
          <w:color w:val="000000" w:themeColor="text1"/>
          <w:sz w:val="24"/>
          <w:szCs w:val="24"/>
        </w:rPr>
        <w:t>016378</w:t>
      </w:r>
      <w:r w:rsidRPr="002F3A84">
        <w:rPr>
          <w:rFonts w:asciiTheme="minorEastAsia" w:hAnsiTheme="minorEastAsia" w:hint="eastAsia"/>
          <w:color w:val="000000" w:themeColor="text1"/>
          <w:sz w:val="24"/>
          <w:szCs w:val="24"/>
        </w:rPr>
        <w:t>，C类份额：</w:t>
      </w:r>
      <w:r w:rsidRPr="002F3A84">
        <w:rPr>
          <w:rFonts w:asciiTheme="minorEastAsia" w:hAnsiTheme="minorEastAsia"/>
          <w:color w:val="000000" w:themeColor="text1"/>
          <w:sz w:val="24"/>
          <w:szCs w:val="24"/>
        </w:rPr>
        <w:t>016379</w:t>
      </w:r>
      <w:r w:rsidRPr="002F3A84">
        <w:rPr>
          <w:rFonts w:asciiTheme="minorEastAsia" w:hAnsiTheme="minorEastAsia" w:hint="eastAsia"/>
          <w:color w:val="000000" w:themeColor="text1"/>
          <w:sz w:val="24"/>
          <w:szCs w:val="24"/>
        </w:rPr>
        <w:t>）</w:t>
      </w:r>
    </w:p>
    <w:p w:rsidR="00B56395" w:rsidRDefault="00B56395" w:rsidP="00B56395">
      <w:pPr>
        <w:spacing w:line="360" w:lineRule="auto"/>
        <w:ind w:firstLine="601"/>
        <w:outlineLvl w:val="0"/>
        <w:rPr>
          <w:rFonts w:asciiTheme="minorEastAsia" w:hAnsiTheme="minorEastAsia"/>
          <w:color w:val="000000" w:themeColor="text1"/>
          <w:sz w:val="24"/>
          <w:szCs w:val="24"/>
        </w:rPr>
      </w:pPr>
      <w:r w:rsidRPr="003D6830">
        <w:rPr>
          <w:rFonts w:asciiTheme="minorEastAsia" w:hAnsiTheme="minorEastAsia" w:hint="eastAsia"/>
          <w:color w:val="000000" w:themeColor="text1"/>
          <w:sz w:val="24"/>
          <w:szCs w:val="24"/>
        </w:rPr>
        <w:t>太平中证红利指数型证券投资基金（</w:t>
      </w:r>
      <w:r w:rsidRPr="002F3A84">
        <w:rPr>
          <w:rFonts w:asciiTheme="minorEastAsia" w:hAnsiTheme="minorEastAsia" w:hint="eastAsia"/>
          <w:color w:val="000000" w:themeColor="text1"/>
          <w:sz w:val="24"/>
          <w:szCs w:val="24"/>
        </w:rPr>
        <w:t>基金简称：</w:t>
      </w:r>
      <w:r w:rsidRPr="003D6830">
        <w:rPr>
          <w:rFonts w:asciiTheme="minorEastAsia" w:hAnsiTheme="minorEastAsia" w:hint="eastAsia"/>
          <w:color w:val="000000" w:themeColor="text1"/>
          <w:sz w:val="24"/>
          <w:szCs w:val="24"/>
        </w:rPr>
        <w:t>太平中证红利指数</w:t>
      </w:r>
      <w:r w:rsidRPr="002F3A84">
        <w:rPr>
          <w:rFonts w:asciiTheme="minorEastAsia" w:hAnsiTheme="minorEastAsia" w:hint="eastAsia"/>
          <w:color w:val="000000" w:themeColor="text1"/>
          <w:sz w:val="24"/>
          <w:szCs w:val="24"/>
        </w:rPr>
        <w:t>；A类份额：</w:t>
      </w:r>
      <w:r w:rsidRPr="003D6830">
        <w:rPr>
          <w:rFonts w:asciiTheme="minorEastAsia" w:hAnsiTheme="minorEastAsia" w:hint="eastAsia"/>
          <w:color w:val="000000" w:themeColor="text1"/>
          <w:sz w:val="24"/>
          <w:szCs w:val="24"/>
        </w:rPr>
        <w:t>023182</w:t>
      </w:r>
      <w:r w:rsidRPr="002F3A84">
        <w:rPr>
          <w:rFonts w:asciiTheme="minorEastAsia" w:hAnsiTheme="minorEastAsia" w:hint="eastAsia"/>
          <w:color w:val="000000" w:themeColor="text1"/>
          <w:sz w:val="24"/>
          <w:szCs w:val="24"/>
        </w:rPr>
        <w:t>，C类份额：</w:t>
      </w:r>
      <w:r w:rsidRPr="003D6830">
        <w:rPr>
          <w:rFonts w:asciiTheme="minorEastAsia" w:hAnsiTheme="minorEastAsia" w:hint="eastAsia"/>
          <w:color w:val="000000" w:themeColor="text1"/>
          <w:sz w:val="24"/>
          <w:szCs w:val="24"/>
        </w:rPr>
        <w:t>023183</w:t>
      </w:r>
      <w:r w:rsidRPr="002F3A84">
        <w:rPr>
          <w:rFonts w:asciiTheme="minorEastAsia" w:hAnsiTheme="minorEastAsia" w:hint="eastAsia"/>
          <w:color w:val="000000" w:themeColor="text1"/>
          <w:sz w:val="24"/>
          <w:szCs w:val="24"/>
        </w:rPr>
        <w:t>）</w:t>
      </w:r>
    </w:p>
    <w:p w:rsidR="00B56395" w:rsidRPr="003D6830" w:rsidRDefault="00B56395" w:rsidP="00B56395">
      <w:pPr>
        <w:spacing w:line="360" w:lineRule="auto"/>
        <w:ind w:firstLine="601"/>
        <w:outlineLvl w:val="0"/>
        <w:rPr>
          <w:rFonts w:asciiTheme="minorEastAsia" w:hAnsiTheme="minorEastAsia"/>
          <w:color w:val="000000" w:themeColor="text1"/>
          <w:sz w:val="24"/>
          <w:szCs w:val="24"/>
        </w:rPr>
      </w:pPr>
      <w:r w:rsidRPr="003D6830">
        <w:rPr>
          <w:rFonts w:asciiTheme="minorEastAsia" w:hAnsiTheme="minorEastAsia" w:hint="eastAsia"/>
          <w:color w:val="000000" w:themeColor="text1"/>
          <w:sz w:val="24"/>
          <w:szCs w:val="24"/>
        </w:rPr>
        <w:t>太平中证A500指数增强型证券投资基金(</w:t>
      </w:r>
      <w:r w:rsidRPr="002F3A84">
        <w:rPr>
          <w:rFonts w:asciiTheme="minorEastAsia" w:hAnsiTheme="minorEastAsia" w:hint="eastAsia"/>
          <w:color w:val="000000" w:themeColor="text1"/>
          <w:sz w:val="24"/>
          <w:szCs w:val="24"/>
        </w:rPr>
        <w:t>基金简称：</w:t>
      </w:r>
      <w:r w:rsidRPr="003D6830">
        <w:rPr>
          <w:rFonts w:asciiTheme="minorEastAsia" w:hAnsiTheme="minorEastAsia"/>
          <w:color w:val="000000" w:themeColor="text1"/>
          <w:sz w:val="24"/>
          <w:szCs w:val="24"/>
        </w:rPr>
        <w:t>太平中证A500指数增强</w:t>
      </w:r>
      <w:r w:rsidRPr="002F3A84">
        <w:rPr>
          <w:rFonts w:asciiTheme="minorEastAsia" w:hAnsiTheme="minorEastAsia" w:hint="eastAsia"/>
          <w:color w:val="000000" w:themeColor="text1"/>
          <w:sz w:val="24"/>
          <w:szCs w:val="24"/>
        </w:rPr>
        <w:t>；A类份额：</w:t>
      </w:r>
      <w:r w:rsidRPr="003D6830">
        <w:rPr>
          <w:rFonts w:asciiTheme="minorEastAsia" w:hAnsiTheme="minorEastAsia" w:hint="eastAsia"/>
          <w:color w:val="000000" w:themeColor="text1"/>
          <w:sz w:val="24"/>
          <w:szCs w:val="24"/>
        </w:rPr>
        <w:t>023473</w:t>
      </w:r>
      <w:r w:rsidRPr="002F3A84">
        <w:rPr>
          <w:rFonts w:asciiTheme="minorEastAsia" w:hAnsiTheme="minorEastAsia" w:hint="eastAsia"/>
          <w:color w:val="000000" w:themeColor="text1"/>
          <w:sz w:val="24"/>
          <w:szCs w:val="24"/>
        </w:rPr>
        <w:t>，C类份额：</w:t>
      </w:r>
      <w:r w:rsidRPr="003D6830">
        <w:rPr>
          <w:rFonts w:asciiTheme="minorEastAsia" w:hAnsiTheme="minorEastAsia" w:hint="eastAsia"/>
          <w:color w:val="000000" w:themeColor="text1"/>
          <w:sz w:val="24"/>
          <w:szCs w:val="24"/>
        </w:rPr>
        <w:t>023474</w:t>
      </w:r>
      <w:r w:rsidRPr="002F3A84">
        <w:rPr>
          <w:rFonts w:asciiTheme="minorEastAsia" w:hAnsiTheme="minorEastAsia" w:hint="eastAsia"/>
          <w:color w:val="000000" w:themeColor="text1"/>
          <w:sz w:val="24"/>
          <w:szCs w:val="24"/>
        </w:rPr>
        <w:t>）</w:t>
      </w:r>
    </w:p>
    <w:p w:rsidR="00B56395" w:rsidRPr="00B56395" w:rsidRDefault="00B56395" w:rsidP="00C66189">
      <w:pPr>
        <w:spacing w:line="360" w:lineRule="auto"/>
        <w:ind w:firstLine="601"/>
        <w:outlineLvl w:val="0"/>
        <w:rPr>
          <w:rFonts w:asciiTheme="minorEastAsia" w:hAnsiTheme="minorEastAsia"/>
          <w:color w:val="000000" w:themeColor="text1"/>
          <w:sz w:val="24"/>
          <w:szCs w:val="24"/>
        </w:rPr>
      </w:pPr>
    </w:p>
    <w:p w:rsidR="00EB402C" w:rsidRPr="00AE3FC1" w:rsidRDefault="00EB402C" w:rsidP="00EB402C">
      <w:pPr>
        <w:spacing w:line="360" w:lineRule="auto"/>
        <w:ind w:firstLine="601"/>
        <w:outlineLvl w:val="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 xml:space="preserve">现就有关事项公告如下： </w:t>
      </w:r>
    </w:p>
    <w:p w:rsidR="00EB402C" w:rsidRPr="00EB402C" w:rsidRDefault="00EB402C" w:rsidP="00EB402C">
      <w:pPr>
        <w:spacing w:line="360" w:lineRule="auto"/>
        <w:outlineLvl w:val="0"/>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一、适用业务范围</w:t>
      </w:r>
    </w:p>
    <w:p w:rsidR="004C526F" w:rsidRPr="00AE3FC1" w:rsidRDefault="00CB1557">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202</w:t>
      </w:r>
      <w:r w:rsidR="00B56395">
        <w:rPr>
          <w:rFonts w:asciiTheme="minorEastAsia" w:hAnsiTheme="minorEastAsia" w:hint="eastAsia"/>
          <w:color w:val="000000" w:themeColor="text1"/>
          <w:sz w:val="24"/>
          <w:szCs w:val="24"/>
        </w:rPr>
        <w:t>5</w:t>
      </w:r>
      <w:r w:rsidRPr="00AE3FC1">
        <w:rPr>
          <w:rFonts w:asciiTheme="minorEastAsia" w:hAnsiTheme="minorEastAsia" w:hint="eastAsia"/>
          <w:color w:val="000000" w:themeColor="text1"/>
          <w:sz w:val="24"/>
          <w:szCs w:val="24"/>
        </w:rPr>
        <w:t>年</w:t>
      </w:r>
      <w:r w:rsidR="00B56395">
        <w:rPr>
          <w:rFonts w:asciiTheme="minorEastAsia" w:hAnsiTheme="minorEastAsia" w:hint="eastAsia"/>
          <w:color w:val="000000" w:themeColor="text1"/>
          <w:sz w:val="24"/>
          <w:szCs w:val="24"/>
        </w:rPr>
        <w:t>6</w:t>
      </w:r>
      <w:r w:rsidR="00835B17" w:rsidRPr="00AE3FC1">
        <w:rPr>
          <w:rFonts w:asciiTheme="minorEastAsia" w:hAnsiTheme="minorEastAsia" w:hint="eastAsia"/>
          <w:color w:val="000000" w:themeColor="text1"/>
          <w:sz w:val="24"/>
          <w:szCs w:val="24"/>
        </w:rPr>
        <w:t>月</w:t>
      </w:r>
      <w:r w:rsidR="00B56395">
        <w:rPr>
          <w:rFonts w:asciiTheme="minorEastAsia" w:hAnsiTheme="minorEastAsia" w:hint="eastAsia"/>
          <w:color w:val="000000" w:themeColor="text1"/>
          <w:sz w:val="24"/>
          <w:szCs w:val="24"/>
        </w:rPr>
        <w:t>6</w:t>
      </w:r>
      <w:r w:rsidR="00835B17" w:rsidRPr="00AE3FC1">
        <w:rPr>
          <w:rFonts w:asciiTheme="minorEastAsia" w:hAnsiTheme="minorEastAsia" w:hint="eastAsia"/>
          <w:color w:val="000000" w:themeColor="text1"/>
          <w:sz w:val="24"/>
          <w:szCs w:val="24"/>
        </w:rPr>
        <w:t>日</w:t>
      </w:r>
      <w:r w:rsidR="00FF27A4" w:rsidRPr="00AE3FC1">
        <w:rPr>
          <w:rFonts w:asciiTheme="minorEastAsia" w:hAnsiTheme="minorEastAsia" w:hint="eastAsia"/>
          <w:color w:val="000000" w:themeColor="text1"/>
          <w:sz w:val="24"/>
          <w:szCs w:val="24"/>
        </w:rPr>
        <w:t>起，投资者可通过</w:t>
      </w:r>
      <w:r w:rsidR="00B56395">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w:t>
      </w:r>
      <w:r w:rsidR="00D343C2" w:rsidRPr="00AE3FC1">
        <w:rPr>
          <w:rFonts w:asciiTheme="minorEastAsia" w:hAnsiTheme="minorEastAsia" w:hint="eastAsia"/>
          <w:color w:val="000000" w:themeColor="text1"/>
          <w:sz w:val="24"/>
          <w:szCs w:val="24"/>
        </w:rPr>
        <w:t>相关渠道办理</w:t>
      </w:r>
      <w:r w:rsidR="00AD5C64">
        <w:rPr>
          <w:rFonts w:asciiTheme="minorEastAsia" w:hAnsiTheme="minorEastAsia" w:hint="eastAsia"/>
          <w:color w:val="000000" w:themeColor="text1"/>
          <w:sz w:val="24"/>
          <w:szCs w:val="24"/>
        </w:rPr>
        <w:t>上述基金产品</w:t>
      </w:r>
      <w:r w:rsidR="00FF27A4" w:rsidRPr="00AE3FC1">
        <w:rPr>
          <w:rFonts w:asciiTheme="minorEastAsia" w:hAnsiTheme="minorEastAsia" w:hint="eastAsia"/>
          <w:color w:val="000000" w:themeColor="text1"/>
          <w:sz w:val="24"/>
          <w:szCs w:val="24"/>
        </w:rPr>
        <w:t>的</w:t>
      </w:r>
      <w:r w:rsidR="00A34229" w:rsidRPr="00AE3FC1">
        <w:rPr>
          <w:rFonts w:asciiTheme="minorEastAsia" w:hAnsiTheme="minorEastAsia" w:hint="eastAsia"/>
          <w:color w:val="000000" w:themeColor="text1"/>
          <w:sz w:val="24"/>
          <w:szCs w:val="24"/>
        </w:rPr>
        <w:t>认购、</w:t>
      </w:r>
      <w:r w:rsidR="00FF27A4" w:rsidRPr="00AE3FC1">
        <w:rPr>
          <w:rFonts w:asciiTheme="minorEastAsia" w:hAnsiTheme="minorEastAsia" w:hint="eastAsia"/>
          <w:color w:val="000000" w:themeColor="text1"/>
          <w:sz w:val="24"/>
          <w:szCs w:val="24"/>
        </w:rPr>
        <w:t>申购、赎回、转换、定期定额投资等相关销售业务</w:t>
      </w:r>
      <w:r w:rsidR="00B15E67" w:rsidRPr="00AE3FC1">
        <w:rPr>
          <w:rFonts w:asciiTheme="minorEastAsia" w:hAnsiTheme="minorEastAsia" w:hint="eastAsia"/>
          <w:color w:val="000000" w:themeColor="text1"/>
          <w:sz w:val="24"/>
          <w:szCs w:val="24"/>
        </w:rPr>
        <w:t>。</w:t>
      </w:r>
    </w:p>
    <w:p w:rsidR="004C526F" w:rsidRPr="00AE3FC1" w:rsidRDefault="004C526F">
      <w:pPr>
        <w:spacing w:line="360" w:lineRule="auto"/>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二、定期定额投资业务及其规则</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定期定额投资业务”是指投资者可通过基金管理人指定的销售机构提交申请，约定每期扣款时间、扣款金额及扣款方式，由销售机构于每期约定扣款日在投资者指定资金账户内自动完成扣款，并提交基金申购申请的一种长期投资方式。</w:t>
      </w:r>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1、扣款日期和扣款金额</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投资者办理定期定额投资业务前，须指定一个有效资金账户作为每期固定扣款账户，并经办理本业务的销售机构认可。投资者须遵循</w:t>
      </w:r>
      <w:r w:rsidR="00F72765">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w:t>
      </w:r>
      <w:r w:rsidRPr="00AE3FC1">
        <w:rPr>
          <w:rFonts w:asciiTheme="minorEastAsia" w:hAnsiTheme="minorEastAsia" w:hint="eastAsia"/>
          <w:color w:val="000000" w:themeColor="text1"/>
          <w:sz w:val="24"/>
          <w:szCs w:val="24"/>
        </w:rPr>
        <w:t>有关规定，并与</w:t>
      </w:r>
      <w:r w:rsidR="00F72765">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w:t>
      </w:r>
      <w:r w:rsidRPr="00AE3FC1">
        <w:rPr>
          <w:rFonts w:asciiTheme="minorEastAsia" w:hAnsiTheme="minorEastAsia" w:hint="eastAsia"/>
          <w:color w:val="000000" w:themeColor="text1"/>
          <w:sz w:val="24"/>
          <w:szCs w:val="24"/>
        </w:rPr>
        <w:t>约定每期扣款日期及固定扣款金额。</w:t>
      </w:r>
    </w:p>
    <w:p w:rsidR="004C526F" w:rsidRPr="00AE3FC1" w:rsidRDefault="008D5E78">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上述</w:t>
      </w:r>
      <w:r w:rsidR="00EE1D7E" w:rsidRPr="00AE3FC1">
        <w:rPr>
          <w:rFonts w:asciiTheme="minorEastAsia" w:hAnsiTheme="minorEastAsia" w:hint="eastAsia"/>
          <w:color w:val="000000" w:themeColor="text1"/>
          <w:sz w:val="24"/>
          <w:szCs w:val="24"/>
        </w:rPr>
        <w:t>基金产品</w:t>
      </w:r>
      <w:r w:rsidR="00FF27A4" w:rsidRPr="00AE3FC1">
        <w:rPr>
          <w:rFonts w:asciiTheme="minorEastAsia" w:hAnsiTheme="minorEastAsia" w:hint="eastAsia"/>
          <w:color w:val="000000" w:themeColor="text1"/>
          <w:sz w:val="24"/>
          <w:szCs w:val="24"/>
        </w:rPr>
        <w:t>的定期定额投资业务每期最低扣款金额以各基金最低申购金额为准（含申购费），</w:t>
      </w:r>
      <w:r w:rsidR="00F72765">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w:t>
      </w:r>
      <w:r w:rsidR="00FF27A4" w:rsidRPr="00AE3FC1">
        <w:rPr>
          <w:rFonts w:asciiTheme="minorEastAsia" w:hAnsiTheme="minorEastAsia" w:hint="eastAsia"/>
          <w:color w:val="000000" w:themeColor="text1"/>
          <w:sz w:val="24"/>
          <w:szCs w:val="24"/>
        </w:rPr>
        <w:t>可在此最低金额基础之上，根据需要设置等于或高于各基金的最低扣款金额，具体以</w:t>
      </w:r>
      <w:r w:rsidR="00F72765">
        <w:rPr>
          <w:rFonts w:asciiTheme="minorEastAsia" w:hAnsiTheme="minorEastAsia" w:hint="eastAsia"/>
          <w:color w:val="000000" w:themeColor="text1"/>
          <w:sz w:val="24"/>
          <w:szCs w:val="24"/>
        </w:rPr>
        <w:t>天风</w:t>
      </w:r>
      <w:r w:rsidR="002F3F36">
        <w:rPr>
          <w:rFonts w:asciiTheme="minorEastAsia" w:hAnsiTheme="minorEastAsia" w:hint="eastAsia"/>
          <w:color w:val="000000" w:themeColor="text1"/>
          <w:sz w:val="24"/>
          <w:szCs w:val="24"/>
        </w:rPr>
        <w:t>证券</w:t>
      </w:r>
      <w:r w:rsidR="00FF27A4" w:rsidRPr="00AE3FC1">
        <w:rPr>
          <w:rFonts w:asciiTheme="minorEastAsia" w:hAnsiTheme="minorEastAsia" w:hint="eastAsia"/>
          <w:color w:val="000000" w:themeColor="text1"/>
          <w:sz w:val="24"/>
          <w:szCs w:val="24"/>
        </w:rPr>
        <w:t>的相关业务规则为准。投资者须指定一个有效资金账户作为每期固定扣款账户。若遇非基金交易日时，扣款是否顺延以</w:t>
      </w:r>
      <w:r w:rsidR="00F72765">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w:t>
      </w:r>
      <w:r w:rsidR="00FF27A4" w:rsidRPr="00AE3FC1">
        <w:rPr>
          <w:rFonts w:asciiTheme="minorEastAsia" w:hAnsiTheme="minorEastAsia" w:hint="eastAsia"/>
          <w:color w:val="000000" w:themeColor="text1"/>
          <w:sz w:val="24"/>
          <w:szCs w:val="24"/>
        </w:rPr>
        <w:t>的具体规定为准。具体扣款方式按</w:t>
      </w:r>
      <w:r w:rsidR="00F72765">
        <w:rPr>
          <w:rFonts w:asciiTheme="minorEastAsia" w:hAnsiTheme="minorEastAsia" w:hint="eastAsia"/>
          <w:color w:val="000000" w:themeColor="text1"/>
          <w:sz w:val="24"/>
          <w:szCs w:val="24"/>
        </w:rPr>
        <w:t>天风</w:t>
      </w:r>
      <w:bookmarkStart w:id="1" w:name="_GoBack"/>
      <w:bookmarkEnd w:id="1"/>
      <w:r w:rsidR="00EB402C">
        <w:rPr>
          <w:rFonts w:asciiTheme="minorEastAsia" w:hAnsiTheme="minorEastAsia" w:hint="eastAsia"/>
          <w:color w:val="000000" w:themeColor="text1"/>
          <w:sz w:val="24"/>
          <w:szCs w:val="24"/>
        </w:rPr>
        <w:t>证券</w:t>
      </w:r>
      <w:r w:rsidR="00FF27A4" w:rsidRPr="00AE3FC1">
        <w:rPr>
          <w:rFonts w:asciiTheme="minorEastAsia" w:hAnsiTheme="minorEastAsia" w:hint="eastAsia"/>
          <w:color w:val="000000" w:themeColor="text1"/>
          <w:sz w:val="24"/>
          <w:szCs w:val="24"/>
        </w:rPr>
        <w:t>的相关业务规则办理。</w:t>
      </w:r>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2、交易确认</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lastRenderedPageBreak/>
        <w:t>定期定额投资业务遵循“未知价”和“金额申购”的原则，申购价格以基金申购申请日（T日）的基金份额净值为基准进行计算。基金申购申请日（T日）为定期定额投资业务每月实际扣款日（如遇非基金开放日则顺延至基金下一开放日），基金份额将在T+1工作日确认成功后直接计入投资者的基金账户内。基金份额确认查询起始日为T+2工作日，投资者可从T+2工作日起办理相关基金（在该基金已开放赎回业务的情况下）的赎回业务。</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投资者办理定期定额投资业务的变更和终止，须携带本人有效身份证件及相关凭证到原办理该业务网点申请办理，具体办理程序和事宜</w:t>
      </w:r>
      <w:r w:rsidR="00C32888" w:rsidRPr="00AE3FC1">
        <w:rPr>
          <w:rFonts w:asciiTheme="minorEastAsia" w:hAnsiTheme="minorEastAsia" w:hint="eastAsia"/>
          <w:color w:val="000000" w:themeColor="text1"/>
          <w:sz w:val="24"/>
          <w:szCs w:val="24"/>
        </w:rPr>
        <w:t>应</w:t>
      </w:r>
      <w:r w:rsidRPr="00AE3FC1">
        <w:rPr>
          <w:rFonts w:asciiTheme="minorEastAsia" w:hAnsiTheme="minorEastAsia" w:hint="eastAsia"/>
          <w:color w:val="000000" w:themeColor="text1"/>
          <w:sz w:val="24"/>
          <w:szCs w:val="24"/>
        </w:rPr>
        <w:t>遵循</w:t>
      </w:r>
      <w:r w:rsidR="00F72765">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w:t>
      </w:r>
      <w:r w:rsidRPr="00AE3FC1">
        <w:rPr>
          <w:rFonts w:asciiTheme="minorEastAsia" w:hAnsiTheme="minorEastAsia" w:hint="eastAsia"/>
          <w:color w:val="000000" w:themeColor="text1"/>
          <w:sz w:val="24"/>
          <w:szCs w:val="24"/>
        </w:rPr>
        <w:t>的有关规定。</w:t>
      </w:r>
    </w:p>
    <w:p w:rsidR="004C526F" w:rsidRPr="00AE3FC1" w:rsidRDefault="004C526F">
      <w:pPr>
        <w:spacing w:line="360" w:lineRule="auto"/>
        <w:ind w:firstLineChars="200" w:firstLine="480"/>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三、基金转换业务及其规则</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color w:val="000000" w:themeColor="text1"/>
          <w:sz w:val="24"/>
          <w:szCs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4C526F" w:rsidRPr="00AE3FC1" w:rsidRDefault="00FF27A4" w:rsidP="00060205">
      <w:pPr>
        <w:spacing w:line="360" w:lineRule="auto"/>
        <w:ind w:firstLineChars="196" w:firstLine="472"/>
        <w:rPr>
          <w:b/>
          <w:color w:val="000000" w:themeColor="text1"/>
          <w:sz w:val="24"/>
        </w:rPr>
      </w:pPr>
      <w:r w:rsidRPr="00AE3FC1">
        <w:rPr>
          <w:rFonts w:ascii="宋体" w:hAnsi="宋体"/>
          <w:b/>
          <w:bCs/>
          <w:color w:val="000000" w:themeColor="text1"/>
          <w:sz w:val="24"/>
        </w:rPr>
        <w:t>1</w:t>
      </w:r>
      <w:r w:rsidRPr="00AE3FC1">
        <w:rPr>
          <w:rFonts w:ascii="宋体" w:hAnsi="宋体" w:hint="eastAsia"/>
          <w:b/>
          <w:bCs/>
          <w:color w:val="000000" w:themeColor="text1"/>
          <w:sz w:val="24"/>
        </w:rPr>
        <w:t>、</w:t>
      </w:r>
      <w:r w:rsidRPr="00AE3FC1">
        <w:rPr>
          <w:rFonts w:ascii="宋体" w:hAnsi="宋体"/>
          <w:b/>
          <w:bCs/>
          <w:color w:val="000000" w:themeColor="text1"/>
          <w:sz w:val="24"/>
        </w:rPr>
        <w:t>转换费率</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基金转换费用由补差费和转出费两部分构成，具体收取情况视每次转换时两只基金的申购费率差异情况和转出基金的赎回费率而定。</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基金转换费用的具体计算公式如下：</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w:t>
      </w:r>
      <w:r w:rsidRPr="00AE3FC1">
        <w:rPr>
          <w:rFonts w:asciiTheme="minorEastAsia" w:hAnsiTheme="minorEastAsia"/>
          <w:color w:val="000000" w:themeColor="text1"/>
          <w:sz w:val="24"/>
          <w:szCs w:val="24"/>
        </w:rPr>
        <w:t>1</w:t>
      </w:r>
      <w:r w:rsidRPr="00AE3FC1">
        <w:rPr>
          <w:rFonts w:asciiTheme="minorEastAsia" w:hAnsiTheme="minorEastAsia" w:hint="eastAsia"/>
          <w:color w:val="000000" w:themeColor="text1"/>
          <w:sz w:val="24"/>
          <w:szCs w:val="24"/>
        </w:rPr>
        <w:t>）转换费用=转出费</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补差费</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w:t>
      </w:r>
      <w:r w:rsidRPr="00AE3FC1">
        <w:rPr>
          <w:rFonts w:asciiTheme="minorEastAsia" w:hAnsiTheme="minorEastAsia"/>
          <w:color w:val="000000" w:themeColor="text1"/>
          <w:sz w:val="24"/>
          <w:szCs w:val="24"/>
        </w:rPr>
        <w:t>2</w:t>
      </w:r>
      <w:r w:rsidRPr="00AE3FC1">
        <w:rPr>
          <w:rFonts w:asciiTheme="minorEastAsia" w:hAnsiTheme="minorEastAsia" w:hint="eastAsia"/>
          <w:color w:val="000000" w:themeColor="text1"/>
          <w:sz w:val="24"/>
          <w:szCs w:val="24"/>
        </w:rPr>
        <w:t>）转出费</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转出金额×转出基金赎回费率</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（3）转出金额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转出基金份额×转出基金当日基金份额净值</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w:t>
      </w:r>
      <w:r w:rsidRPr="00AE3FC1">
        <w:rPr>
          <w:rFonts w:asciiTheme="minorEastAsia" w:hAnsiTheme="minorEastAsia"/>
          <w:color w:val="000000" w:themeColor="text1"/>
          <w:sz w:val="24"/>
          <w:szCs w:val="24"/>
        </w:rPr>
        <w:t>4</w:t>
      </w:r>
      <w:r w:rsidRPr="00AE3FC1">
        <w:rPr>
          <w:rFonts w:asciiTheme="minorEastAsia" w:hAnsiTheme="minorEastAsia" w:hint="eastAsia"/>
          <w:color w:val="000000" w:themeColor="text1"/>
          <w:sz w:val="24"/>
          <w:szCs w:val="24"/>
        </w:rPr>
        <w:t>）补差费</w:t>
      </w:r>
      <w:r w:rsidRPr="00AE3FC1">
        <w:rPr>
          <w:rFonts w:asciiTheme="minorEastAsia" w:hAnsiTheme="minorEastAsia"/>
          <w:color w:val="000000" w:themeColor="text1"/>
          <w:sz w:val="24"/>
          <w:szCs w:val="24"/>
        </w:rPr>
        <w:t>=Max</w:t>
      </w:r>
      <w:r w:rsidRPr="00AE3FC1">
        <w:rPr>
          <w:rFonts w:asciiTheme="minorEastAsia" w:hAnsiTheme="minorEastAsia" w:hint="eastAsia"/>
          <w:color w:val="000000" w:themeColor="text1"/>
          <w:sz w:val="24"/>
          <w:szCs w:val="24"/>
        </w:rPr>
        <w:t>（｛转出净金额×转入基金的申购费率</w:t>
      </w:r>
      <w:r w:rsidRPr="00AE3FC1">
        <w:rPr>
          <w:rFonts w:asciiTheme="minorEastAsia" w:hAnsiTheme="minorEastAsia"/>
          <w:color w:val="000000" w:themeColor="text1"/>
          <w:sz w:val="24"/>
          <w:szCs w:val="24"/>
        </w:rPr>
        <w:t>/(1+</w:t>
      </w:r>
      <w:r w:rsidRPr="00AE3FC1">
        <w:rPr>
          <w:rFonts w:asciiTheme="minorEastAsia" w:hAnsiTheme="minorEastAsia" w:hint="eastAsia"/>
          <w:color w:val="000000" w:themeColor="text1"/>
          <w:sz w:val="24"/>
          <w:szCs w:val="24"/>
        </w:rPr>
        <w:t>转入基金的申购费率</w:t>
      </w:r>
      <w:r w:rsidRPr="00AE3FC1">
        <w:rPr>
          <w:rFonts w:asciiTheme="minorEastAsia" w:hAnsiTheme="minorEastAsia"/>
          <w:color w:val="000000" w:themeColor="text1"/>
          <w:sz w:val="24"/>
          <w:szCs w:val="24"/>
        </w:rPr>
        <w:t xml:space="preserve">) </w:t>
      </w:r>
      <w:r w:rsidRPr="00AE3FC1">
        <w:rPr>
          <w:rFonts w:asciiTheme="minorEastAsia" w:hAnsiTheme="minorEastAsia" w:hint="eastAsia"/>
          <w:color w:val="000000" w:themeColor="text1"/>
          <w:sz w:val="24"/>
          <w:szCs w:val="24"/>
        </w:rPr>
        <w:t>｝－｛转出净金额×转出基金的申购费率</w:t>
      </w:r>
      <w:r w:rsidRPr="00AE3FC1">
        <w:rPr>
          <w:rFonts w:asciiTheme="minorEastAsia" w:hAnsiTheme="minorEastAsia"/>
          <w:color w:val="000000" w:themeColor="text1"/>
          <w:sz w:val="24"/>
          <w:szCs w:val="24"/>
        </w:rPr>
        <w:t>/(1+</w:t>
      </w:r>
      <w:r w:rsidRPr="00AE3FC1">
        <w:rPr>
          <w:rFonts w:asciiTheme="minorEastAsia" w:hAnsiTheme="minorEastAsia" w:hint="eastAsia"/>
          <w:color w:val="000000" w:themeColor="text1"/>
          <w:sz w:val="24"/>
          <w:szCs w:val="24"/>
        </w:rPr>
        <w:t>转出基金的申购费率</w:t>
      </w:r>
      <w:r w:rsidRPr="00AE3FC1">
        <w:rPr>
          <w:rFonts w:asciiTheme="minorEastAsia" w:hAnsiTheme="minorEastAsia"/>
          <w:color w:val="000000" w:themeColor="text1"/>
          <w:sz w:val="24"/>
          <w:szCs w:val="24"/>
        </w:rPr>
        <w:t xml:space="preserve">) </w:t>
      </w:r>
      <w:r w:rsidRPr="00AE3FC1">
        <w:rPr>
          <w:rFonts w:asciiTheme="minorEastAsia" w:hAnsiTheme="minorEastAsia" w:hint="eastAsia"/>
          <w:color w:val="000000" w:themeColor="text1"/>
          <w:sz w:val="24"/>
          <w:szCs w:val="24"/>
        </w:rPr>
        <w:t>｝，</w:t>
      </w:r>
      <w:r w:rsidRPr="00AE3FC1">
        <w:rPr>
          <w:rFonts w:asciiTheme="minorEastAsia" w:hAnsiTheme="minorEastAsia"/>
          <w:color w:val="000000" w:themeColor="text1"/>
          <w:sz w:val="24"/>
          <w:szCs w:val="24"/>
        </w:rPr>
        <w:t>0</w:t>
      </w:r>
      <w:r w:rsidRPr="00AE3FC1">
        <w:rPr>
          <w:rFonts w:asciiTheme="minorEastAsia" w:hAnsiTheme="minorEastAsia" w:hint="eastAsia"/>
          <w:color w:val="000000" w:themeColor="text1"/>
          <w:sz w:val="24"/>
          <w:szCs w:val="24"/>
        </w:rPr>
        <w:t>）</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（5）转入净金额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转出金额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转换费用</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（6）转出净金额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转出基金份额×转出基金当日基金份额净值×（</w:t>
      </w:r>
      <w:r w:rsidRPr="00AE3FC1">
        <w:rPr>
          <w:rFonts w:asciiTheme="minorEastAsia" w:hAnsiTheme="minorEastAsia"/>
          <w:color w:val="000000" w:themeColor="text1"/>
          <w:sz w:val="24"/>
          <w:szCs w:val="24"/>
        </w:rPr>
        <w:t>1</w:t>
      </w:r>
      <w:r w:rsidRPr="00AE3FC1">
        <w:rPr>
          <w:rFonts w:asciiTheme="minorEastAsia" w:hAnsiTheme="minorEastAsia" w:hint="eastAsia"/>
          <w:color w:val="000000" w:themeColor="text1"/>
          <w:sz w:val="24"/>
          <w:szCs w:val="24"/>
        </w:rPr>
        <w:t>－转出基金赎回费率）</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（7）转入份额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转入净金额</w:t>
      </w:r>
      <w:r w:rsidRPr="00AE3FC1">
        <w:rPr>
          <w:rFonts w:asciiTheme="minorEastAsia" w:hAnsiTheme="minorEastAsia"/>
          <w:color w:val="000000" w:themeColor="text1"/>
          <w:sz w:val="24"/>
          <w:szCs w:val="24"/>
        </w:rPr>
        <w:t>/</w:t>
      </w:r>
      <w:r w:rsidRPr="00AE3FC1">
        <w:rPr>
          <w:rFonts w:asciiTheme="minorEastAsia" w:hAnsiTheme="minorEastAsia" w:hint="eastAsia"/>
          <w:color w:val="000000" w:themeColor="text1"/>
          <w:sz w:val="24"/>
          <w:szCs w:val="24"/>
        </w:rPr>
        <w:t>转入基金当日基金份额净值</w:t>
      </w:r>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2、适用基金范围</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基金转换业务适用于本公司募集管理并且在本公司注册登记的下列基金，投资者可以在</w:t>
      </w:r>
      <w:r w:rsidR="00685573">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w:t>
      </w:r>
      <w:r w:rsidRPr="00AE3FC1">
        <w:rPr>
          <w:rFonts w:asciiTheme="minorEastAsia" w:hAnsiTheme="minorEastAsia" w:hint="eastAsia"/>
          <w:color w:val="000000" w:themeColor="text1"/>
          <w:sz w:val="24"/>
          <w:szCs w:val="24"/>
        </w:rPr>
        <w:t xml:space="preserve">申请办理下列基金的转换业务： </w:t>
      </w:r>
    </w:p>
    <w:p w:rsidR="00685573" w:rsidRPr="002F3A84" w:rsidRDefault="00685573" w:rsidP="00685573">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太平日日金货币市场基金（基金简称：太平日日金；A类份额基金代码：003398，B类份额基金代码：003399）；</w:t>
      </w:r>
    </w:p>
    <w:p w:rsidR="00685573" w:rsidRPr="002F3A84" w:rsidRDefault="00685573" w:rsidP="00685573">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太平日日鑫货币市场基金（基金简称：太平日日鑫；A类份额基金代码：004330，B类份额基金代码：004331）；</w:t>
      </w:r>
    </w:p>
    <w:p w:rsidR="00685573" w:rsidRPr="002F3A84" w:rsidRDefault="00685573" w:rsidP="00685573">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太平睿盈混合型证券投资基金（基金简称：太平睿盈混合；A类份额基金代码：006973，C类份额基金代码：007669）；</w:t>
      </w:r>
    </w:p>
    <w:p w:rsidR="00685573" w:rsidRPr="002F3A84" w:rsidRDefault="00685573" w:rsidP="00685573">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太平睿享混合型证券投资基金（基金简称：太平睿享，A类份额：013260，C类份额：013261）</w:t>
      </w:r>
    </w:p>
    <w:p w:rsidR="00685573" w:rsidRPr="002F3A84" w:rsidRDefault="00685573" w:rsidP="00685573">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太平恒安三个月定期开放债券型证券投资基金（基金简称：太平恒安三个月定开债；基金代码：007545）；</w:t>
      </w:r>
    </w:p>
    <w:p w:rsidR="00685573" w:rsidRPr="002F3A84" w:rsidRDefault="00685573" w:rsidP="00685573">
      <w:pPr>
        <w:spacing w:line="360" w:lineRule="auto"/>
        <w:ind w:firstLine="601"/>
        <w:jc w:val="left"/>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太平MSCI香港价值增强指数证券投资基金（基金简称：太平MSCI香港价值增强；A类份额：007107 C类份额：007108）</w:t>
      </w:r>
    </w:p>
    <w:p w:rsidR="00685573" w:rsidRPr="002F3A84" w:rsidRDefault="00685573" w:rsidP="00685573">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太平改革红利精选灵活配置混合型证券投资基金（基金简称：太平改革红利精选混合；基金代码：</w:t>
      </w:r>
      <w:r w:rsidRPr="002F3A84">
        <w:rPr>
          <w:rFonts w:asciiTheme="minorEastAsia" w:hAnsiTheme="minorEastAsia"/>
          <w:color w:val="000000" w:themeColor="text1"/>
          <w:sz w:val="24"/>
          <w:szCs w:val="24"/>
        </w:rPr>
        <w:t>005270</w:t>
      </w:r>
      <w:r w:rsidRPr="002F3A84">
        <w:rPr>
          <w:rFonts w:asciiTheme="minorEastAsia" w:hAnsiTheme="minorEastAsia" w:hint="eastAsia"/>
          <w:color w:val="000000" w:themeColor="text1"/>
          <w:sz w:val="24"/>
          <w:szCs w:val="24"/>
        </w:rPr>
        <w:t>）</w:t>
      </w:r>
    </w:p>
    <w:p w:rsidR="00685573" w:rsidRPr="002F3A84" w:rsidRDefault="00685573" w:rsidP="00685573">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太平恒兴纯债债券型证券投资基金（基金简称：太平恒兴纯债；基金代码：</w:t>
      </w:r>
      <w:r w:rsidRPr="002F3A84">
        <w:rPr>
          <w:rFonts w:asciiTheme="minorEastAsia" w:hAnsiTheme="minorEastAsia"/>
          <w:color w:val="000000" w:themeColor="text1"/>
          <w:sz w:val="24"/>
          <w:szCs w:val="24"/>
        </w:rPr>
        <w:t>014055</w:t>
      </w:r>
      <w:r w:rsidRPr="002F3A84">
        <w:rPr>
          <w:rFonts w:asciiTheme="minorEastAsia" w:hAnsiTheme="minorEastAsia" w:hint="eastAsia"/>
          <w:color w:val="000000" w:themeColor="text1"/>
          <w:sz w:val="24"/>
          <w:szCs w:val="24"/>
        </w:rPr>
        <w:t>）</w:t>
      </w:r>
    </w:p>
    <w:p w:rsidR="00685573" w:rsidRPr="002F3A84" w:rsidRDefault="00685573" w:rsidP="00685573">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太平中证1000指数增强型证券投资基金（基金简称：太平中证1000指数增强；A类份额：</w:t>
      </w:r>
      <w:r w:rsidRPr="002F3A84">
        <w:rPr>
          <w:rFonts w:asciiTheme="minorEastAsia" w:hAnsiTheme="minorEastAsia"/>
          <w:color w:val="000000" w:themeColor="text1"/>
          <w:sz w:val="24"/>
          <w:szCs w:val="24"/>
        </w:rPr>
        <w:t>015466</w:t>
      </w:r>
      <w:r w:rsidRPr="002F3A84">
        <w:rPr>
          <w:rFonts w:asciiTheme="minorEastAsia" w:hAnsiTheme="minorEastAsia" w:hint="eastAsia"/>
          <w:color w:val="000000" w:themeColor="text1"/>
          <w:sz w:val="24"/>
          <w:szCs w:val="24"/>
        </w:rPr>
        <w:t>，C类份额：</w:t>
      </w:r>
      <w:r w:rsidRPr="002F3A84">
        <w:rPr>
          <w:rFonts w:asciiTheme="minorEastAsia" w:hAnsiTheme="minorEastAsia"/>
          <w:color w:val="000000" w:themeColor="text1"/>
          <w:sz w:val="24"/>
          <w:szCs w:val="24"/>
        </w:rPr>
        <w:t xml:space="preserve"> 015467</w:t>
      </w:r>
      <w:r w:rsidRPr="002F3A84">
        <w:rPr>
          <w:rFonts w:asciiTheme="minorEastAsia" w:hAnsiTheme="minorEastAsia" w:hint="eastAsia"/>
          <w:color w:val="000000" w:themeColor="text1"/>
          <w:sz w:val="24"/>
          <w:szCs w:val="24"/>
        </w:rPr>
        <w:t>）</w:t>
      </w:r>
    </w:p>
    <w:p w:rsidR="00685573" w:rsidRPr="002F3A84" w:rsidRDefault="00685573" w:rsidP="00685573">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太平中证同业存单AAA指数7天持有期证券投资基金（基金简称：太平中证同业存单AAA指数7天持有；基金代码：017563）</w:t>
      </w:r>
    </w:p>
    <w:p w:rsidR="00685573" w:rsidRPr="002F3A84" w:rsidRDefault="00685573" w:rsidP="00685573">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太平嘉和三个月定期开放债券型发起式证券投资基金（基金简称：太平嘉和三个月定开债发起；基金代码：015959）</w:t>
      </w:r>
    </w:p>
    <w:p w:rsidR="00685573" w:rsidRPr="00AE3FC1" w:rsidRDefault="00685573" w:rsidP="00685573">
      <w:pPr>
        <w:spacing w:line="360" w:lineRule="auto"/>
        <w:ind w:firstLine="601"/>
        <w:outlineLvl w:val="0"/>
        <w:rPr>
          <w:rFonts w:asciiTheme="minorEastAsia" w:hAnsiTheme="minorEastAsia"/>
          <w:color w:val="000000" w:themeColor="text1"/>
          <w:sz w:val="24"/>
          <w:szCs w:val="24"/>
        </w:rPr>
      </w:pPr>
      <w:r w:rsidRPr="002F3A84">
        <w:rPr>
          <w:rFonts w:asciiTheme="minorEastAsia" w:hAnsiTheme="minorEastAsia" w:hint="eastAsia"/>
          <w:color w:val="000000" w:themeColor="text1"/>
          <w:sz w:val="24"/>
          <w:szCs w:val="24"/>
        </w:rPr>
        <w:t>太平消费升级一年持有期混合型证券投资基金</w:t>
      </w:r>
      <w:r w:rsidRPr="002F3A84">
        <w:rPr>
          <w:rFonts w:asciiTheme="minorEastAsia" w:hAnsiTheme="minorEastAsia" w:hint="eastAsia"/>
          <w:color w:val="000000" w:themeColor="text1"/>
          <w:sz w:val="24"/>
          <w:szCs w:val="24"/>
        </w:rPr>
        <w:tab/>
        <w:t>（基金简称：太平消费升级一年持有；A类份额：</w:t>
      </w:r>
      <w:r w:rsidRPr="002F3A84">
        <w:rPr>
          <w:rFonts w:asciiTheme="minorEastAsia" w:hAnsiTheme="minorEastAsia"/>
          <w:color w:val="000000" w:themeColor="text1"/>
          <w:sz w:val="24"/>
          <w:szCs w:val="24"/>
        </w:rPr>
        <w:t>016378</w:t>
      </w:r>
      <w:r w:rsidRPr="002F3A84">
        <w:rPr>
          <w:rFonts w:asciiTheme="minorEastAsia" w:hAnsiTheme="minorEastAsia" w:hint="eastAsia"/>
          <w:color w:val="000000" w:themeColor="text1"/>
          <w:sz w:val="24"/>
          <w:szCs w:val="24"/>
        </w:rPr>
        <w:t>，C类份额：</w:t>
      </w:r>
      <w:r w:rsidRPr="002F3A84">
        <w:rPr>
          <w:rFonts w:asciiTheme="minorEastAsia" w:hAnsiTheme="minorEastAsia"/>
          <w:color w:val="000000" w:themeColor="text1"/>
          <w:sz w:val="24"/>
          <w:szCs w:val="24"/>
        </w:rPr>
        <w:t>016379</w:t>
      </w:r>
      <w:r w:rsidRPr="002F3A84">
        <w:rPr>
          <w:rFonts w:asciiTheme="minorEastAsia" w:hAnsiTheme="minorEastAsia" w:hint="eastAsia"/>
          <w:color w:val="000000" w:themeColor="text1"/>
          <w:sz w:val="24"/>
          <w:szCs w:val="24"/>
        </w:rPr>
        <w:t>）</w:t>
      </w:r>
    </w:p>
    <w:p w:rsidR="00685573" w:rsidRDefault="00685573" w:rsidP="00685573">
      <w:pPr>
        <w:spacing w:line="360" w:lineRule="auto"/>
        <w:ind w:firstLine="601"/>
        <w:outlineLvl w:val="0"/>
        <w:rPr>
          <w:rFonts w:asciiTheme="minorEastAsia" w:hAnsiTheme="minorEastAsia"/>
          <w:color w:val="000000" w:themeColor="text1"/>
          <w:sz w:val="24"/>
          <w:szCs w:val="24"/>
        </w:rPr>
      </w:pPr>
      <w:r w:rsidRPr="003D6830">
        <w:rPr>
          <w:rFonts w:asciiTheme="minorEastAsia" w:hAnsiTheme="minorEastAsia" w:hint="eastAsia"/>
          <w:color w:val="000000" w:themeColor="text1"/>
          <w:sz w:val="24"/>
          <w:szCs w:val="24"/>
        </w:rPr>
        <w:t>太平中证红利指数型证券投资基金（</w:t>
      </w:r>
      <w:r w:rsidRPr="002F3A84">
        <w:rPr>
          <w:rFonts w:asciiTheme="minorEastAsia" w:hAnsiTheme="minorEastAsia" w:hint="eastAsia"/>
          <w:color w:val="000000" w:themeColor="text1"/>
          <w:sz w:val="24"/>
          <w:szCs w:val="24"/>
        </w:rPr>
        <w:t>基金简称：</w:t>
      </w:r>
      <w:r w:rsidRPr="003D6830">
        <w:rPr>
          <w:rFonts w:asciiTheme="minorEastAsia" w:hAnsiTheme="minorEastAsia" w:hint="eastAsia"/>
          <w:color w:val="000000" w:themeColor="text1"/>
          <w:sz w:val="24"/>
          <w:szCs w:val="24"/>
        </w:rPr>
        <w:t>太平中证红利指数</w:t>
      </w:r>
      <w:r w:rsidRPr="002F3A84">
        <w:rPr>
          <w:rFonts w:asciiTheme="minorEastAsia" w:hAnsiTheme="minorEastAsia" w:hint="eastAsia"/>
          <w:color w:val="000000" w:themeColor="text1"/>
          <w:sz w:val="24"/>
          <w:szCs w:val="24"/>
        </w:rPr>
        <w:t>；A类份额：</w:t>
      </w:r>
      <w:r w:rsidRPr="003D6830">
        <w:rPr>
          <w:rFonts w:asciiTheme="minorEastAsia" w:hAnsiTheme="minorEastAsia" w:hint="eastAsia"/>
          <w:color w:val="000000" w:themeColor="text1"/>
          <w:sz w:val="24"/>
          <w:szCs w:val="24"/>
        </w:rPr>
        <w:t>023182</w:t>
      </w:r>
      <w:r w:rsidRPr="002F3A84">
        <w:rPr>
          <w:rFonts w:asciiTheme="minorEastAsia" w:hAnsiTheme="minorEastAsia" w:hint="eastAsia"/>
          <w:color w:val="000000" w:themeColor="text1"/>
          <w:sz w:val="24"/>
          <w:szCs w:val="24"/>
        </w:rPr>
        <w:t>，C类份额：</w:t>
      </w:r>
      <w:r w:rsidRPr="003D6830">
        <w:rPr>
          <w:rFonts w:asciiTheme="minorEastAsia" w:hAnsiTheme="minorEastAsia" w:hint="eastAsia"/>
          <w:color w:val="000000" w:themeColor="text1"/>
          <w:sz w:val="24"/>
          <w:szCs w:val="24"/>
        </w:rPr>
        <w:t>023183</w:t>
      </w:r>
      <w:r w:rsidRPr="002F3A84">
        <w:rPr>
          <w:rFonts w:asciiTheme="minorEastAsia" w:hAnsiTheme="minorEastAsia" w:hint="eastAsia"/>
          <w:color w:val="000000" w:themeColor="text1"/>
          <w:sz w:val="24"/>
          <w:szCs w:val="24"/>
        </w:rPr>
        <w:t>）</w:t>
      </w:r>
    </w:p>
    <w:p w:rsidR="00685573" w:rsidRPr="003D6830" w:rsidRDefault="00685573" w:rsidP="00685573">
      <w:pPr>
        <w:spacing w:line="360" w:lineRule="auto"/>
        <w:ind w:firstLine="601"/>
        <w:outlineLvl w:val="0"/>
        <w:rPr>
          <w:rFonts w:asciiTheme="minorEastAsia" w:hAnsiTheme="minorEastAsia"/>
          <w:color w:val="000000" w:themeColor="text1"/>
          <w:sz w:val="24"/>
          <w:szCs w:val="24"/>
        </w:rPr>
      </w:pPr>
      <w:r w:rsidRPr="003D6830">
        <w:rPr>
          <w:rFonts w:asciiTheme="minorEastAsia" w:hAnsiTheme="minorEastAsia" w:hint="eastAsia"/>
          <w:color w:val="000000" w:themeColor="text1"/>
          <w:sz w:val="24"/>
          <w:szCs w:val="24"/>
        </w:rPr>
        <w:t>太平中证A500指数增强型证券投资基金(</w:t>
      </w:r>
      <w:r w:rsidRPr="002F3A84">
        <w:rPr>
          <w:rFonts w:asciiTheme="minorEastAsia" w:hAnsiTheme="minorEastAsia" w:hint="eastAsia"/>
          <w:color w:val="000000" w:themeColor="text1"/>
          <w:sz w:val="24"/>
          <w:szCs w:val="24"/>
        </w:rPr>
        <w:t>基金简称：</w:t>
      </w:r>
      <w:r w:rsidRPr="003D6830">
        <w:rPr>
          <w:rFonts w:asciiTheme="minorEastAsia" w:hAnsiTheme="minorEastAsia"/>
          <w:color w:val="000000" w:themeColor="text1"/>
          <w:sz w:val="24"/>
          <w:szCs w:val="24"/>
        </w:rPr>
        <w:t>太平中证A500指数增强</w:t>
      </w:r>
      <w:r w:rsidRPr="002F3A84">
        <w:rPr>
          <w:rFonts w:asciiTheme="minorEastAsia" w:hAnsiTheme="minorEastAsia" w:hint="eastAsia"/>
          <w:color w:val="000000" w:themeColor="text1"/>
          <w:sz w:val="24"/>
          <w:szCs w:val="24"/>
        </w:rPr>
        <w:t>；A类份额：</w:t>
      </w:r>
      <w:r w:rsidRPr="003D6830">
        <w:rPr>
          <w:rFonts w:asciiTheme="minorEastAsia" w:hAnsiTheme="minorEastAsia" w:hint="eastAsia"/>
          <w:color w:val="000000" w:themeColor="text1"/>
          <w:sz w:val="24"/>
          <w:szCs w:val="24"/>
        </w:rPr>
        <w:t>023473</w:t>
      </w:r>
      <w:r w:rsidRPr="002F3A84">
        <w:rPr>
          <w:rFonts w:asciiTheme="minorEastAsia" w:hAnsiTheme="minorEastAsia" w:hint="eastAsia"/>
          <w:color w:val="000000" w:themeColor="text1"/>
          <w:sz w:val="24"/>
          <w:szCs w:val="24"/>
        </w:rPr>
        <w:t>，C类份额：</w:t>
      </w:r>
      <w:r w:rsidRPr="003D6830">
        <w:rPr>
          <w:rFonts w:asciiTheme="minorEastAsia" w:hAnsiTheme="minorEastAsia" w:hint="eastAsia"/>
          <w:color w:val="000000" w:themeColor="text1"/>
          <w:sz w:val="24"/>
          <w:szCs w:val="24"/>
        </w:rPr>
        <w:t>023474</w:t>
      </w:r>
      <w:r w:rsidRPr="002F3A84">
        <w:rPr>
          <w:rFonts w:asciiTheme="minorEastAsia" w:hAnsiTheme="minorEastAsia" w:hint="eastAsia"/>
          <w:color w:val="000000" w:themeColor="text1"/>
          <w:sz w:val="24"/>
          <w:szCs w:val="24"/>
        </w:rPr>
        <w:t>）</w:t>
      </w:r>
    </w:p>
    <w:p w:rsidR="00EB402C" w:rsidRPr="00685573" w:rsidRDefault="00EB402C" w:rsidP="000E6D9E">
      <w:pPr>
        <w:pStyle w:val="ab"/>
        <w:spacing w:line="360" w:lineRule="auto"/>
        <w:ind w:left="1021" w:firstLineChars="0" w:firstLine="0"/>
        <w:outlineLvl w:val="0"/>
        <w:rPr>
          <w:rFonts w:asciiTheme="minorEastAsia" w:hAnsiTheme="minorEastAsia"/>
          <w:color w:val="000000" w:themeColor="text1"/>
          <w:sz w:val="24"/>
          <w:szCs w:val="24"/>
        </w:rPr>
      </w:pPr>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3、转换限额</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投资者在办理转换业务时，单笔转换基金份额不得低于100份，销售机构有不同规定的，投资者在销售机构办理相关业务时，需遵循该销售机构的相关规定。单一投资者转换转入后持有的基金份额不得达到或超过基金总份额的50%。基金管理人可以依照相关法律法规以及基金合同的约定，暂停或者拒绝接受一定金额以上的转换转入申请。</w:t>
      </w:r>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4、转换业务规则</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基金转换只能在同一销售机构办理，且该销售机构同时代理转出基金及转入基金的销售。</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基金转换，以申请当日基金份额净值为基础计算。投资者采用“份额转换”的原则提交申请，基金转换遵循“先进先出”的原则。</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投资者办理基金转换业务时，转出的基金必须处于可赎回状态，转入的基金必须处于可申购状态，已经冻结的基金份额不得申请基金转换。</w:t>
      </w:r>
    </w:p>
    <w:p w:rsidR="004C526F" w:rsidRPr="00AE3FC1" w:rsidRDefault="00FF27A4" w:rsidP="00060205">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b/>
          <w:color w:val="000000" w:themeColor="text1"/>
          <w:sz w:val="24"/>
          <w:szCs w:val="24"/>
        </w:rPr>
        <w:t>5、交易确认</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转入的基金持有期自该部分基金份额登记于注册登记系统之日起开始计算。转入的基金在赎回或转出时，按照自基金转入确认日起至该部分基金份额赎回或转出确认日止的持有时段所适用的赎回费率档次计算其所应支付的赎回费。基金转换后可赎回的时间为</w:t>
      </w:r>
      <w:r w:rsidRPr="00AE3FC1">
        <w:rPr>
          <w:rFonts w:asciiTheme="minorEastAsia" w:hAnsiTheme="minorEastAsia"/>
          <w:color w:val="000000" w:themeColor="text1"/>
          <w:sz w:val="24"/>
          <w:szCs w:val="24"/>
        </w:rPr>
        <w:t>T</w:t>
      </w:r>
      <w:r w:rsidRPr="00AE3FC1">
        <w:rPr>
          <w:rFonts w:asciiTheme="minorEastAsia" w:hAnsiTheme="minorEastAsia" w:hint="eastAsia"/>
          <w:color w:val="000000" w:themeColor="text1"/>
          <w:sz w:val="24"/>
          <w:szCs w:val="24"/>
        </w:rPr>
        <w:t>＋</w:t>
      </w:r>
      <w:r w:rsidRPr="00AE3FC1">
        <w:rPr>
          <w:rFonts w:asciiTheme="minorEastAsia" w:hAnsiTheme="minorEastAsia"/>
          <w:color w:val="000000" w:themeColor="text1"/>
          <w:sz w:val="24"/>
          <w:szCs w:val="24"/>
        </w:rPr>
        <w:t>2</w:t>
      </w:r>
      <w:r w:rsidRPr="00AE3FC1">
        <w:rPr>
          <w:rFonts w:asciiTheme="minorEastAsia" w:hAnsiTheme="minorEastAsia" w:hint="eastAsia"/>
          <w:color w:val="000000" w:themeColor="text1"/>
          <w:sz w:val="24"/>
          <w:szCs w:val="24"/>
        </w:rPr>
        <w:t>日。</w:t>
      </w:r>
    </w:p>
    <w:p w:rsidR="004C526F" w:rsidRPr="00AE3FC1" w:rsidRDefault="004C526F">
      <w:pPr>
        <w:spacing w:line="360" w:lineRule="auto"/>
        <w:ind w:firstLineChars="150" w:firstLine="360"/>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四、费率优惠</w:t>
      </w:r>
    </w:p>
    <w:p w:rsidR="004C526F" w:rsidRPr="00AE3FC1" w:rsidRDefault="00FF27A4" w:rsidP="00C32888">
      <w:pPr>
        <w:spacing w:line="360" w:lineRule="auto"/>
        <w:ind w:firstLineChars="200" w:firstLine="482"/>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1、费率优惠内容</w:t>
      </w:r>
    </w:p>
    <w:p w:rsidR="004C526F" w:rsidRPr="00AE3FC1" w:rsidRDefault="00022CCB" w:rsidP="00022CCB">
      <w:pPr>
        <w:spacing w:line="360" w:lineRule="auto"/>
        <w:ind w:firstLineChars="200" w:firstLine="480"/>
        <w:jc w:val="left"/>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自</w:t>
      </w:r>
      <w:r w:rsidR="00921954" w:rsidRPr="00AE3FC1">
        <w:rPr>
          <w:rFonts w:asciiTheme="minorEastAsia" w:hAnsiTheme="minorEastAsia" w:hint="eastAsia"/>
          <w:color w:val="000000" w:themeColor="text1"/>
          <w:sz w:val="24"/>
          <w:szCs w:val="24"/>
        </w:rPr>
        <w:t>202</w:t>
      </w:r>
      <w:r w:rsidR="00685573">
        <w:rPr>
          <w:rFonts w:asciiTheme="minorEastAsia" w:hAnsiTheme="minorEastAsia" w:hint="eastAsia"/>
          <w:color w:val="000000" w:themeColor="text1"/>
          <w:sz w:val="24"/>
          <w:szCs w:val="24"/>
        </w:rPr>
        <w:t>5</w:t>
      </w:r>
      <w:r w:rsidR="00921954" w:rsidRPr="00AE3FC1">
        <w:rPr>
          <w:rFonts w:asciiTheme="minorEastAsia" w:hAnsiTheme="minorEastAsia" w:hint="eastAsia"/>
          <w:color w:val="000000" w:themeColor="text1"/>
          <w:sz w:val="24"/>
          <w:szCs w:val="24"/>
        </w:rPr>
        <w:t>年</w:t>
      </w:r>
      <w:r w:rsidR="00685573">
        <w:rPr>
          <w:rFonts w:asciiTheme="minorEastAsia" w:hAnsiTheme="minorEastAsia" w:hint="eastAsia"/>
          <w:color w:val="000000" w:themeColor="text1"/>
          <w:sz w:val="24"/>
          <w:szCs w:val="24"/>
        </w:rPr>
        <w:t>6</w:t>
      </w:r>
      <w:r w:rsidR="00694670" w:rsidRPr="00AE3FC1">
        <w:rPr>
          <w:rFonts w:asciiTheme="minorEastAsia" w:hAnsiTheme="minorEastAsia" w:hint="eastAsia"/>
          <w:color w:val="000000" w:themeColor="text1"/>
          <w:sz w:val="24"/>
          <w:szCs w:val="24"/>
        </w:rPr>
        <w:t>月</w:t>
      </w:r>
      <w:r w:rsidR="00685573">
        <w:rPr>
          <w:rFonts w:asciiTheme="minorEastAsia" w:hAnsiTheme="minorEastAsia" w:hint="eastAsia"/>
          <w:color w:val="000000" w:themeColor="text1"/>
          <w:sz w:val="24"/>
          <w:szCs w:val="24"/>
        </w:rPr>
        <w:t>6</w:t>
      </w:r>
      <w:r w:rsidRPr="00AE3FC1">
        <w:rPr>
          <w:rFonts w:asciiTheme="minorEastAsia" w:hAnsiTheme="minorEastAsia" w:hint="eastAsia"/>
          <w:color w:val="000000" w:themeColor="text1"/>
          <w:sz w:val="24"/>
          <w:szCs w:val="24"/>
        </w:rPr>
        <w:t>日起，本公司将不对本公告所列基金参加</w:t>
      </w:r>
      <w:r w:rsidR="00685573">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w:t>
      </w:r>
      <w:r w:rsidRPr="00AE3FC1">
        <w:rPr>
          <w:rFonts w:asciiTheme="minorEastAsia" w:hAnsiTheme="minorEastAsia" w:hint="eastAsia"/>
          <w:color w:val="000000" w:themeColor="text1"/>
          <w:sz w:val="24"/>
          <w:szCs w:val="24"/>
        </w:rPr>
        <w:t>申（认）购费率优惠活动（含定期定额投资）设折扣限制，具体优惠费率以</w:t>
      </w:r>
      <w:r w:rsidR="00685573">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w:t>
      </w:r>
      <w:r w:rsidRPr="00AE3FC1">
        <w:rPr>
          <w:rFonts w:asciiTheme="minorEastAsia" w:hAnsiTheme="minorEastAsia" w:hint="eastAsia"/>
          <w:color w:val="000000" w:themeColor="text1"/>
          <w:sz w:val="24"/>
          <w:szCs w:val="24"/>
        </w:rPr>
        <w:t>官方公告为准。</w:t>
      </w:r>
      <w:r w:rsidR="00FF27A4" w:rsidRPr="00AE3FC1">
        <w:rPr>
          <w:rFonts w:asciiTheme="minorEastAsia" w:hAnsiTheme="minorEastAsia" w:hint="eastAsia"/>
          <w:color w:val="000000" w:themeColor="text1"/>
          <w:sz w:val="24"/>
          <w:szCs w:val="24"/>
        </w:rPr>
        <w:t>基金原费率详见基金合同、招募说明书</w:t>
      </w:r>
      <w:r w:rsidR="00054F97" w:rsidRPr="00AE3FC1">
        <w:rPr>
          <w:rFonts w:asciiTheme="minorEastAsia" w:hAnsiTheme="minorEastAsia" w:hint="eastAsia"/>
          <w:color w:val="000000" w:themeColor="text1"/>
          <w:sz w:val="24"/>
          <w:szCs w:val="24"/>
        </w:rPr>
        <w:t>及其</w:t>
      </w:r>
      <w:r w:rsidR="00FF27A4" w:rsidRPr="00AE3FC1">
        <w:rPr>
          <w:rFonts w:asciiTheme="minorEastAsia" w:hAnsiTheme="minorEastAsia" w:hint="eastAsia"/>
          <w:color w:val="000000" w:themeColor="text1"/>
          <w:sz w:val="24"/>
          <w:szCs w:val="24"/>
        </w:rPr>
        <w:t>更新</w:t>
      </w:r>
      <w:r w:rsidR="00C32888" w:rsidRPr="00AE3FC1">
        <w:rPr>
          <w:rFonts w:asciiTheme="minorEastAsia" w:hAnsiTheme="minorEastAsia" w:hint="eastAsia"/>
          <w:color w:val="000000" w:themeColor="text1"/>
          <w:sz w:val="24"/>
          <w:szCs w:val="24"/>
        </w:rPr>
        <w:t>、基金产品资料概要及其更新</w:t>
      </w:r>
      <w:r w:rsidR="00FF27A4" w:rsidRPr="00AE3FC1">
        <w:rPr>
          <w:rFonts w:asciiTheme="minorEastAsia" w:hAnsiTheme="minorEastAsia" w:hint="eastAsia"/>
          <w:color w:val="000000" w:themeColor="text1"/>
          <w:sz w:val="24"/>
          <w:szCs w:val="24"/>
        </w:rPr>
        <w:t>等法律文件，以及本公司发布的最新业务公告。</w:t>
      </w:r>
    </w:p>
    <w:p w:rsidR="004C526F" w:rsidRPr="00AE3FC1" w:rsidRDefault="00FF27A4">
      <w:pPr>
        <w:spacing w:line="360" w:lineRule="auto"/>
        <w:ind w:firstLineChars="200" w:firstLine="480"/>
        <w:jc w:val="left"/>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费率优惠期间，若本公司新增通过</w:t>
      </w:r>
      <w:r w:rsidR="00685573">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w:t>
      </w:r>
      <w:r w:rsidRPr="00AE3FC1">
        <w:rPr>
          <w:rFonts w:asciiTheme="minorEastAsia" w:hAnsiTheme="minorEastAsia" w:hint="eastAsia"/>
          <w:color w:val="000000" w:themeColor="text1"/>
          <w:sz w:val="24"/>
          <w:szCs w:val="24"/>
        </w:rPr>
        <w:t>销售的基金产品（具体详见本公司</w:t>
      </w:r>
      <w:r w:rsidR="00C32888" w:rsidRPr="00AE3FC1">
        <w:rPr>
          <w:rFonts w:asciiTheme="minorEastAsia" w:hAnsiTheme="minorEastAsia" w:hint="eastAsia"/>
          <w:color w:val="000000" w:themeColor="text1"/>
          <w:sz w:val="24"/>
          <w:szCs w:val="24"/>
        </w:rPr>
        <w:t>网站）</w:t>
      </w:r>
      <w:r w:rsidRPr="00AE3FC1">
        <w:rPr>
          <w:rFonts w:asciiTheme="minorEastAsia" w:hAnsiTheme="minorEastAsia" w:hint="eastAsia"/>
          <w:color w:val="000000" w:themeColor="text1"/>
          <w:sz w:val="24"/>
          <w:szCs w:val="24"/>
        </w:rPr>
        <w:t>，则自该基金产品开放申（认）购或定期定额申购当日起，将同时开通该基金上述费率优惠活动。</w:t>
      </w:r>
    </w:p>
    <w:p w:rsidR="004C526F" w:rsidRPr="00AE3FC1" w:rsidRDefault="00FF27A4">
      <w:pPr>
        <w:spacing w:line="360" w:lineRule="auto"/>
        <w:jc w:val="left"/>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 xml:space="preserve">2、费率优惠期限 </w:t>
      </w:r>
    </w:p>
    <w:p w:rsidR="004C526F" w:rsidRPr="00AE3FC1" w:rsidRDefault="002A5EFE">
      <w:pPr>
        <w:spacing w:line="360" w:lineRule="auto"/>
        <w:ind w:firstLine="420"/>
        <w:jc w:val="left"/>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具体</w:t>
      </w:r>
      <w:r w:rsidR="00FF27A4" w:rsidRPr="00AE3FC1">
        <w:rPr>
          <w:rFonts w:asciiTheme="minorEastAsia" w:hAnsiTheme="minorEastAsia" w:hint="eastAsia"/>
          <w:color w:val="000000" w:themeColor="text1"/>
          <w:sz w:val="24"/>
          <w:szCs w:val="24"/>
        </w:rPr>
        <w:t>以</w:t>
      </w:r>
      <w:r w:rsidR="00685573">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w:t>
      </w:r>
      <w:r w:rsidR="00FF27A4" w:rsidRPr="00AE3FC1">
        <w:rPr>
          <w:rFonts w:asciiTheme="minorEastAsia" w:hAnsiTheme="minorEastAsia" w:hint="eastAsia"/>
          <w:color w:val="000000" w:themeColor="text1"/>
          <w:sz w:val="24"/>
          <w:szCs w:val="24"/>
        </w:rPr>
        <w:t>官方网站所示公告为准。</w:t>
      </w:r>
    </w:p>
    <w:p w:rsidR="004C526F" w:rsidRPr="00AE3FC1" w:rsidRDefault="004C526F">
      <w:pPr>
        <w:spacing w:line="360" w:lineRule="auto"/>
        <w:ind w:firstLineChars="200" w:firstLine="480"/>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五、投资者可通过以下途径了解或咨询有关详情：</w:t>
      </w:r>
    </w:p>
    <w:p w:rsidR="004C526F" w:rsidRPr="00AE3FC1" w:rsidRDefault="00FF27A4">
      <w:pPr>
        <w:spacing w:line="360" w:lineRule="auto"/>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1、</w:t>
      </w:r>
      <w:r w:rsidR="00685573">
        <w:rPr>
          <w:rFonts w:asciiTheme="minorEastAsia" w:hAnsiTheme="minorEastAsia" w:hint="eastAsia"/>
          <w:color w:val="000000" w:themeColor="text1"/>
          <w:sz w:val="24"/>
          <w:szCs w:val="24"/>
        </w:rPr>
        <w:t>天风</w:t>
      </w:r>
      <w:r w:rsidR="00EB402C">
        <w:rPr>
          <w:rFonts w:asciiTheme="minorEastAsia" w:hAnsiTheme="minorEastAsia" w:hint="eastAsia"/>
          <w:color w:val="000000" w:themeColor="text1"/>
          <w:sz w:val="24"/>
          <w:szCs w:val="24"/>
        </w:rPr>
        <w:t>证券股份</w:t>
      </w:r>
      <w:r w:rsidR="00AD5C64">
        <w:rPr>
          <w:rFonts w:asciiTheme="minorEastAsia" w:hAnsiTheme="minorEastAsia" w:hint="eastAsia"/>
          <w:color w:val="000000" w:themeColor="text1"/>
          <w:sz w:val="24"/>
          <w:szCs w:val="24"/>
        </w:rPr>
        <w:t>有限公司</w:t>
      </w:r>
    </w:p>
    <w:p w:rsidR="00685573" w:rsidRDefault="00FF27A4" w:rsidP="00B5678F">
      <w:pPr>
        <w:spacing w:line="360" w:lineRule="auto"/>
        <w:ind w:firstLineChars="150" w:firstLine="36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客户服务电话：</w:t>
      </w:r>
      <w:r w:rsidR="00685573" w:rsidRPr="00685573">
        <w:rPr>
          <w:rFonts w:asciiTheme="minorEastAsia" w:hAnsiTheme="minorEastAsia"/>
          <w:color w:val="000000" w:themeColor="text1"/>
          <w:sz w:val="24"/>
          <w:szCs w:val="24"/>
        </w:rPr>
        <w:t>95391 / 400-800-5000</w:t>
      </w:r>
    </w:p>
    <w:p w:rsidR="00B5678F" w:rsidRPr="00AE3FC1" w:rsidRDefault="00FF27A4" w:rsidP="00B5678F">
      <w:pPr>
        <w:spacing w:line="360" w:lineRule="auto"/>
        <w:ind w:firstLineChars="150" w:firstLine="36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公司网站</w:t>
      </w:r>
      <w:r w:rsidR="00B5678F" w:rsidRPr="00AE3FC1">
        <w:rPr>
          <w:rFonts w:asciiTheme="minorEastAsia" w:hAnsiTheme="minorEastAsia" w:hint="eastAsia"/>
          <w:color w:val="000000" w:themeColor="text1"/>
          <w:sz w:val="24"/>
          <w:szCs w:val="24"/>
        </w:rPr>
        <w:t>：</w:t>
      </w:r>
      <w:r w:rsidR="00685573" w:rsidRPr="00685573">
        <w:rPr>
          <w:rFonts w:asciiTheme="minorEastAsia" w:hAnsiTheme="minorEastAsia"/>
          <w:color w:val="000000" w:themeColor="text1"/>
          <w:sz w:val="24"/>
          <w:szCs w:val="24"/>
        </w:rPr>
        <w:t>www.tfzq.com</w:t>
      </w:r>
    </w:p>
    <w:p w:rsidR="004C526F" w:rsidRPr="00AE3FC1" w:rsidRDefault="00FF27A4" w:rsidP="0094154B">
      <w:pPr>
        <w:spacing w:line="360" w:lineRule="auto"/>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2、太平基金管理有限公司</w:t>
      </w:r>
    </w:p>
    <w:p w:rsidR="004C526F" w:rsidRPr="00AE3FC1" w:rsidRDefault="00FF27A4">
      <w:pPr>
        <w:spacing w:line="360" w:lineRule="auto"/>
        <w:ind w:firstLineChars="150" w:firstLine="36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客户服务电话：400-028-8699或021-61560999</w:t>
      </w:r>
    </w:p>
    <w:p w:rsidR="004C526F" w:rsidRPr="00AE3FC1" w:rsidRDefault="00FF27A4">
      <w:pPr>
        <w:spacing w:line="360" w:lineRule="auto"/>
        <w:ind w:firstLineChars="150" w:firstLine="36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公司网站：</w:t>
      </w:r>
      <w:hyperlink r:id="rId9" w:history="1">
        <w:r w:rsidRPr="00AE3FC1">
          <w:rPr>
            <w:rFonts w:asciiTheme="minorEastAsia" w:hAnsiTheme="minorEastAsia" w:hint="eastAsia"/>
            <w:color w:val="000000" w:themeColor="text1"/>
            <w:sz w:val="24"/>
            <w:szCs w:val="24"/>
          </w:rPr>
          <w:t>www.taipingfund.com.cn</w:t>
        </w:r>
      </w:hyperlink>
    </w:p>
    <w:p w:rsidR="004C526F" w:rsidRPr="00AE3FC1" w:rsidRDefault="004C526F">
      <w:pPr>
        <w:spacing w:line="360" w:lineRule="auto"/>
        <w:ind w:firstLineChars="150" w:firstLine="360"/>
        <w:rPr>
          <w:rFonts w:asciiTheme="minorEastAsia" w:hAnsiTheme="minorEastAsia"/>
          <w:color w:val="000000" w:themeColor="text1"/>
          <w:sz w:val="24"/>
          <w:szCs w:val="24"/>
        </w:rPr>
      </w:pPr>
    </w:p>
    <w:p w:rsidR="004C526F" w:rsidRPr="00AE3FC1" w:rsidRDefault="00FF27A4">
      <w:pPr>
        <w:spacing w:line="360" w:lineRule="auto"/>
        <w:rPr>
          <w:rFonts w:asciiTheme="minorEastAsia" w:hAnsiTheme="minorEastAsia"/>
          <w:b/>
          <w:color w:val="000000" w:themeColor="text1"/>
          <w:sz w:val="24"/>
          <w:szCs w:val="24"/>
        </w:rPr>
      </w:pPr>
      <w:r w:rsidRPr="00AE3FC1">
        <w:rPr>
          <w:rFonts w:asciiTheme="minorEastAsia" w:hAnsiTheme="minorEastAsia" w:hint="eastAsia"/>
          <w:b/>
          <w:color w:val="000000" w:themeColor="text1"/>
          <w:sz w:val="24"/>
          <w:szCs w:val="24"/>
        </w:rPr>
        <w:t>六、重要提示</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1、投资者办理基金交易等相关业务前，敬请仔细阅读相关基金的基金合同、基金招募说明书</w:t>
      </w:r>
      <w:r w:rsidR="00C32888" w:rsidRPr="00AE3FC1">
        <w:rPr>
          <w:rFonts w:asciiTheme="minorEastAsia" w:hAnsiTheme="minorEastAsia" w:hint="eastAsia"/>
          <w:color w:val="000000" w:themeColor="text1"/>
          <w:sz w:val="24"/>
          <w:szCs w:val="24"/>
        </w:rPr>
        <w:t>及其更新、基金产品资料概要及其更新</w:t>
      </w:r>
      <w:r w:rsidRPr="00AE3FC1">
        <w:rPr>
          <w:rFonts w:asciiTheme="minorEastAsia" w:hAnsiTheme="minorEastAsia" w:hint="eastAsia"/>
          <w:color w:val="000000" w:themeColor="text1"/>
          <w:sz w:val="24"/>
          <w:szCs w:val="24"/>
        </w:rPr>
        <w:t>、提示及相关业务规则和操作指南等文件；</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2、上述申购、赎回、转换以及定期定额投资业务仅适用于处于正常申购期及处于特定开放日和开放时间的基金。</w:t>
      </w:r>
      <w:r w:rsidRPr="00AE3FC1">
        <w:rPr>
          <w:rFonts w:asciiTheme="minorEastAsia" w:hAnsiTheme="minorEastAsia" w:hint="eastAsia"/>
          <w:b/>
          <w:color w:val="000000" w:themeColor="text1"/>
          <w:sz w:val="24"/>
          <w:szCs w:val="24"/>
        </w:rPr>
        <w:t>对于处于基金</w:t>
      </w:r>
      <w:r w:rsidR="00A34229" w:rsidRPr="00AE3FC1">
        <w:rPr>
          <w:rFonts w:asciiTheme="minorEastAsia" w:hAnsiTheme="minorEastAsia" w:hint="eastAsia"/>
          <w:b/>
          <w:color w:val="000000" w:themeColor="text1"/>
          <w:sz w:val="24"/>
          <w:szCs w:val="24"/>
        </w:rPr>
        <w:t>募集期、</w:t>
      </w:r>
      <w:r w:rsidRPr="00AE3FC1">
        <w:rPr>
          <w:rFonts w:asciiTheme="minorEastAsia" w:hAnsiTheme="minorEastAsia" w:hint="eastAsia"/>
          <w:b/>
          <w:color w:val="000000" w:themeColor="text1"/>
          <w:sz w:val="24"/>
          <w:szCs w:val="24"/>
        </w:rPr>
        <w:t>封闭期、暂停申购等特殊期间或有其他特殊安排等的有关规定敬请详见对应基金的基金合同和招募说明书等相关法律文件及本公司发布的最新业务公告</w:t>
      </w:r>
      <w:r w:rsidRPr="00AE3FC1">
        <w:rPr>
          <w:rFonts w:asciiTheme="minorEastAsia" w:hAnsiTheme="minorEastAsia" w:hint="eastAsia"/>
          <w:color w:val="000000" w:themeColor="text1"/>
          <w:sz w:val="24"/>
          <w:szCs w:val="24"/>
        </w:rPr>
        <w:t xml:space="preserve">； </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3、本公告凡涉及在</w:t>
      </w:r>
      <w:r w:rsidR="00685573">
        <w:rPr>
          <w:rFonts w:asciiTheme="minorEastAsia" w:hAnsiTheme="minorEastAsia" w:hint="eastAsia"/>
          <w:color w:val="000000" w:themeColor="text1"/>
          <w:sz w:val="24"/>
          <w:szCs w:val="24"/>
        </w:rPr>
        <w:t>天风</w:t>
      </w:r>
      <w:r w:rsidR="00425333">
        <w:rPr>
          <w:rFonts w:asciiTheme="minorEastAsia" w:hAnsiTheme="minorEastAsia" w:hint="eastAsia"/>
          <w:color w:val="000000" w:themeColor="text1"/>
          <w:sz w:val="24"/>
          <w:szCs w:val="24"/>
        </w:rPr>
        <w:t>证券</w:t>
      </w:r>
      <w:r w:rsidRPr="00AE3FC1">
        <w:rPr>
          <w:rFonts w:asciiTheme="minorEastAsia" w:hAnsiTheme="minorEastAsia" w:hint="eastAsia"/>
          <w:color w:val="000000" w:themeColor="text1"/>
          <w:sz w:val="24"/>
          <w:szCs w:val="24"/>
        </w:rPr>
        <w:t>办理</w:t>
      </w:r>
      <w:r w:rsidR="00A34229" w:rsidRPr="00AE3FC1">
        <w:rPr>
          <w:rFonts w:asciiTheme="minorEastAsia" w:hAnsiTheme="minorEastAsia" w:hint="eastAsia"/>
          <w:color w:val="000000" w:themeColor="text1"/>
          <w:sz w:val="24"/>
          <w:szCs w:val="24"/>
        </w:rPr>
        <w:t>认购、</w:t>
      </w:r>
      <w:r w:rsidRPr="00AE3FC1">
        <w:rPr>
          <w:rFonts w:asciiTheme="minorEastAsia" w:hAnsiTheme="minorEastAsia" w:hint="eastAsia"/>
          <w:color w:val="000000" w:themeColor="text1"/>
          <w:sz w:val="24"/>
          <w:szCs w:val="24"/>
        </w:rPr>
        <w:t>申购、转换或定期定额投资等业务的其他未明事项，敬请遵循</w:t>
      </w:r>
      <w:r w:rsidR="00F72765">
        <w:rPr>
          <w:rFonts w:asciiTheme="minorEastAsia" w:hAnsiTheme="minorEastAsia" w:hint="eastAsia"/>
          <w:color w:val="000000" w:themeColor="text1"/>
          <w:sz w:val="24"/>
          <w:szCs w:val="24"/>
        </w:rPr>
        <w:t>天风</w:t>
      </w:r>
      <w:r w:rsidR="00425333">
        <w:rPr>
          <w:rFonts w:asciiTheme="minorEastAsia" w:hAnsiTheme="minorEastAsia" w:hint="eastAsia"/>
          <w:color w:val="000000" w:themeColor="text1"/>
          <w:sz w:val="24"/>
          <w:szCs w:val="24"/>
        </w:rPr>
        <w:t>证券</w:t>
      </w:r>
      <w:r w:rsidRPr="00AE3FC1">
        <w:rPr>
          <w:rFonts w:asciiTheme="minorEastAsia" w:hAnsiTheme="minorEastAsia" w:hint="eastAsia"/>
          <w:color w:val="000000" w:themeColor="text1"/>
          <w:sz w:val="24"/>
          <w:szCs w:val="24"/>
        </w:rPr>
        <w:t>的具体安排和规定；</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4、本公告的最终解释权归本公司所有。</w:t>
      </w:r>
    </w:p>
    <w:p w:rsidR="004C526F" w:rsidRPr="00AE3FC1" w:rsidRDefault="004C526F">
      <w:pPr>
        <w:spacing w:line="360" w:lineRule="auto"/>
        <w:ind w:firstLineChars="200" w:firstLine="480"/>
        <w:rPr>
          <w:rFonts w:asciiTheme="minorEastAsia" w:hAnsiTheme="minorEastAsia"/>
          <w:color w:val="000000" w:themeColor="text1"/>
          <w:sz w:val="24"/>
          <w:szCs w:val="24"/>
        </w:rPr>
      </w:pPr>
    </w:p>
    <w:p w:rsidR="00474F2A"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风险提示：</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C526F" w:rsidRPr="00AE3FC1" w:rsidRDefault="00FF27A4">
      <w:pPr>
        <w:spacing w:line="360" w:lineRule="auto"/>
        <w:ind w:firstLineChars="200" w:firstLine="480"/>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特此公告</w:t>
      </w:r>
      <w:r w:rsidR="00474F2A" w:rsidRPr="00AE3FC1">
        <w:rPr>
          <w:rFonts w:asciiTheme="minorEastAsia" w:hAnsiTheme="minorEastAsia" w:hint="eastAsia"/>
          <w:color w:val="000000" w:themeColor="text1"/>
          <w:sz w:val="24"/>
          <w:szCs w:val="24"/>
        </w:rPr>
        <w:t>。</w:t>
      </w:r>
    </w:p>
    <w:p w:rsidR="004C526F" w:rsidRPr="00AE3FC1" w:rsidRDefault="004C526F">
      <w:pPr>
        <w:spacing w:line="360" w:lineRule="auto"/>
        <w:ind w:firstLineChars="200" w:firstLine="480"/>
        <w:rPr>
          <w:rFonts w:asciiTheme="minorEastAsia" w:hAnsiTheme="minorEastAsia"/>
          <w:color w:val="000000" w:themeColor="text1"/>
          <w:sz w:val="24"/>
          <w:szCs w:val="24"/>
        </w:rPr>
      </w:pPr>
    </w:p>
    <w:p w:rsidR="004C526F" w:rsidRPr="00AE3FC1" w:rsidRDefault="00FF27A4">
      <w:pPr>
        <w:spacing w:line="360" w:lineRule="auto"/>
        <w:ind w:right="220" w:firstLineChars="1850" w:firstLine="4440"/>
        <w:jc w:val="right"/>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太平基金管理有限公司</w:t>
      </w:r>
    </w:p>
    <w:p w:rsidR="004C526F" w:rsidRPr="00AE3FC1" w:rsidRDefault="00921954">
      <w:pPr>
        <w:spacing w:line="360" w:lineRule="auto"/>
        <w:ind w:right="220" w:firstLineChars="1950" w:firstLine="4680"/>
        <w:jc w:val="right"/>
        <w:rPr>
          <w:rFonts w:asciiTheme="minorEastAsia" w:hAnsiTheme="minorEastAsia"/>
          <w:color w:val="000000" w:themeColor="text1"/>
          <w:sz w:val="24"/>
          <w:szCs w:val="24"/>
        </w:rPr>
      </w:pPr>
      <w:r w:rsidRPr="00AE3FC1">
        <w:rPr>
          <w:rFonts w:asciiTheme="minorEastAsia" w:hAnsiTheme="minorEastAsia" w:hint="eastAsia"/>
          <w:color w:val="000000" w:themeColor="text1"/>
          <w:sz w:val="24"/>
          <w:szCs w:val="24"/>
        </w:rPr>
        <w:t>二〇二</w:t>
      </w:r>
      <w:r w:rsidR="00685573">
        <w:rPr>
          <w:rFonts w:asciiTheme="minorEastAsia" w:hAnsiTheme="minorEastAsia" w:hint="eastAsia"/>
          <w:color w:val="000000" w:themeColor="text1"/>
          <w:sz w:val="24"/>
          <w:szCs w:val="24"/>
        </w:rPr>
        <w:t>五</w:t>
      </w:r>
      <w:r w:rsidRPr="00AE3FC1">
        <w:rPr>
          <w:rFonts w:asciiTheme="minorEastAsia" w:hAnsiTheme="minorEastAsia" w:hint="eastAsia"/>
          <w:color w:val="000000" w:themeColor="text1"/>
          <w:sz w:val="24"/>
          <w:szCs w:val="24"/>
        </w:rPr>
        <w:t>年</w:t>
      </w:r>
      <w:r w:rsidR="00685573">
        <w:rPr>
          <w:rFonts w:asciiTheme="minorEastAsia" w:hAnsiTheme="minorEastAsia" w:hint="eastAsia"/>
          <w:color w:val="000000" w:themeColor="text1"/>
          <w:sz w:val="24"/>
          <w:szCs w:val="24"/>
        </w:rPr>
        <w:t>六</w:t>
      </w:r>
      <w:r w:rsidRPr="00AE3FC1">
        <w:rPr>
          <w:rFonts w:asciiTheme="minorEastAsia" w:hAnsiTheme="minorEastAsia" w:hint="eastAsia"/>
          <w:color w:val="000000" w:themeColor="text1"/>
          <w:sz w:val="24"/>
          <w:szCs w:val="24"/>
        </w:rPr>
        <w:t>月</w:t>
      </w:r>
      <w:r w:rsidR="00685573">
        <w:rPr>
          <w:rFonts w:asciiTheme="minorEastAsia" w:hAnsiTheme="minorEastAsia" w:hint="eastAsia"/>
          <w:color w:val="000000" w:themeColor="text1"/>
          <w:sz w:val="24"/>
          <w:szCs w:val="24"/>
        </w:rPr>
        <w:t>五</w:t>
      </w:r>
      <w:r w:rsidRPr="00AE3FC1">
        <w:rPr>
          <w:rFonts w:asciiTheme="minorEastAsia" w:hAnsiTheme="minorEastAsia" w:hint="eastAsia"/>
          <w:color w:val="000000" w:themeColor="text1"/>
          <w:sz w:val="24"/>
          <w:szCs w:val="24"/>
        </w:rPr>
        <w:t>日</w:t>
      </w:r>
    </w:p>
    <w:sectPr w:rsidR="004C526F" w:rsidRPr="00AE3FC1" w:rsidSect="007259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1DA" w:rsidRDefault="00A631DA"/>
  </w:endnote>
  <w:endnote w:type="continuationSeparator" w:id="0">
    <w:p w:rsidR="00A631DA" w:rsidRDefault="00A631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1DA" w:rsidRDefault="00A631DA"/>
  </w:footnote>
  <w:footnote w:type="continuationSeparator" w:id="0">
    <w:p w:rsidR="00A631DA" w:rsidRDefault="00A63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B5B80"/>
    <w:multiLevelType w:val="hybridMultilevel"/>
    <w:tmpl w:val="2186621C"/>
    <w:lvl w:ilvl="0" w:tplc="04090011">
      <w:start w:val="1"/>
      <w:numFmt w:val="decimal"/>
      <w:lvlText w:val="%1)"/>
      <w:lvlJc w:val="left"/>
      <w:pPr>
        <w:ind w:left="1021" w:hanging="420"/>
      </w:pPr>
    </w:lvl>
    <w:lvl w:ilvl="1" w:tplc="04090019">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夏楠">
    <w15:presenceInfo w15:providerId="AD" w15:userId="S-1-5-21-648475732-2829517624-2523546034-22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4280"/>
    <w:rsid w:val="00000A0A"/>
    <w:rsid w:val="00007804"/>
    <w:rsid w:val="000205AD"/>
    <w:rsid w:val="00022CCB"/>
    <w:rsid w:val="000268F7"/>
    <w:rsid w:val="000310C1"/>
    <w:rsid w:val="0004028B"/>
    <w:rsid w:val="00046C63"/>
    <w:rsid w:val="00054F97"/>
    <w:rsid w:val="00060205"/>
    <w:rsid w:val="00062332"/>
    <w:rsid w:val="0006625B"/>
    <w:rsid w:val="00077BDF"/>
    <w:rsid w:val="00085BF7"/>
    <w:rsid w:val="00097535"/>
    <w:rsid w:val="000A6F1F"/>
    <w:rsid w:val="000B0E35"/>
    <w:rsid w:val="000C785C"/>
    <w:rsid w:val="000D198E"/>
    <w:rsid w:val="000D702C"/>
    <w:rsid w:val="000E4994"/>
    <w:rsid w:val="000E6D9E"/>
    <w:rsid w:val="000E73B9"/>
    <w:rsid w:val="00102F3D"/>
    <w:rsid w:val="00105A16"/>
    <w:rsid w:val="00111BD6"/>
    <w:rsid w:val="00113860"/>
    <w:rsid w:val="00116EBF"/>
    <w:rsid w:val="001205BB"/>
    <w:rsid w:val="00132104"/>
    <w:rsid w:val="001357C1"/>
    <w:rsid w:val="00140CE7"/>
    <w:rsid w:val="0014367A"/>
    <w:rsid w:val="0014409C"/>
    <w:rsid w:val="001472CD"/>
    <w:rsid w:val="001478B5"/>
    <w:rsid w:val="00157C10"/>
    <w:rsid w:val="0016089F"/>
    <w:rsid w:val="00160FA9"/>
    <w:rsid w:val="001678A8"/>
    <w:rsid w:val="00172C1B"/>
    <w:rsid w:val="00176A8D"/>
    <w:rsid w:val="00187639"/>
    <w:rsid w:val="00187849"/>
    <w:rsid w:val="00190CCD"/>
    <w:rsid w:val="001A2FF5"/>
    <w:rsid w:val="001A5C67"/>
    <w:rsid w:val="001A7AAD"/>
    <w:rsid w:val="001B55BB"/>
    <w:rsid w:val="001D6EB4"/>
    <w:rsid w:val="001D7313"/>
    <w:rsid w:val="001E4FBD"/>
    <w:rsid w:val="001E6C9D"/>
    <w:rsid w:val="001E79E5"/>
    <w:rsid w:val="001F372A"/>
    <w:rsid w:val="002004A6"/>
    <w:rsid w:val="00202840"/>
    <w:rsid w:val="00202C49"/>
    <w:rsid w:val="00212D3A"/>
    <w:rsid w:val="00213ADF"/>
    <w:rsid w:val="0021411D"/>
    <w:rsid w:val="0021448A"/>
    <w:rsid w:val="00214817"/>
    <w:rsid w:val="00216EAB"/>
    <w:rsid w:val="002200D9"/>
    <w:rsid w:val="002254A8"/>
    <w:rsid w:val="002314EF"/>
    <w:rsid w:val="00241DD3"/>
    <w:rsid w:val="002430AA"/>
    <w:rsid w:val="002512B2"/>
    <w:rsid w:val="00253AD3"/>
    <w:rsid w:val="00254CBC"/>
    <w:rsid w:val="002600DE"/>
    <w:rsid w:val="00267478"/>
    <w:rsid w:val="0026765F"/>
    <w:rsid w:val="00272EF3"/>
    <w:rsid w:val="00273FBA"/>
    <w:rsid w:val="00275346"/>
    <w:rsid w:val="00275B81"/>
    <w:rsid w:val="00282B66"/>
    <w:rsid w:val="002864CC"/>
    <w:rsid w:val="00286EB6"/>
    <w:rsid w:val="00292246"/>
    <w:rsid w:val="00293F5D"/>
    <w:rsid w:val="00297F27"/>
    <w:rsid w:val="002A15A5"/>
    <w:rsid w:val="002A5EFE"/>
    <w:rsid w:val="002A7338"/>
    <w:rsid w:val="002B58DC"/>
    <w:rsid w:val="002C0E0F"/>
    <w:rsid w:val="002C756E"/>
    <w:rsid w:val="002C75BA"/>
    <w:rsid w:val="002C7F61"/>
    <w:rsid w:val="002D3097"/>
    <w:rsid w:val="002E1DFF"/>
    <w:rsid w:val="002E7EE7"/>
    <w:rsid w:val="002F3A84"/>
    <w:rsid w:val="002F3F36"/>
    <w:rsid w:val="002F5387"/>
    <w:rsid w:val="002F731B"/>
    <w:rsid w:val="00300D65"/>
    <w:rsid w:val="00301225"/>
    <w:rsid w:val="003114B1"/>
    <w:rsid w:val="00311976"/>
    <w:rsid w:val="003204CF"/>
    <w:rsid w:val="00322311"/>
    <w:rsid w:val="00322E95"/>
    <w:rsid w:val="003246BA"/>
    <w:rsid w:val="00325D6F"/>
    <w:rsid w:val="00333341"/>
    <w:rsid w:val="00334F28"/>
    <w:rsid w:val="003446D7"/>
    <w:rsid w:val="003525F9"/>
    <w:rsid w:val="00360D90"/>
    <w:rsid w:val="00363E08"/>
    <w:rsid w:val="00364F94"/>
    <w:rsid w:val="0036684C"/>
    <w:rsid w:val="003704CB"/>
    <w:rsid w:val="00370B62"/>
    <w:rsid w:val="00375EF5"/>
    <w:rsid w:val="00377D7F"/>
    <w:rsid w:val="00377FA8"/>
    <w:rsid w:val="003914CC"/>
    <w:rsid w:val="00391604"/>
    <w:rsid w:val="0039332F"/>
    <w:rsid w:val="003A13D0"/>
    <w:rsid w:val="003B5F21"/>
    <w:rsid w:val="003C2E74"/>
    <w:rsid w:val="003C5A5E"/>
    <w:rsid w:val="003C7FA7"/>
    <w:rsid w:val="003D44AA"/>
    <w:rsid w:val="003D73ED"/>
    <w:rsid w:val="003E1EF8"/>
    <w:rsid w:val="003E3812"/>
    <w:rsid w:val="003E59EA"/>
    <w:rsid w:val="003E5BFF"/>
    <w:rsid w:val="003F71E0"/>
    <w:rsid w:val="00401C3E"/>
    <w:rsid w:val="0040365E"/>
    <w:rsid w:val="0042038B"/>
    <w:rsid w:val="00425333"/>
    <w:rsid w:val="00426876"/>
    <w:rsid w:val="00442D1F"/>
    <w:rsid w:val="0045357F"/>
    <w:rsid w:val="00454899"/>
    <w:rsid w:val="004553F3"/>
    <w:rsid w:val="004614E4"/>
    <w:rsid w:val="00464B19"/>
    <w:rsid w:val="00465BB5"/>
    <w:rsid w:val="0047048C"/>
    <w:rsid w:val="00471365"/>
    <w:rsid w:val="00472D9F"/>
    <w:rsid w:val="00472E91"/>
    <w:rsid w:val="00474F2A"/>
    <w:rsid w:val="004774F6"/>
    <w:rsid w:val="00490B02"/>
    <w:rsid w:val="00491547"/>
    <w:rsid w:val="00493F9A"/>
    <w:rsid w:val="004A15E8"/>
    <w:rsid w:val="004A51D0"/>
    <w:rsid w:val="004C2DB9"/>
    <w:rsid w:val="004C526F"/>
    <w:rsid w:val="004C5930"/>
    <w:rsid w:val="004D1CA3"/>
    <w:rsid w:val="004E7CE5"/>
    <w:rsid w:val="004F352E"/>
    <w:rsid w:val="00504E96"/>
    <w:rsid w:val="005067A1"/>
    <w:rsid w:val="00511BE8"/>
    <w:rsid w:val="00516E34"/>
    <w:rsid w:val="00517496"/>
    <w:rsid w:val="00517D51"/>
    <w:rsid w:val="005226A8"/>
    <w:rsid w:val="00523899"/>
    <w:rsid w:val="00525E6E"/>
    <w:rsid w:val="005279D9"/>
    <w:rsid w:val="00531F8F"/>
    <w:rsid w:val="0053305A"/>
    <w:rsid w:val="00537333"/>
    <w:rsid w:val="00544EBB"/>
    <w:rsid w:val="00544F3E"/>
    <w:rsid w:val="0054526E"/>
    <w:rsid w:val="00552EF6"/>
    <w:rsid w:val="00563403"/>
    <w:rsid w:val="00571405"/>
    <w:rsid w:val="00576BFD"/>
    <w:rsid w:val="00577F47"/>
    <w:rsid w:val="00582F51"/>
    <w:rsid w:val="005852D3"/>
    <w:rsid w:val="005879FF"/>
    <w:rsid w:val="00587C1E"/>
    <w:rsid w:val="005907C2"/>
    <w:rsid w:val="005A50D9"/>
    <w:rsid w:val="005A7F99"/>
    <w:rsid w:val="005C1DA7"/>
    <w:rsid w:val="005C5921"/>
    <w:rsid w:val="005C5B83"/>
    <w:rsid w:val="005D0299"/>
    <w:rsid w:val="005D2B7F"/>
    <w:rsid w:val="005D62FE"/>
    <w:rsid w:val="005E3426"/>
    <w:rsid w:val="005F1D8D"/>
    <w:rsid w:val="00606B34"/>
    <w:rsid w:val="00614280"/>
    <w:rsid w:val="00620D59"/>
    <w:rsid w:val="00622415"/>
    <w:rsid w:val="0063184D"/>
    <w:rsid w:val="00640492"/>
    <w:rsid w:val="00641574"/>
    <w:rsid w:val="00641DD0"/>
    <w:rsid w:val="00643D49"/>
    <w:rsid w:val="006447BA"/>
    <w:rsid w:val="00646F55"/>
    <w:rsid w:val="00654157"/>
    <w:rsid w:val="00661D88"/>
    <w:rsid w:val="00663982"/>
    <w:rsid w:val="006657C8"/>
    <w:rsid w:val="00667CEF"/>
    <w:rsid w:val="0067146A"/>
    <w:rsid w:val="00676350"/>
    <w:rsid w:val="00685573"/>
    <w:rsid w:val="00693951"/>
    <w:rsid w:val="00694670"/>
    <w:rsid w:val="006B5373"/>
    <w:rsid w:val="006C2B38"/>
    <w:rsid w:val="006C6F5A"/>
    <w:rsid w:val="006C7A9D"/>
    <w:rsid w:val="006D4062"/>
    <w:rsid w:val="006D4490"/>
    <w:rsid w:val="006E26F1"/>
    <w:rsid w:val="006E32F1"/>
    <w:rsid w:val="006E6B47"/>
    <w:rsid w:val="006F5FD6"/>
    <w:rsid w:val="007000D3"/>
    <w:rsid w:val="00702FC2"/>
    <w:rsid w:val="007034A4"/>
    <w:rsid w:val="00705562"/>
    <w:rsid w:val="007055F8"/>
    <w:rsid w:val="0070587E"/>
    <w:rsid w:val="00706267"/>
    <w:rsid w:val="007075C5"/>
    <w:rsid w:val="00711223"/>
    <w:rsid w:val="00715AD3"/>
    <w:rsid w:val="007163AC"/>
    <w:rsid w:val="007200D3"/>
    <w:rsid w:val="00720306"/>
    <w:rsid w:val="00721D68"/>
    <w:rsid w:val="0072486F"/>
    <w:rsid w:val="00725990"/>
    <w:rsid w:val="0073234A"/>
    <w:rsid w:val="007370B7"/>
    <w:rsid w:val="00737956"/>
    <w:rsid w:val="00741567"/>
    <w:rsid w:val="00741AE4"/>
    <w:rsid w:val="007458B1"/>
    <w:rsid w:val="00747D94"/>
    <w:rsid w:val="0075320E"/>
    <w:rsid w:val="00754131"/>
    <w:rsid w:val="007547A6"/>
    <w:rsid w:val="0075493F"/>
    <w:rsid w:val="00762CA4"/>
    <w:rsid w:val="00772E14"/>
    <w:rsid w:val="00774805"/>
    <w:rsid w:val="00774D66"/>
    <w:rsid w:val="00780B17"/>
    <w:rsid w:val="00780B86"/>
    <w:rsid w:val="00781796"/>
    <w:rsid w:val="007820A6"/>
    <w:rsid w:val="00785543"/>
    <w:rsid w:val="00786FDD"/>
    <w:rsid w:val="007873C0"/>
    <w:rsid w:val="007A2CBD"/>
    <w:rsid w:val="007A342A"/>
    <w:rsid w:val="007A6295"/>
    <w:rsid w:val="007A767E"/>
    <w:rsid w:val="007A778D"/>
    <w:rsid w:val="007C2495"/>
    <w:rsid w:val="007E09BF"/>
    <w:rsid w:val="007E14E0"/>
    <w:rsid w:val="007E59F6"/>
    <w:rsid w:val="007E7433"/>
    <w:rsid w:val="007F2F47"/>
    <w:rsid w:val="00800149"/>
    <w:rsid w:val="00810205"/>
    <w:rsid w:val="00810D69"/>
    <w:rsid w:val="00811759"/>
    <w:rsid w:val="00812DC7"/>
    <w:rsid w:val="00821B94"/>
    <w:rsid w:val="00823F7C"/>
    <w:rsid w:val="00830B46"/>
    <w:rsid w:val="0083395B"/>
    <w:rsid w:val="00835B17"/>
    <w:rsid w:val="00836FC1"/>
    <w:rsid w:val="00840657"/>
    <w:rsid w:val="00843594"/>
    <w:rsid w:val="00845F83"/>
    <w:rsid w:val="0085155C"/>
    <w:rsid w:val="0085500F"/>
    <w:rsid w:val="008652C9"/>
    <w:rsid w:val="00865457"/>
    <w:rsid w:val="00870E94"/>
    <w:rsid w:val="00872BF3"/>
    <w:rsid w:val="00881E65"/>
    <w:rsid w:val="00884C39"/>
    <w:rsid w:val="008969C2"/>
    <w:rsid w:val="008A429D"/>
    <w:rsid w:val="008A4CD1"/>
    <w:rsid w:val="008A59B8"/>
    <w:rsid w:val="008A710A"/>
    <w:rsid w:val="008B2EA7"/>
    <w:rsid w:val="008B7380"/>
    <w:rsid w:val="008C49B3"/>
    <w:rsid w:val="008D2970"/>
    <w:rsid w:val="008D415A"/>
    <w:rsid w:val="008D5E78"/>
    <w:rsid w:val="008E0B31"/>
    <w:rsid w:val="008E0CD0"/>
    <w:rsid w:val="008F0CA9"/>
    <w:rsid w:val="008F32D9"/>
    <w:rsid w:val="008F682C"/>
    <w:rsid w:val="008F71E3"/>
    <w:rsid w:val="00905A25"/>
    <w:rsid w:val="009101C5"/>
    <w:rsid w:val="00920249"/>
    <w:rsid w:val="00921954"/>
    <w:rsid w:val="00925975"/>
    <w:rsid w:val="00930DDF"/>
    <w:rsid w:val="009315BC"/>
    <w:rsid w:val="0093392D"/>
    <w:rsid w:val="009366A5"/>
    <w:rsid w:val="0094154B"/>
    <w:rsid w:val="0095084F"/>
    <w:rsid w:val="00951AB0"/>
    <w:rsid w:val="00951B46"/>
    <w:rsid w:val="009555BB"/>
    <w:rsid w:val="00961BD5"/>
    <w:rsid w:val="00963BE1"/>
    <w:rsid w:val="00967C93"/>
    <w:rsid w:val="009717C3"/>
    <w:rsid w:val="00972DDD"/>
    <w:rsid w:val="00983A9B"/>
    <w:rsid w:val="009858CA"/>
    <w:rsid w:val="00990AE8"/>
    <w:rsid w:val="009B6E37"/>
    <w:rsid w:val="009B74E4"/>
    <w:rsid w:val="009C082A"/>
    <w:rsid w:val="009C37E3"/>
    <w:rsid w:val="009C4534"/>
    <w:rsid w:val="009D2F36"/>
    <w:rsid w:val="009D4C9F"/>
    <w:rsid w:val="009D5317"/>
    <w:rsid w:val="009E0C1E"/>
    <w:rsid w:val="009F210B"/>
    <w:rsid w:val="009F5F64"/>
    <w:rsid w:val="009F6260"/>
    <w:rsid w:val="009F6366"/>
    <w:rsid w:val="00A00721"/>
    <w:rsid w:val="00A00BE1"/>
    <w:rsid w:val="00A0182D"/>
    <w:rsid w:val="00A02FF7"/>
    <w:rsid w:val="00A12C30"/>
    <w:rsid w:val="00A17925"/>
    <w:rsid w:val="00A34222"/>
    <w:rsid w:val="00A34229"/>
    <w:rsid w:val="00A3727B"/>
    <w:rsid w:val="00A41D6C"/>
    <w:rsid w:val="00A41F18"/>
    <w:rsid w:val="00A46F5C"/>
    <w:rsid w:val="00A572E6"/>
    <w:rsid w:val="00A631DA"/>
    <w:rsid w:val="00A65941"/>
    <w:rsid w:val="00A670D8"/>
    <w:rsid w:val="00A70707"/>
    <w:rsid w:val="00A8540C"/>
    <w:rsid w:val="00A86D75"/>
    <w:rsid w:val="00A876F5"/>
    <w:rsid w:val="00A87A21"/>
    <w:rsid w:val="00A912AD"/>
    <w:rsid w:val="00A97BCE"/>
    <w:rsid w:val="00AA62F9"/>
    <w:rsid w:val="00AA7355"/>
    <w:rsid w:val="00AB4A40"/>
    <w:rsid w:val="00AB534C"/>
    <w:rsid w:val="00AB6818"/>
    <w:rsid w:val="00AC08D8"/>
    <w:rsid w:val="00AC0BA0"/>
    <w:rsid w:val="00AC197E"/>
    <w:rsid w:val="00AC45A7"/>
    <w:rsid w:val="00AC49DF"/>
    <w:rsid w:val="00AD1FAE"/>
    <w:rsid w:val="00AD5C64"/>
    <w:rsid w:val="00AD719E"/>
    <w:rsid w:val="00AD7CC4"/>
    <w:rsid w:val="00AE0D4C"/>
    <w:rsid w:val="00AE3FC1"/>
    <w:rsid w:val="00AF0CE8"/>
    <w:rsid w:val="00AF2CC5"/>
    <w:rsid w:val="00B06841"/>
    <w:rsid w:val="00B07E7C"/>
    <w:rsid w:val="00B15E67"/>
    <w:rsid w:val="00B16341"/>
    <w:rsid w:val="00B17B2E"/>
    <w:rsid w:val="00B2234C"/>
    <w:rsid w:val="00B32570"/>
    <w:rsid w:val="00B354C1"/>
    <w:rsid w:val="00B361B1"/>
    <w:rsid w:val="00B43DCF"/>
    <w:rsid w:val="00B56395"/>
    <w:rsid w:val="00B5678F"/>
    <w:rsid w:val="00B6008B"/>
    <w:rsid w:val="00B70499"/>
    <w:rsid w:val="00B71395"/>
    <w:rsid w:val="00B73274"/>
    <w:rsid w:val="00B7710D"/>
    <w:rsid w:val="00B77138"/>
    <w:rsid w:val="00B80C6A"/>
    <w:rsid w:val="00B86DF5"/>
    <w:rsid w:val="00B87904"/>
    <w:rsid w:val="00BA00E2"/>
    <w:rsid w:val="00BA7977"/>
    <w:rsid w:val="00BB179C"/>
    <w:rsid w:val="00BB18F1"/>
    <w:rsid w:val="00BB4B19"/>
    <w:rsid w:val="00BC2AE2"/>
    <w:rsid w:val="00BD52CF"/>
    <w:rsid w:val="00BD6A79"/>
    <w:rsid w:val="00BE0239"/>
    <w:rsid w:val="00BE0941"/>
    <w:rsid w:val="00BE1EC2"/>
    <w:rsid w:val="00C0465B"/>
    <w:rsid w:val="00C07B8A"/>
    <w:rsid w:val="00C124AA"/>
    <w:rsid w:val="00C135EF"/>
    <w:rsid w:val="00C16034"/>
    <w:rsid w:val="00C31A0C"/>
    <w:rsid w:val="00C3206A"/>
    <w:rsid w:val="00C32464"/>
    <w:rsid w:val="00C32888"/>
    <w:rsid w:val="00C35D19"/>
    <w:rsid w:val="00C4143F"/>
    <w:rsid w:val="00C4480C"/>
    <w:rsid w:val="00C5545D"/>
    <w:rsid w:val="00C5608F"/>
    <w:rsid w:val="00C56B3D"/>
    <w:rsid w:val="00C56F56"/>
    <w:rsid w:val="00C60F2A"/>
    <w:rsid w:val="00C65951"/>
    <w:rsid w:val="00C66014"/>
    <w:rsid w:val="00C66189"/>
    <w:rsid w:val="00C725E2"/>
    <w:rsid w:val="00C852CA"/>
    <w:rsid w:val="00C916D5"/>
    <w:rsid w:val="00C930FC"/>
    <w:rsid w:val="00C93776"/>
    <w:rsid w:val="00C95F72"/>
    <w:rsid w:val="00CA268D"/>
    <w:rsid w:val="00CA5BB8"/>
    <w:rsid w:val="00CA6E67"/>
    <w:rsid w:val="00CB104D"/>
    <w:rsid w:val="00CB1557"/>
    <w:rsid w:val="00CB24B5"/>
    <w:rsid w:val="00CB4F50"/>
    <w:rsid w:val="00CB65D2"/>
    <w:rsid w:val="00CB6CE0"/>
    <w:rsid w:val="00CC1682"/>
    <w:rsid w:val="00CC273B"/>
    <w:rsid w:val="00CF4CAC"/>
    <w:rsid w:val="00D02BC1"/>
    <w:rsid w:val="00D046A6"/>
    <w:rsid w:val="00D250E9"/>
    <w:rsid w:val="00D25650"/>
    <w:rsid w:val="00D2769B"/>
    <w:rsid w:val="00D32D7A"/>
    <w:rsid w:val="00D343C2"/>
    <w:rsid w:val="00D37416"/>
    <w:rsid w:val="00D4113C"/>
    <w:rsid w:val="00D433CC"/>
    <w:rsid w:val="00D53055"/>
    <w:rsid w:val="00D5771D"/>
    <w:rsid w:val="00D6252A"/>
    <w:rsid w:val="00D63DA0"/>
    <w:rsid w:val="00D71F21"/>
    <w:rsid w:val="00D74206"/>
    <w:rsid w:val="00D75AF7"/>
    <w:rsid w:val="00D80396"/>
    <w:rsid w:val="00D83537"/>
    <w:rsid w:val="00D86772"/>
    <w:rsid w:val="00D915D4"/>
    <w:rsid w:val="00DA23CC"/>
    <w:rsid w:val="00DA3A09"/>
    <w:rsid w:val="00DA58D0"/>
    <w:rsid w:val="00DA6326"/>
    <w:rsid w:val="00DB6762"/>
    <w:rsid w:val="00DB6DBF"/>
    <w:rsid w:val="00DB7A65"/>
    <w:rsid w:val="00DC0985"/>
    <w:rsid w:val="00DC0CC4"/>
    <w:rsid w:val="00DD50BA"/>
    <w:rsid w:val="00DD5735"/>
    <w:rsid w:val="00DD5D8E"/>
    <w:rsid w:val="00DE019F"/>
    <w:rsid w:val="00DE2BDF"/>
    <w:rsid w:val="00DF5396"/>
    <w:rsid w:val="00DF7FC6"/>
    <w:rsid w:val="00E00157"/>
    <w:rsid w:val="00E022A6"/>
    <w:rsid w:val="00E02374"/>
    <w:rsid w:val="00E06254"/>
    <w:rsid w:val="00E0668F"/>
    <w:rsid w:val="00E07B3A"/>
    <w:rsid w:val="00E14D56"/>
    <w:rsid w:val="00E16028"/>
    <w:rsid w:val="00E16523"/>
    <w:rsid w:val="00E168D7"/>
    <w:rsid w:val="00E2245B"/>
    <w:rsid w:val="00E35A32"/>
    <w:rsid w:val="00E37BF1"/>
    <w:rsid w:val="00E406FB"/>
    <w:rsid w:val="00E479C8"/>
    <w:rsid w:val="00E52C68"/>
    <w:rsid w:val="00E544CF"/>
    <w:rsid w:val="00E54A6D"/>
    <w:rsid w:val="00E55797"/>
    <w:rsid w:val="00E64553"/>
    <w:rsid w:val="00E66B51"/>
    <w:rsid w:val="00E706C6"/>
    <w:rsid w:val="00E71AAC"/>
    <w:rsid w:val="00E7318B"/>
    <w:rsid w:val="00E8176B"/>
    <w:rsid w:val="00E94D9B"/>
    <w:rsid w:val="00EA489F"/>
    <w:rsid w:val="00EA5C17"/>
    <w:rsid w:val="00EB3168"/>
    <w:rsid w:val="00EB369A"/>
    <w:rsid w:val="00EB402C"/>
    <w:rsid w:val="00EC271E"/>
    <w:rsid w:val="00EC2A92"/>
    <w:rsid w:val="00EC783D"/>
    <w:rsid w:val="00ED0F92"/>
    <w:rsid w:val="00ED15A1"/>
    <w:rsid w:val="00ED2728"/>
    <w:rsid w:val="00EE0AA0"/>
    <w:rsid w:val="00EE1D7E"/>
    <w:rsid w:val="00EE3B95"/>
    <w:rsid w:val="00EE4E00"/>
    <w:rsid w:val="00EF0F38"/>
    <w:rsid w:val="00F01A24"/>
    <w:rsid w:val="00F04C5B"/>
    <w:rsid w:val="00F06FBF"/>
    <w:rsid w:val="00F109EE"/>
    <w:rsid w:val="00F10AC7"/>
    <w:rsid w:val="00F15B82"/>
    <w:rsid w:val="00F171FE"/>
    <w:rsid w:val="00F20536"/>
    <w:rsid w:val="00F222BA"/>
    <w:rsid w:val="00F25534"/>
    <w:rsid w:val="00F2600A"/>
    <w:rsid w:val="00F26D79"/>
    <w:rsid w:val="00F27FBD"/>
    <w:rsid w:val="00F312EB"/>
    <w:rsid w:val="00F42CC9"/>
    <w:rsid w:val="00F44265"/>
    <w:rsid w:val="00F45917"/>
    <w:rsid w:val="00F52388"/>
    <w:rsid w:val="00F55FB8"/>
    <w:rsid w:val="00F5715D"/>
    <w:rsid w:val="00F6344C"/>
    <w:rsid w:val="00F6439B"/>
    <w:rsid w:val="00F651DD"/>
    <w:rsid w:val="00F67E37"/>
    <w:rsid w:val="00F72765"/>
    <w:rsid w:val="00F75BC2"/>
    <w:rsid w:val="00F96B21"/>
    <w:rsid w:val="00F97290"/>
    <w:rsid w:val="00FA026F"/>
    <w:rsid w:val="00FA6F2A"/>
    <w:rsid w:val="00FB20FC"/>
    <w:rsid w:val="00FB2B13"/>
    <w:rsid w:val="00FB33B8"/>
    <w:rsid w:val="00FB3EB6"/>
    <w:rsid w:val="00FB60D0"/>
    <w:rsid w:val="00FC44DD"/>
    <w:rsid w:val="00FD5B79"/>
    <w:rsid w:val="00FE78C4"/>
    <w:rsid w:val="00FF0F0C"/>
    <w:rsid w:val="00FF2077"/>
    <w:rsid w:val="00FF27A4"/>
    <w:rsid w:val="17BF68D5"/>
    <w:rsid w:val="39D018F6"/>
    <w:rsid w:val="3E7A174F"/>
    <w:rsid w:val="5BB65B49"/>
    <w:rsid w:val="64134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9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25990"/>
    <w:pPr>
      <w:jc w:val="left"/>
    </w:pPr>
  </w:style>
  <w:style w:type="paragraph" w:styleId="a4">
    <w:name w:val="Balloon Text"/>
    <w:basedOn w:val="a"/>
    <w:link w:val="Char0"/>
    <w:uiPriority w:val="99"/>
    <w:semiHidden/>
    <w:unhideWhenUsed/>
    <w:rsid w:val="00725990"/>
    <w:rPr>
      <w:sz w:val="18"/>
      <w:szCs w:val="18"/>
    </w:rPr>
  </w:style>
  <w:style w:type="paragraph" w:styleId="a5">
    <w:name w:val="footer"/>
    <w:basedOn w:val="a"/>
    <w:link w:val="Char1"/>
    <w:uiPriority w:val="99"/>
    <w:unhideWhenUsed/>
    <w:rsid w:val="0072599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2599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725990"/>
    <w:rPr>
      <w:b/>
      <w:bCs/>
    </w:rPr>
  </w:style>
  <w:style w:type="table" w:styleId="a8">
    <w:name w:val="Table Grid"/>
    <w:basedOn w:val="a1"/>
    <w:uiPriority w:val="59"/>
    <w:qFormat/>
    <w:rsid w:val="00725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25990"/>
    <w:rPr>
      <w:color w:val="0000FF" w:themeColor="hyperlink"/>
      <w:u w:val="single"/>
    </w:rPr>
  </w:style>
  <w:style w:type="character" w:styleId="aa">
    <w:name w:val="annotation reference"/>
    <w:basedOn w:val="a0"/>
    <w:uiPriority w:val="99"/>
    <w:semiHidden/>
    <w:unhideWhenUsed/>
    <w:qFormat/>
    <w:rsid w:val="00725990"/>
    <w:rPr>
      <w:sz w:val="21"/>
      <w:szCs w:val="21"/>
    </w:rPr>
  </w:style>
  <w:style w:type="character" w:customStyle="1" w:styleId="Char0">
    <w:name w:val="批注框文本 Char"/>
    <w:basedOn w:val="a0"/>
    <w:link w:val="a4"/>
    <w:uiPriority w:val="99"/>
    <w:semiHidden/>
    <w:rsid w:val="00725990"/>
    <w:rPr>
      <w:sz w:val="18"/>
      <w:szCs w:val="18"/>
    </w:rPr>
  </w:style>
  <w:style w:type="paragraph" w:styleId="ab">
    <w:name w:val="List Paragraph"/>
    <w:basedOn w:val="a"/>
    <w:uiPriority w:val="34"/>
    <w:qFormat/>
    <w:rsid w:val="00725990"/>
    <w:pPr>
      <w:ind w:firstLineChars="200" w:firstLine="420"/>
    </w:pPr>
  </w:style>
  <w:style w:type="character" w:customStyle="1" w:styleId="Char">
    <w:name w:val="批注文字 Char"/>
    <w:basedOn w:val="a0"/>
    <w:link w:val="a3"/>
    <w:uiPriority w:val="99"/>
    <w:semiHidden/>
    <w:rsid w:val="00725990"/>
  </w:style>
  <w:style w:type="character" w:customStyle="1" w:styleId="Char3">
    <w:name w:val="批注主题 Char"/>
    <w:basedOn w:val="Char"/>
    <w:link w:val="a7"/>
    <w:uiPriority w:val="99"/>
    <w:semiHidden/>
    <w:qFormat/>
    <w:rsid w:val="00725990"/>
    <w:rPr>
      <w:b/>
      <w:bCs/>
    </w:rPr>
  </w:style>
  <w:style w:type="character" w:customStyle="1" w:styleId="Char2">
    <w:name w:val="页眉 Char"/>
    <w:basedOn w:val="a0"/>
    <w:link w:val="a6"/>
    <w:uiPriority w:val="99"/>
    <w:qFormat/>
    <w:rsid w:val="00725990"/>
    <w:rPr>
      <w:sz w:val="18"/>
      <w:szCs w:val="18"/>
    </w:rPr>
  </w:style>
  <w:style w:type="character" w:customStyle="1" w:styleId="Char1">
    <w:name w:val="页脚 Char"/>
    <w:basedOn w:val="a0"/>
    <w:link w:val="a5"/>
    <w:uiPriority w:val="99"/>
    <w:rsid w:val="00725990"/>
    <w:rPr>
      <w:sz w:val="18"/>
      <w:szCs w:val="18"/>
    </w:rPr>
  </w:style>
  <w:style w:type="paragraph" w:customStyle="1" w:styleId="1">
    <w:name w:val="修订1"/>
    <w:hidden/>
    <w:uiPriority w:val="99"/>
    <w:unhideWhenUsed/>
    <w:rsid w:val="00725990"/>
    <w:rPr>
      <w:kern w:val="2"/>
      <w:sz w:val="21"/>
      <w:szCs w:val="22"/>
    </w:rPr>
  </w:style>
  <w:style w:type="paragraph" w:styleId="ac">
    <w:name w:val="Revision"/>
    <w:hidden/>
    <w:uiPriority w:val="99"/>
    <w:semiHidden/>
    <w:rsid w:val="0016089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1">
    <w:name w:val="修订1"/>
    <w:hidden/>
    <w:uiPriority w:val="99"/>
    <w:unhideWhenUsed/>
    <w:rPr>
      <w:kern w:val="2"/>
      <w:sz w:val="21"/>
      <w:szCs w:val="22"/>
    </w:rPr>
  </w:style>
  <w:style w:type="paragraph" w:styleId="ac">
    <w:name w:val="Revision"/>
    <w:hidden/>
    <w:uiPriority w:val="99"/>
    <w:semiHidden/>
    <w:rsid w:val="0016089F"/>
    <w:rPr>
      <w:kern w:val="2"/>
      <w:sz w:val="21"/>
      <w:szCs w:val="22"/>
    </w:rPr>
  </w:style>
</w:styles>
</file>

<file path=word/webSettings.xml><?xml version="1.0" encoding="utf-8"?>
<w:webSettings xmlns:r="http://schemas.openxmlformats.org/officeDocument/2006/relationships" xmlns:w="http://schemas.openxmlformats.org/wordprocessingml/2006/main">
  <w:divs>
    <w:div w:id="355355823">
      <w:bodyDiv w:val="1"/>
      <w:marLeft w:val="0"/>
      <w:marRight w:val="0"/>
      <w:marTop w:val="0"/>
      <w:marBottom w:val="0"/>
      <w:divBdr>
        <w:top w:val="none" w:sz="0" w:space="0" w:color="auto"/>
        <w:left w:val="none" w:sz="0" w:space="0" w:color="auto"/>
        <w:bottom w:val="none" w:sz="0" w:space="0" w:color="auto"/>
        <w:right w:val="none" w:sz="0" w:space="0" w:color="auto"/>
      </w:divBdr>
    </w:div>
    <w:div w:id="434789721">
      <w:bodyDiv w:val="1"/>
      <w:marLeft w:val="0"/>
      <w:marRight w:val="0"/>
      <w:marTop w:val="0"/>
      <w:marBottom w:val="0"/>
      <w:divBdr>
        <w:top w:val="none" w:sz="0" w:space="0" w:color="auto"/>
        <w:left w:val="none" w:sz="0" w:space="0" w:color="auto"/>
        <w:bottom w:val="none" w:sz="0" w:space="0" w:color="auto"/>
        <w:right w:val="none" w:sz="0" w:space="0" w:color="auto"/>
      </w:divBdr>
    </w:div>
    <w:div w:id="473058980">
      <w:bodyDiv w:val="1"/>
      <w:marLeft w:val="0"/>
      <w:marRight w:val="0"/>
      <w:marTop w:val="0"/>
      <w:marBottom w:val="0"/>
      <w:divBdr>
        <w:top w:val="none" w:sz="0" w:space="0" w:color="auto"/>
        <w:left w:val="none" w:sz="0" w:space="0" w:color="auto"/>
        <w:bottom w:val="none" w:sz="0" w:space="0" w:color="auto"/>
        <w:right w:val="none" w:sz="0" w:space="0" w:color="auto"/>
      </w:divBdr>
    </w:div>
    <w:div w:id="597173657">
      <w:bodyDiv w:val="1"/>
      <w:marLeft w:val="0"/>
      <w:marRight w:val="0"/>
      <w:marTop w:val="0"/>
      <w:marBottom w:val="0"/>
      <w:divBdr>
        <w:top w:val="none" w:sz="0" w:space="0" w:color="auto"/>
        <w:left w:val="none" w:sz="0" w:space="0" w:color="auto"/>
        <w:bottom w:val="none" w:sz="0" w:space="0" w:color="auto"/>
        <w:right w:val="none" w:sz="0" w:space="0" w:color="auto"/>
      </w:divBdr>
    </w:div>
    <w:div w:id="954755879">
      <w:bodyDiv w:val="1"/>
      <w:marLeft w:val="0"/>
      <w:marRight w:val="0"/>
      <w:marTop w:val="0"/>
      <w:marBottom w:val="0"/>
      <w:divBdr>
        <w:top w:val="none" w:sz="0" w:space="0" w:color="auto"/>
        <w:left w:val="none" w:sz="0" w:space="0" w:color="auto"/>
        <w:bottom w:val="none" w:sz="0" w:space="0" w:color="auto"/>
        <w:right w:val="none" w:sz="0" w:space="0" w:color="auto"/>
      </w:divBdr>
    </w:div>
    <w:div w:id="963121020">
      <w:bodyDiv w:val="1"/>
      <w:marLeft w:val="0"/>
      <w:marRight w:val="0"/>
      <w:marTop w:val="0"/>
      <w:marBottom w:val="0"/>
      <w:divBdr>
        <w:top w:val="none" w:sz="0" w:space="0" w:color="auto"/>
        <w:left w:val="none" w:sz="0" w:space="0" w:color="auto"/>
        <w:bottom w:val="none" w:sz="0" w:space="0" w:color="auto"/>
        <w:right w:val="none" w:sz="0" w:space="0" w:color="auto"/>
      </w:divBdr>
    </w:div>
    <w:div w:id="1205290642">
      <w:bodyDiv w:val="1"/>
      <w:marLeft w:val="0"/>
      <w:marRight w:val="0"/>
      <w:marTop w:val="0"/>
      <w:marBottom w:val="0"/>
      <w:divBdr>
        <w:top w:val="none" w:sz="0" w:space="0" w:color="auto"/>
        <w:left w:val="none" w:sz="0" w:space="0" w:color="auto"/>
        <w:bottom w:val="none" w:sz="0" w:space="0" w:color="auto"/>
        <w:right w:val="none" w:sz="0" w:space="0" w:color="auto"/>
      </w:divBdr>
    </w:div>
    <w:div w:id="1429695853">
      <w:bodyDiv w:val="1"/>
      <w:marLeft w:val="0"/>
      <w:marRight w:val="0"/>
      <w:marTop w:val="0"/>
      <w:marBottom w:val="0"/>
      <w:divBdr>
        <w:top w:val="none" w:sz="0" w:space="0" w:color="auto"/>
        <w:left w:val="none" w:sz="0" w:space="0" w:color="auto"/>
        <w:bottom w:val="none" w:sz="0" w:space="0" w:color="auto"/>
        <w:right w:val="none" w:sz="0" w:space="0" w:color="auto"/>
      </w:divBdr>
      <w:divsChild>
        <w:div w:id="1337881398">
          <w:marLeft w:val="0"/>
          <w:marRight w:val="0"/>
          <w:marTop w:val="0"/>
          <w:marBottom w:val="0"/>
          <w:divBdr>
            <w:top w:val="none" w:sz="0" w:space="0" w:color="auto"/>
            <w:left w:val="none" w:sz="0" w:space="0" w:color="auto"/>
            <w:bottom w:val="none" w:sz="0" w:space="0" w:color="auto"/>
            <w:right w:val="none" w:sz="0" w:space="0" w:color="auto"/>
          </w:divBdr>
          <w:divsChild>
            <w:div w:id="165445186">
              <w:marLeft w:val="0"/>
              <w:marRight w:val="0"/>
              <w:marTop w:val="0"/>
              <w:marBottom w:val="0"/>
              <w:divBdr>
                <w:top w:val="none" w:sz="0" w:space="0" w:color="auto"/>
                <w:left w:val="none" w:sz="0" w:space="0" w:color="auto"/>
                <w:bottom w:val="none" w:sz="0" w:space="0" w:color="auto"/>
                <w:right w:val="none" w:sz="0" w:space="0" w:color="auto"/>
              </w:divBdr>
              <w:divsChild>
                <w:div w:id="1144202466">
                  <w:marLeft w:val="0"/>
                  <w:marRight w:val="0"/>
                  <w:marTop w:val="0"/>
                  <w:marBottom w:val="0"/>
                  <w:divBdr>
                    <w:top w:val="none" w:sz="0" w:space="0" w:color="auto"/>
                    <w:left w:val="none" w:sz="0" w:space="0" w:color="auto"/>
                    <w:bottom w:val="none" w:sz="0" w:space="0" w:color="auto"/>
                    <w:right w:val="none" w:sz="0" w:space="0" w:color="auto"/>
                  </w:divBdr>
                  <w:divsChild>
                    <w:div w:id="374962133">
                      <w:marLeft w:val="600"/>
                      <w:marRight w:val="0"/>
                      <w:marTop w:val="0"/>
                      <w:marBottom w:val="0"/>
                      <w:divBdr>
                        <w:top w:val="none" w:sz="0" w:space="0" w:color="auto"/>
                        <w:left w:val="none" w:sz="0" w:space="0" w:color="auto"/>
                        <w:bottom w:val="none" w:sz="0" w:space="0" w:color="auto"/>
                        <w:right w:val="none" w:sz="0" w:space="0" w:color="auto"/>
                      </w:divBdr>
                      <w:divsChild>
                        <w:div w:id="18958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09992">
          <w:marLeft w:val="600"/>
          <w:marRight w:val="0"/>
          <w:marTop w:val="0"/>
          <w:marBottom w:val="0"/>
          <w:divBdr>
            <w:top w:val="none" w:sz="0" w:space="0" w:color="auto"/>
            <w:left w:val="none" w:sz="0" w:space="0" w:color="auto"/>
            <w:bottom w:val="none" w:sz="0" w:space="0" w:color="auto"/>
            <w:right w:val="none" w:sz="0" w:space="0" w:color="auto"/>
          </w:divBdr>
          <w:divsChild>
            <w:div w:id="1170660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41606026">
      <w:bodyDiv w:val="1"/>
      <w:marLeft w:val="0"/>
      <w:marRight w:val="0"/>
      <w:marTop w:val="0"/>
      <w:marBottom w:val="0"/>
      <w:divBdr>
        <w:top w:val="none" w:sz="0" w:space="0" w:color="auto"/>
        <w:left w:val="none" w:sz="0" w:space="0" w:color="auto"/>
        <w:bottom w:val="none" w:sz="0" w:space="0" w:color="auto"/>
        <w:right w:val="none" w:sz="0" w:space="0" w:color="auto"/>
      </w:divBdr>
    </w:div>
    <w:div w:id="1505628128">
      <w:bodyDiv w:val="1"/>
      <w:marLeft w:val="0"/>
      <w:marRight w:val="0"/>
      <w:marTop w:val="0"/>
      <w:marBottom w:val="0"/>
      <w:divBdr>
        <w:top w:val="none" w:sz="0" w:space="0" w:color="auto"/>
        <w:left w:val="none" w:sz="0" w:space="0" w:color="auto"/>
        <w:bottom w:val="none" w:sz="0" w:space="0" w:color="auto"/>
        <w:right w:val="none" w:sz="0" w:space="0" w:color="auto"/>
      </w:divBdr>
    </w:div>
    <w:div w:id="1630236816">
      <w:bodyDiv w:val="1"/>
      <w:marLeft w:val="0"/>
      <w:marRight w:val="0"/>
      <w:marTop w:val="0"/>
      <w:marBottom w:val="0"/>
      <w:divBdr>
        <w:top w:val="none" w:sz="0" w:space="0" w:color="auto"/>
        <w:left w:val="none" w:sz="0" w:space="0" w:color="auto"/>
        <w:bottom w:val="none" w:sz="0" w:space="0" w:color="auto"/>
        <w:right w:val="none" w:sz="0" w:space="0" w:color="auto"/>
      </w:divBdr>
    </w:div>
    <w:div w:id="1705982918">
      <w:bodyDiv w:val="1"/>
      <w:marLeft w:val="0"/>
      <w:marRight w:val="0"/>
      <w:marTop w:val="0"/>
      <w:marBottom w:val="0"/>
      <w:divBdr>
        <w:top w:val="none" w:sz="0" w:space="0" w:color="auto"/>
        <w:left w:val="none" w:sz="0" w:space="0" w:color="auto"/>
        <w:bottom w:val="none" w:sz="0" w:space="0" w:color="auto"/>
        <w:right w:val="none" w:sz="0" w:space="0" w:color="auto"/>
      </w:divBdr>
    </w:div>
    <w:div w:id="1874725896">
      <w:bodyDiv w:val="1"/>
      <w:marLeft w:val="0"/>
      <w:marRight w:val="0"/>
      <w:marTop w:val="0"/>
      <w:marBottom w:val="0"/>
      <w:divBdr>
        <w:top w:val="none" w:sz="0" w:space="0" w:color="auto"/>
        <w:left w:val="none" w:sz="0" w:space="0" w:color="auto"/>
        <w:bottom w:val="none" w:sz="0" w:space="0" w:color="auto"/>
        <w:right w:val="none" w:sz="0" w:space="0" w:color="auto"/>
      </w:divBdr>
    </w:div>
    <w:div w:id="1952667872">
      <w:bodyDiv w:val="1"/>
      <w:marLeft w:val="0"/>
      <w:marRight w:val="0"/>
      <w:marTop w:val="0"/>
      <w:marBottom w:val="0"/>
      <w:divBdr>
        <w:top w:val="none" w:sz="0" w:space="0" w:color="auto"/>
        <w:left w:val="none" w:sz="0" w:space="0" w:color="auto"/>
        <w:bottom w:val="none" w:sz="0" w:space="0" w:color="auto"/>
        <w:right w:val="none" w:sz="0" w:space="0" w:color="auto"/>
      </w:divBdr>
    </w:div>
    <w:div w:id="2140681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aipingfund.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C5AC1-FBEB-421D-A558-9EF782D5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3841</Characters>
  <Application>Microsoft Office Word</Application>
  <DocSecurity>4</DocSecurity>
  <Lines>32</Lines>
  <Paragraphs>9</Paragraphs>
  <ScaleCrop>false</ScaleCrop>
  <Company>Microsoft</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肖钦文</dc:creator>
  <cp:lastModifiedBy>ZHONGM</cp:lastModifiedBy>
  <cp:revision>2</cp:revision>
  <cp:lastPrinted>2020-03-11T08:05:00Z</cp:lastPrinted>
  <dcterms:created xsi:type="dcterms:W3CDTF">2025-06-04T16:00:00Z</dcterms:created>
  <dcterms:modified xsi:type="dcterms:W3CDTF">2025-06-04T16:00:00Z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