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bCs/>
          <w:color w:val="1E1E1E"/>
          <w:sz w:val="28"/>
          <w:szCs w:val="28"/>
        </w:rPr>
      </w:pPr>
      <w:r>
        <w:rPr>
          <w:rFonts w:hint="eastAsia"/>
          <w:b/>
          <w:bCs/>
          <w:color w:val="1E1E1E"/>
          <w:sz w:val="28"/>
          <w:szCs w:val="28"/>
        </w:rPr>
        <w:t>太平基金管理有限公司关于终止民商基金销售（上海）有限公司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bCs/>
          <w:color w:val="1E1E1E"/>
          <w:sz w:val="28"/>
          <w:szCs w:val="28"/>
        </w:rPr>
      </w:pPr>
      <w:r>
        <w:rPr>
          <w:rFonts w:hint="eastAsia"/>
          <w:b/>
          <w:bCs/>
          <w:color w:val="1E1E1E"/>
          <w:sz w:val="28"/>
          <w:szCs w:val="28"/>
        </w:rPr>
        <w:t>办理本公司旗下基金销售业务的公告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太平基金管理有限公司（以下简称“本公司”）决定自</w:t>
      </w:r>
      <w:r>
        <w:rPr>
          <w:rFonts w:hint="eastAsia"/>
          <w:color w:val="1E1E1E"/>
          <w:sz w:val="21"/>
          <w:szCs w:val="21"/>
        </w:rPr>
        <w:t>2025</w:t>
      </w:r>
      <w:r>
        <w:rPr>
          <w:rFonts w:hint="eastAsia"/>
          <w:color w:val="1E1E1E"/>
          <w:sz w:val="21"/>
          <w:szCs w:val="21"/>
        </w:rPr>
        <w:t>年</w:t>
      </w:r>
      <w:r>
        <w:rPr>
          <w:rFonts w:hint="eastAsia"/>
          <w:color w:val="1E1E1E"/>
          <w:sz w:val="21"/>
          <w:szCs w:val="21"/>
        </w:rPr>
        <w:t>6</w:t>
      </w:r>
      <w:r>
        <w:rPr>
          <w:rFonts w:hint="eastAsia"/>
          <w:color w:val="1E1E1E"/>
          <w:sz w:val="21"/>
          <w:szCs w:val="21"/>
        </w:rPr>
        <w:t>月</w:t>
      </w:r>
      <w:r>
        <w:rPr>
          <w:rFonts w:hint="eastAsia"/>
          <w:color w:val="1E1E1E"/>
          <w:sz w:val="21"/>
          <w:szCs w:val="21"/>
        </w:rPr>
        <w:t>4</w:t>
      </w:r>
      <w:r>
        <w:rPr>
          <w:rFonts w:hint="eastAsia"/>
          <w:color w:val="1E1E1E"/>
          <w:sz w:val="21"/>
          <w:szCs w:val="21"/>
        </w:rPr>
        <w:t>日起终止与民商基金销售（上海）有限公司（以下简称“民商基金”）在基金销售业务上的合作，届时投资者将无法通过民商基金办理本公司旗下基金的申购、定投、转换、赎回等业务。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bookmarkStart w:id="0" w:name="_GoBack"/>
      <w:r>
        <w:rPr>
          <w:rFonts w:hint="eastAsia"/>
          <w:color w:val="1E1E1E"/>
          <w:sz w:val="21"/>
          <w:szCs w:val="21"/>
        </w:rPr>
        <w:t>2025</w:t>
      </w:r>
      <w:r>
        <w:rPr>
          <w:rFonts w:hint="eastAsia"/>
          <w:color w:val="1E1E1E"/>
          <w:sz w:val="21"/>
          <w:szCs w:val="21"/>
        </w:rPr>
        <w:t>年</w:t>
      </w:r>
      <w:r>
        <w:rPr>
          <w:rFonts w:hint="eastAsia"/>
          <w:color w:val="1E1E1E"/>
          <w:sz w:val="21"/>
          <w:szCs w:val="21"/>
        </w:rPr>
        <w:t>6</w:t>
      </w:r>
      <w:r>
        <w:rPr>
          <w:rFonts w:hint="eastAsia"/>
          <w:color w:val="1E1E1E"/>
          <w:sz w:val="21"/>
          <w:szCs w:val="21"/>
        </w:rPr>
        <w:t>月</w:t>
      </w:r>
      <w:r>
        <w:rPr>
          <w:rFonts w:hint="eastAsia"/>
          <w:color w:val="1E1E1E"/>
          <w:sz w:val="21"/>
          <w:szCs w:val="21"/>
        </w:rPr>
        <w:t>4</w:t>
      </w:r>
      <w:r>
        <w:rPr>
          <w:rFonts w:hint="eastAsia"/>
          <w:color w:val="1E1E1E"/>
          <w:sz w:val="21"/>
          <w:szCs w:val="21"/>
        </w:rPr>
        <w:t>日起（含该日）本公司将停止受理投资者通过民商基金发起的新业务（包含基金开户、账户登记、认购、申购、定投、转换入、转托管入、非交易过户入）受理申请。已通过民商基金持有本公司旗下基金的投资者，仍可通过原渠道办理赎回业务。</w:t>
      </w:r>
    </w:p>
    <w:bookmarkEnd w:id="0"/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本公告的有关内容在法律法规允许范围内由本公司负责解释。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投资者可以通过以下途径咨询有关情况：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太平基金管理有限公司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客服电话：</w:t>
      </w:r>
      <w:r>
        <w:rPr>
          <w:color w:val="1E1E1E"/>
          <w:sz w:val="21"/>
          <w:szCs w:val="21"/>
        </w:rPr>
        <w:t>400-028-8699</w:t>
      </w:r>
      <w:r>
        <w:t xml:space="preserve"> </w:t>
      </w:r>
      <w:r>
        <w:rPr>
          <w:color w:val="1E1E1E"/>
          <w:sz w:val="21"/>
          <w:szCs w:val="21"/>
        </w:rPr>
        <w:t>/ 021-6156 0999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网站：</w:t>
      </w:r>
      <w:r>
        <w:rPr>
          <w:color w:val="1E1E1E"/>
          <w:sz w:val="21"/>
          <w:szCs w:val="21"/>
        </w:rPr>
        <w:t xml:space="preserve"> www.taipingfund.com.cn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风险提示：本公司承诺以诚实信用、勤勉尽责的原则管理和运用</w:t>
      </w:r>
      <w:r>
        <w:rPr>
          <w:rFonts w:hint="eastAsia"/>
          <w:color w:val="1E1E1E"/>
          <w:sz w:val="21"/>
          <w:szCs w:val="21"/>
        </w:rPr>
        <w:t>基金资产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但不保证基金一定盈利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也不保证最低收益。基金的过往业绩及其净值高低并不预示其未来业绩表现。本公司提醒投资者</w:t>
      </w:r>
      <w:r>
        <w:rPr>
          <w:rFonts w:hint="eastAsia"/>
          <w:color w:val="1E1E1E"/>
          <w:sz w:val="21"/>
          <w:szCs w:val="21"/>
        </w:rPr>
        <w:t>,</w:t>
      </w:r>
      <w:r>
        <w:rPr>
          <w:rFonts w:hint="eastAsia"/>
          <w:color w:val="1E1E1E"/>
          <w:sz w:val="21"/>
          <w:szCs w:val="21"/>
        </w:rPr>
        <w:t>投资者投资于</w:t>
      </w:r>
      <w:r>
        <w:rPr>
          <w:rFonts w:hint="eastAsia"/>
          <w:color w:val="000000"/>
          <w:spacing w:val="10"/>
          <w:sz w:val="21"/>
          <w:szCs w:val="21"/>
          <w:shd w:val="clear" w:color="auto" w:fill="FFFFFF"/>
        </w:rPr>
        <w:t>本公司管理的</w:t>
      </w:r>
      <w:r>
        <w:rPr>
          <w:rFonts w:hint="eastAsia"/>
          <w:color w:val="1E1E1E"/>
          <w:sz w:val="21"/>
          <w:szCs w:val="21"/>
        </w:rPr>
        <w:t>基金前应认真阅读基金合同、招募说明书等文件。敬请投资者注意投资风险。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特此公告。</w:t>
      </w:r>
    </w:p>
    <w:p w:rsidR="00CC2A50" w:rsidRDefault="00CC2A50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</w:p>
    <w:p w:rsidR="00CC2A50" w:rsidRDefault="00CC2A50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</w:p>
    <w:p w:rsidR="00CC2A50" w:rsidRDefault="00CC2A50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ind w:firstLineChars="200" w:firstLine="420"/>
        <w:rPr>
          <w:color w:val="1E1E1E"/>
          <w:sz w:val="21"/>
          <w:szCs w:val="21"/>
        </w:rPr>
      </w:pP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 xml:space="preserve">                                             </w:t>
      </w:r>
      <w:r>
        <w:rPr>
          <w:color w:val="1E1E1E"/>
          <w:sz w:val="21"/>
          <w:szCs w:val="21"/>
        </w:rPr>
        <w:t xml:space="preserve"> </w:t>
      </w:r>
      <w:r>
        <w:rPr>
          <w:rFonts w:hint="eastAsia"/>
          <w:color w:val="1E1E1E"/>
          <w:sz w:val="21"/>
          <w:szCs w:val="21"/>
        </w:rPr>
        <w:t xml:space="preserve">  </w:t>
      </w:r>
      <w:r>
        <w:rPr>
          <w:rFonts w:hint="eastAsia"/>
          <w:color w:val="1E1E1E"/>
          <w:sz w:val="21"/>
          <w:szCs w:val="21"/>
        </w:rPr>
        <w:t>太平基金管理有限公司</w:t>
      </w:r>
    </w:p>
    <w:p w:rsidR="00CC2A50" w:rsidRDefault="00F25EA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 xml:space="preserve">                                                      2025</w:t>
      </w:r>
      <w:r>
        <w:rPr>
          <w:rFonts w:hint="eastAsia"/>
          <w:color w:val="1E1E1E"/>
          <w:sz w:val="21"/>
          <w:szCs w:val="21"/>
        </w:rPr>
        <w:t>年</w:t>
      </w:r>
      <w:r>
        <w:rPr>
          <w:rFonts w:hint="eastAsia"/>
          <w:color w:val="1E1E1E"/>
          <w:sz w:val="21"/>
          <w:szCs w:val="21"/>
        </w:rPr>
        <w:t>6</w:t>
      </w:r>
      <w:r>
        <w:rPr>
          <w:rFonts w:hint="eastAsia"/>
          <w:color w:val="1E1E1E"/>
          <w:sz w:val="21"/>
          <w:szCs w:val="21"/>
        </w:rPr>
        <w:t>月</w:t>
      </w:r>
      <w:r>
        <w:rPr>
          <w:rFonts w:hint="eastAsia"/>
          <w:color w:val="1E1E1E"/>
          <w:sz w:val="21"/>
          <w:szCs w:val="21"/>
        </w:rPr>
        <w:t>4</w:t>
      </w:r>
      <w:r>
        <w:rPr>
          <w:rFonts w:hint="eastAsia"/>
          <w:color w:val="1E1E1E"/>
          <w:sz w:val="21"/>
          <w:szCs w:val="21"/>
        </w:rPr>
        <w:t>日</w:t>
      </w:r>
    </w:p>
    <w:p w:rsidR="00CC2A50" w:rsidRDefault="00CC2A50"/>
    <w:sectPr w:rsidR="00CC2A50" w:rsidSect="00CC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E31"/>
    <w:rsid w:val="00075842"/>
    <w:rsid w:val="000A1040"/>
    <w:rsid w:val="001006C8"/>
    <w:rsid w:val="00117BF9"/>
    <w:rsid w:val="001F28AF"/>
    <w:rsid w:val="00200E44"/>
    <w:rsid w:val="0030306B"/>
    <w:rsid w:val="00390429"/>
    <w:rsid w:val="00567687"/>
    <w:rsid w:val="005C4365"/>
    <w:rsid w:val="005D174D"/>
    <w:rsid w:val="005E715F"/>
    <w:rsid w:val="006939F4"/>
    <w:rsid w:val="006E25FF"/>
    <w:rsid w:val="006F3793"/>
    <w:rsid w:val="00714E31"/>
    <w:rsid w:val="007179F0"/>
    <w:rsid w:val="007520A4"/>
    <w:rsid w:val="007629C7"/>
    <w:rsid w:val="008A44CA"/>
    <w:rsid w:val="008A4D0B"/>
    <w:rsid w:val="008B4879"/>
    <w:rsid w:val="008F2770"/>
    <w:rsid w:val="00A30A76"/>
    <w:rsid w:val="00A42B1C"/>
    <w:rsid w:val="00AD7E1C"/>
    <w:rsid w:val="00AE1E79"/>
    <w:rsid w:val="00AE46D3"/>
    <w:rsid w:val="00B84600"/>
    <w:rsid w:val="00C26F43"/>
    <w:rsid w:val="00CA65CE"/>
    <w:rsid w:val="00CC2A50"/>
    <w:rsid w:val="00D021C5"/>
    <w:rsid w:val="00D22601"/>
    <w:rsid w:val="00D30162"/>
    <w:rsid w:val="00D937DD"/>
    <w:rsid w:val="00E34C9B"/>
    <w:rsid w:val="00EE7108"/>
    <w:rsid w:val="00F2516E"/>
    <w:rsid w:val="00F25EA9"/>
    <w:rsid w:val="00F75B0E"/>
    <w:rsid w:val="00F8758D"/>
    <w:rsid w:val="145204CA"/>
    <w:rsid w:val="22F93B0D"/>
    <w:rsid w:val="25CC7AF8"/>
    <w:rsid w:val="3C400D78"/>
    <w:rsid w:val="3D9C7770"/>
    <w:rsid w:val="42C45840"/>
    <w:rsid w:val="6C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C2A5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C2A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2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C2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C2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C2A50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CC2A5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CC2A5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2A50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CC2A50"/>
  </w:style>
  <w:style w:type="character" w:customStyle="1" w:styleId="Char3">
    <w:name w:val="批注主题 Char"/>
    <w:basedOn w:val="Char"/>
    <w:link w:val="a8"/>
    <w:uiPriority w:val="99"/>
    <w:semiHidden/>
    <w:qFormat/>
    <w:rsid w:val="00CC2A50"/>
    <w:rPr>
      <w:b/>
      <w:bCs/>
    </w:rPr>
  </w:style>
  <w:style w:type="paragraph" w:customStyle="1" w:styleId="1">
    <w:name w:val="修订1"/>
    <w:hidden/>
    <w:uiPriority w:val="99"/>
    <w:semiHidden/>
    <w:qFormat/>
    <w:rsid w:val="00CC2A50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C2A50"/>
    <w:rPr>
      <w:sz w:val="18"/>
      <w:szCs w:val="18"/>
    </w:rPr>
  </w:style>
  <w:style w:type="paragraph" w:customStyle="1" w:styleId="2">
    <w:name w:val="修订2"/>
    <w:hidden/>
    <w:uiPriority w:val="99"/>
    <w:unhideWhenUsed/>
    <w:qFormat/>
    <w:rsid w:val="00CC2A5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Company>CNSTOCK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太平基金</dc:creator>
  <cp:lastModifiedBy>ZHONGM</cp:lastModifiedBy>
  <cp:revision>2</cp:revision>
  <dcterms:created xsi:type="dcterms:W3CDTF">2025-06-03T16:00:00Z</dcterms:created>
  <dcterms:modified xsi:type="dcterms:W3CDTF">2025-06-03T16:00:00Z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0E1EBA02FEF648EB99CB970B5DA408CF_12</vt:lpwstr>
  </property>
</Properties>
</file>