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3" w:rsidRDefault="00FA4165" w:rsidP="00FA4165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华泰柏瑞</w:t>
      </w:r>
      <w:r w:rsidR="00814E7C" w:rsidRPr="00814E7C">
        <w:rPr>
          <w:rFonts w:ascii="宋体" w:hAnsi="宋体" w:hint="eastAsia"/>
          <w:sz w:val="24"/>
        </w:rPr>
        <w:t>基金管理有限公司</w:t>
      </w:r>
    </w:p>
    <w:p w:rsidR="00814E7C" w:rsidRPr="00814E7C" w:rsidRDefault="00814E7C" w:rsidP="00FA4165">
      <w:pPr>
        <w:jc w:val="center"/>
        <w:rPr>
          <w:rFonts w:ascii="宋体" w:hAnsi="宋体" w:hint="eastAsia"/>
          <w:sz w:val="24"/>
        </w:rPr>
      </w:pPr>
      <w:r w:rsidRPr="00814E7C">
        <w:rPr>
          <w:rFonts w:ascii="宋体" w:hAnsi="宋体" w:hint="eastAsia"/>
          <w:sz w:val="24"/>
        </w:rPr>
        <w:t>关于旗下基金持有</w:t>
      </w:r>
      <w:r w:rsidR="00D569F4">
        <w:rPr>
          <w:rFonts w:ascii="宋体" w:hAnsi="宋体" w:hint="eastAsia"/>
          <w:sz w:val="24"/>
        </w:rPr>
        <w:t>停牌证券</w:t>
      </w:r>
      <w:r w:rsidRPr="00814E7C">
        <w:rPr>
          <w:rFonts w:ascii="宋体" w:hAnsi="宋体" w:hint="eastAsia"/>
          <w:sz w:val="24"/>
        </w:rPr>
        <w:t>估值</w:t>
      </w:r>
      <w:r w:rsidR="00D11073">
        <w:rPr>
          <w:rFonts w:ascii="宋体" w:hAnsi="宋体" w:hint="eastAsia"/>
          <w:sz w:val="24"/>
        </w:rPr>
        <w:t>调整</w:t>
      </w:r>
      <w:r w:rsidRPr="00814E7C">
        <w:rPr>
          <w:rFonts w:ascii="宋体" w:hAnsi="宋体" w:hint="eastAsia"/>
          <w:sz w:val="24"/>
        </w:rPr>
        <w:t>的提示性公告</w:t>
      </w:r>
    </w:p>
    <w:p w:rsidR="00814E7C" w:rsidRPr="00D569F4" w:rsidRDefault="00814E7C" w:rsidP="00814E7C">
      <w:pPr>
        <w:rPr>
          <w:rFonts w:ascii="宋体" w:hAnsi="宋体"/>
          <w:sz w:val="24"/>
        </w:rPr>
      </w:pPr>
    </w:p>
    <w:p w:rsidR="00FF5454" w:rsidRDefault="00050006" w:rsidP="00E11E8D">
      <w:pPr>
        <w:ind w:firstLineChars="200" w:firstLine="480"/>
        <w:rPr>
          <w:rFonts w:ascii="宋体" w:hAnsi="宋体" w:cs="宋体" w:hint="eastAsia"/>
          <w:sz w:val="24"/>
        </w:rPr>
      </w:pPr>
      <w:r w:rsidRPr="00050006">
        <w:rPr>
          <w:rFonts w:ascii="宋体" w:hAnsi="宋体" w:cs="宋体"/>
          <w:sz w:val="24"/>
        </w:rPr>
        <w:t>根据中国证券监督管理委员会公告[20</w:t>
      </w:r>
      <w:r w:rsidR="000924C4">
        <w:rPr>
          <w:rFonts w:ascii="宋体" w:hAnsi="宋体" w:cs="宋体" w:hint="eastAsia"/>
          <w:sz w:val="24"/>
        </w:rPr>
        <w:t>17</w:t>
      </w:r>
      <w:r w:rsidRPr="00050006">
        <w:rPr>
          <w:rFonts w:ascii="宋体" w:hAnsi="宋体" w:cs="宋体"/>
          <w:sz w:val="24"/>
        </w:rPr>
        <w:t xml:space="preserve">] </w:t>
      </w:r>
      <w:r w:rsidR="000924C4">
        <w:rPr>
          <w:rFonts w:ascii="宋体" w:hAnsi="宋体" w:cs="宋体" w:hint="eastAsia"/>
          <w:sz w:val="24"/>
        </w:rPr>
        <w:t>13</w:t>
      </w:r>
      <w:r w:rsidRPr="00050006">
        <w:rPr>
          <w:rFonts w:ascii="宋体" w:hAnsi="宋体" w:cs="宋体"/>
          <w:sz w:val="24"/>
        </w:rPr>
        <w:t>号《</w:t>
      </w:r>
      <w:r w:rsidR="000924C4">
        <w:rPr>
          <w:rFonts w:ascii="宋体" w:hAnsi="宋体" w:cs="宋体" w:hint="eastAsia"/>
          <w:sz w:val="24"/>
        </w:rPr>
        <w:t>中国证监会关于证券投资基金估值业务的指导意见</w:t>
      </w:r>
      <w:r w:rsidRPr="00050006">
        <w:rPr>
          <w:rFonts w:ascii="宋体" w:hAnsi="宋体" w:cs="宋体"/>
          <w:sz w:val="24"/>
        </w:rPr>
        <w:t>》等有关规定，</w:t>
      </w:r>
      <w:r w:rsidR="00D569F4">
        <w:rPr>
          <w:rFonts w:ascii="宋体" w:hAnsi="宋体" w:cs="宋体" w:hint="eastAsia"/>
          <w:sz w:val="24"/>
        </w:rPr>
        <w:t>及相关证券的停牌公告，</w:t>
      </w:r>
      <w:r w:rsidR="00651D96" w:rsidRPr="0090418F">
        <w:rPr>
          <w:rFonts w:ascii="宋体" w:hAnsi="宋体" w:cs="宋体" w:hint="eastAsia"/>
          <w:sz w:val="24"/>
        </w:rPr>
        <w:t>决定</w:t>
      </w:r>
      <w:r w:rsidR="00651D96">
        <w:rPr>
          <w:rFonts w:ascii="宋体" w:hAnsi="宋体" w:cs="宋体" w:hint="eastAsia"/>
          <w:sz w:val="24"/>
        </w:rPr>
        <w:t>自</w:t>
      </w:r>
      <w:r w:rsidR="00CC1145">
        <w:rPr>
          <w:rFonts w:ascii="宋体" w:hAnsi="宋体" w:cs="宋体"/>
          <w:sz w:val="24"/>
        </w:rPr>
        <w:t>2025</w:t>
      </w:r>
      <w:r w:rsidR="00651D96" w:rsidRPr="0090418F">
        <w:rPr>
          <w:rFonts w:ascii="宋体" w:hAnsi="宋体" w:cs="宋体" w:hint="eastAsia"/>
          <w:sz w:val="24"/>
        </w:rPr>
        <w:t>年</w:t>
      </w:r>
      <w:r w:rsidR="00CC1145">
        <w:rPr>
          <w:rFonts w:ascii="宋体" w:hAnsi="宋体" w:cs="宋体"/>
          <w:sz w:val="24"/>
        </w:rPr>
        <w:t>6</w:t>
      </w:r>
      <w:r w:rsidR="00651D96" w:rsidRPr="0090418F">
        <w:rPr>
          <w:rFonts w:ascii="宋体" w:hAnsi="宋体" w:cs="宋体" w:hint="eastAsia"/>
          <w:sz w:val="24"/>
        </w:rPr>
        <w:t>月</w:t>
      </w:r>
      <w:r w:rsidR="00CC1145">
        <w:rPr>
          <w:rFonts w:ascii="宋体" w:hAnsi="宋体" w:cs="宋体" w:hint="eastAsia"/>
          <w:sz w:val="24"/>
        </w:rPr>
        <w:t>3</w:t>
      </w:r>
      <w:r w:rsidR="00651D96" w:rsidRPr="0090418F">
        <w:rPr>
          <w:rFonts w:ascii="宋体" w:hAnsi="宋体" w:cs="宋体" w:hint="eastAsia"/>
          <w:sz w:val="24"/>
        </w:rPr>
        <w:t>日起，</w:t>
      </w:r>
      <w:r w:rsidR="0093377F">
        <w:rPr>
          <w:rFonts w:ascii="宋体" w:hAnsi="宋体" w:cs="宋体" w:hint="eastAsia"/>
          <w:sz w:val="24"/>
        </w:rPr>
        <w:t>对以下</w:t>
      </w:r>
      <w:r w:rsidR="009E19A0">
        <w:rPr>
          <w:rFonts w:ascii="宋体" w:hAnsi="宋体" w:cs="宋体" w:hint="eastAsia"/>
          <w:sz w:val="24"/>
        </w:rPr>
        <w:t>停牌证券</w:t>
      </w:r>
      <w:r w:rsidRPr="00050006">
        <w:rPr>
          <w:rFonts w:ascii="宋体" w:hAnsi="宋体" w:cs="宋体"/>
          <w:sz w:val="24"/>
        </w:rPr>
        <w:t>采用“指数收益法”予以估值。</w:t>
      </w:r>
    </w:p>
    <w:tbl>
      <w:tblPr>
        <w:tblW w:w="8379" w:type="dxa"/>
        <w:tblInd w:w="93" w:type="dxa"/>
        <w:tblLook w:val="04A0"/>
      </w:tblPr>
      <w:tblGrid>
        <w:gridCol w:w="4126"/>
        <w:gridCol w:w="4253"/>
      </w:tblGrid>
      <w:tr w:rsidR="00CC7A4A" w:rsidRPr="00CC7A4A" w:rsidTr="002A41FE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4A" w:rsidRPr="00CC7A4A" w:rsidRDefault="00CC7A4A" w:rsidP="00CC7A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7A4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股票代码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4A" w:rsidRPr="00CC7A4A" w:rsidRDefault="00CC7A4A" w:rsidP="00CC7A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C7A4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股票名称</w:t>
            </w:r>
          </w:p>
        </w:tc>
      </w:tr>
      <w:tr w:rsidR="00CC1145" w:rsidRPr="00CC7A4A" w:rsidTr="0019740C">
        <w:trPr>
          <w:trHeight w:val="2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45" w:rsidRDefault="00CC1145" w:rsidP="00CC11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</w:rPr>
              <w:t>603306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145" w:rsidRDefault="00CC1145" w:rsidP="00CC114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华懋科技</w:t>
            </w:r>
          </w:p>
        </w:tc>
      </w:tr>
    </w:tbl>
    <w:p w:rsidR="00D569F4" w:rsidRDefault="00D569F4" w:rsidP="00E11E8D">
      <w:pPr>
        <w:ind w:firstLineChars="200" w:firstLine="480"/>
        <w:rPr>
          <w:rFonts w:ascii="宋体" w:hAnsi="宋体" w:cs="宋体" w:hint="eastAsia"/>
          <w:sz w:val="24"/>
        </w:rPr>
      </w:pPr>
    </w:p>
    <w:p w:rsidR="00FF5454" w:rsidRPr="00D11073" w:rsidRDefault="00FF5454" w:rsidP="00FF5454">
      <w:pPr>
        <w:ind w:firstLineChars="200" w:firstLine="480"/>
        <w:rPr>
          <w:rFonts w:ascii="宋体" w:hAnsi="宋体" w:hint="eastAsia"/>
          <w:sz w:val="24"/>
        </w:rPr>
      </w:pPr>
      <w:r w:rsidRPr="00D11073">
        <w:rPr>
          <w:rFonts w:ascii="宋体" w:hAnsi="宋体" w:hint="eastAsia"/>
          <w:sz w:val="24"/>
        </w:rPr>
        <w:t>本公司</w:t>
      </w:r>
      <w:r>
        <w:rPr>
          <w:rFonts w:ascii="宋体" w:hAnsi="宋体" w:hint="eastAsia"/>
          <w:sz w:val="24"/>
        </w:rPr>
        <w:t>旗下基金</w:t>
      </w:r>
      <w:r w:rsidR="00DF4633">
        <w:rPr>
          <w:rFonts w:ascii="宋体" w:hAnsi="宋体" w:cs="宋体" w:hint="eastAsia"/>
          <w:sz w:val="24"/>
        </w:rPr>
        <w:t>（除ETF基金外）</w:t>
      </w:r>
      <w:r>
        <w:rPr>
          <w:rFonts w:ascii="宋体" w:hAnsi="宋体" w:hint="eastAsia"/>
          <w:sz w:val="24"/>
        </w:rPr>
        <w:t>持有的</w:t>
      </w:r>
      <w:r w:rsidR="003960CA">
        <w:rPr>
          <w:rFonts w:ascii="宋体" w:hAnsi="宋体" w:hint="eastAsia"/>
          <w:sz w:val="24"/>
        </w:rPr>
        <w:t>以上证券</w:t>
      </w:r>
      <w:r>
        <w:rPr>
          <w:rFonts w:ascii="宋体" w:hAnsi="宋体" w:hint="eastAsia"/>
          <w:sz w:val="24"/>
        </w:rPr>
        <w:t>均采用上述</w:t>
      </w:r>
      <w:r w:rsidRPr="00D11073">
        <w:rPr>
          <w:rFonts w:ascii="宋体" w:hAnsi="宋体" w:hint="eastAsia"/>
          <w:sz w:val="24"/>
        </w:rPr>
        <w:t>估值方法直至该停牌股票恢复正常交易，</w:t>
      </w:r>
      <w:r>
        <w:rPr>
          <w:rFonts w:ascii="宋体" w:hAnsi="宋体" w:hint="eastAsia"/>
          <w:sz w:val="24"/>
        </w:rPr>
        <w:t>届时将</w:t>
      </w:r>
      <w:r w:rsidRPr="00D11073">
        <w:rPr>
          <w:rFonts w:ascii="宋体" w:hAnsi="宋体" w:hint="eastAsia"/>
          <w:sz w:val="24"/>
        </w:rPr>
        <w:t>不再另行公告。</w:t>
      </w:r>
    </w:p>
    <w:p w:rsidR="00050006" w:rsidRPr="00421542" w:rsidRDefault="00050006" w:rsidP="00050006">
      <w:pPr>
        <w:pStyle w:val="a7"/>
        <w:spacing w:line="345" w:lineRule="atLeast"/>
        <w:jc w:val="both"/>
      </w:pPr>
    </w:p>
    <w:p w:rsidR="00814E7C" w:rsidRPr="00DF4633" w:rsidRDefault="00814E7C" w:rsidP="00814E7C">
      <w:pPr>
        <w:rPr>
          <w:rFonts w:ascii="宋体" w:hAnsi="宋体"/>
          <w:sz w:val="24"/>
        </w:rPr>
      </w:pPr>
    </w:p>
    <w:p w:rsidR="00814E7C" w:rsidRDefault="00814E7C" w:rsidP="00FA4165">
      <w:pPr>
        <w:ind w:firstLine="465"/>
        <w:rPr>
          <w:rFonts w:ascii="宋体" w:hAnsi="宋体" w:hint="eastAsia"/>
          <w:sz w:val="24"/>
        </w:rPr>
      </w:pPr>
      <w:r w:rsidRPr="00814E7C">
        <w:rPr>
          <w:rFonts w:ascii="宋体" w:hAnsi="宋体" w:hint="eastAsia"/>
          <w:sz w:val="24"/>
        </w:rPr>
        <w:t>特此</w:t>
      </w:r>
      <w:r w:rsidR="00D11073">
        <w:rPr>
          <w:rFonts w:ascii="宋体" w:hAnsi="宋体" w:hint="eastAsia"/>
          <w:sz w:val="24"/>
        </w:rPr>
        <w:t>公告</w:t>
      </w:r>
      <w:r w:rsidRPr="00814E7C">
        <w:rPr>
          <w:rFonts w:ascii="宋体" w:hAnsi="宋体" w:hint="eastAsia"/>
          <w:sz w:val="24"/>
        </w:rPr>
        <w:t xml:space="preserve"> </w:t>
      </w:r>
    </w:p>
    <w:p w:rsidR="00FA4165" w:rsidRDefault="00FA4165" w:rsidP="00FA4165">
      <w:pPr>
        <w:ind w:firstLine="465"/>
        <w:rPr>
          <w:rFonts w:ascii="宋体" w:hAnsi="宋体" w:hint="eastAsia"/>
          <w:sz w:val="24"/>
        </w:rPr>
      </w:pPr>
    </w:p>
    <w:p w:rsidR="00FA4165" w:rsidRDefault="00FA4165" w:rsidP="00FA4165">
      <w:pPr>
        <w:ind w:firstLine="465"/>
        <w:rPr>
          <w:rFonts w:ascii="宋体" w:hAnsi="宋体" w:hint="eastAsia"/>
          <w:sz w:val="24"/>
        </w:rPr>
      </w:pPr>
    </w:p>
    <w:p w:rsidR="00FA4165" w:rsidRDefault="00FA4165" w:rsidP="00FA4165">
      <w:pPr>
        <w:ind w:firstLine="465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华泰柏瑞基金管理有限公司</w:t>
      </w:r>
    </w:p>
    <w:p w:rsidR="0093377F" w:rsidRPr="00FA4165" w:rsidRDefault="0093377F" w:rsidP="0093377F">
      <w:pPr>
        <w:ind w:firstLine="465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202</w:t>
      </w:r>
      <w:r w:rsidR="00CC1145">
        <w:rPr>
          <w:rFonts w:ascii="宋体" w:hAnsi="宋体"/>
          <w:sz w:val="24"/>
        </w:rPr>
        <w:t>5</w:t>
      </w:r>
      <w:r w:rsidR="008D07A8">
        <w:rPr>
          <w:rFonts w:ascii="宋体" w:hAnsi="宋体" w:hint="eastAsia"/>
          <w:sz w:val="24"/>
        </w:rPr>
        <w:t>年</w:t>
      </w:r>
      <w:r w:rsidR="00CC1145">
        <w:rPr>
          <w:rFonts w:ascii="宋体" w:hAnsi="宋体"/>
          <w:sz w:val="24"/>
        </w:rPr>
        <w:t>6</w:t>
      </w:r>
      <w:r>
        <w:rPr>
          <w:rFonts w:ascii="宋体" w:hAnsi="宋体"/>
          <w:sz w:val="24"/>
        </w:rPr>
        <w:t>月</w:t>
      </w:r>
      <w:r w:rsidR="001F7725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日</w:t>
      </w:r>
    </w:p>
    <w:p w:rsidR="005C6D1A" w:rsidRPr="00814E7C" w:rsidRDefault="005C6D1A" w:rsidP="00814E7C">
      <w:pPr>
        <w:rPr>
          <w:rFonts w:hint="eastAsia"/>
        </w:rPr>
      </w:pPr>
    </w:p>
    <w:sectPr w:rsidR="005C6D1A" w:rsidRPr="00814E7C" w:rsidSect="0009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AA" w:rsidRDefault="005D1CAA" w:rsidP="00814E7C">
      <w:r>
        <w:separator/>
      </w:r>
    </w:p>
  </w:endnote>
  <w:endnote w:type="continuationSeparator" w:id="0">
    <w:p w:rsidR="005D1CAA" w:rsidRDefault="005D1CAA" w:rsidP="0081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AA" w:rsidRDefault="005D1CAA" w:rsidP="00814E7C">
      <w:r>
        <w:separator/>
      </w:r>
    </w:p>
  </w:footnote>
  <w:footnote w:type="continuationSeparator" w:id="0">
    <w:p w:rsidR="005D1CAA" w:rsidRDefault="005D1CAA" w:rsidP="00814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97C"/>
    <w:rsid w:val="00001502"/>
    <w:rsid w:val="00003286"/>
    <w:rsid w:val="0000532E"/>
    <w:rsid w:val="00034B77"/>
    <w:rsid w:val="0004045B"/>
    <w:rsid w:val="00040F35"/>
    <w:rsid w:val="000454EF"/>
    <w:rsid w:val="00050006"/>
    <w:rsid w:val="00055852"/>
    <w:rsid w:val="000615C2"/>
    <w:rsid w:val="000727CC"/>
    <w:rsid w:val="00073E42"/>
    <w:rsid w:val="00077982"/>
    <w:rsid w:val="00090BC8"/>
    <w:rsid w:val="000924C4"/>
    <w:rsid w:val="00092EE1"/>
    <w:rsid w:val="000B0943"/>
    <w:rsid w:val="000B5B18"/>
    <w:rsid w:val="000D7C07"/>
    <w:rsid w:val="000E39A2"/>
    <w:rsid w:val="000E3A3F"/>
    <w:rsid w:val="000F4019"/>
    <w:rsid w:val="001254E1"/>
    <w:rsid w:val="0013312A"/>
    <w:rsid w:val="00134390"/>
    <w:rsid w:val="001420CB"/>
    <w:rsid w:val="00153444"/>
    <w:rsid w:val="00153DDF"/>
    <w:rsid w:val="001657C7"/>
    <w:rsid w:val="0017396D"/>
    <w:rsid w:val="00180FDA"/>
    <w:rsid w:val="00186491"/>
    <w:rsid w:val="0019740C"/>
    <w:rsid w:val="001A1E1C"/>
    <w:rsid w:val="001B4011"/>
    <w:rsid w:val="001B5DA0"/>
    <w:rsid w:val="001E16FF"/>
    <w:rsid w:val="001E609A"/>
    <w:rsid w:val="001F10C3"/>
    <w:rsid w:val="001F7725"/>
    <w:rsid w:val="00211C20"/>
    <w:rsid w:val="002122C6"/>
    <w:rsid w:val="002138BF"/>
    <w:rsid w:val="0022382A"/>
    <w:rsid w:val="0022456F"/>
    <w:rsid w:val="00227513"/>
    <w:rsid w:val="00230ED3"/>
    <w:rsid w:val="00233AAE"/>
    <w:rsid w:val="002340F5"/>
    <w:rsid w:val="002357AE"/>
    <w:rsid w:val="00247C61"/>
    <w:rsid w:val="0025399C"/>
    <w:rsid w:val="002571CE"/>
    <w:rsid w:val="002627D0"/>
    <w:rsid w:val="00263EA7"/>
    <w:rsid w:val="0028463E"/>
    <w:rsid w:val="0029299D"/>
    <w:rsid w:val="002929DA"/>
    <w:rsid w:val="002944AA"/>
    <w:rsid w:val="0029621E"/>
    <w:rsid w:val="002A41FE"/>
    <w:rsid w:val="002A5957"/>
    <w:rsid w:val="002A75F1"/>
    <w:rsid w:val="002B4A48"/>
    <w:rsid w:val="002C3837"/>
    <w:rsid w:val="002C56B2"/>
    <w:rsid w:val="002E56FD"/>
    <w:rsid w:val="00301BF6"/>
    <w:rsid w:val="003119DC"/>
    <w:rsid w:val="00327820"/>
    <w:rsid w:val="0033567A"/>
    <w:rsid w:val="003413E3"/>
    <w:rsid w:val="003470A9"/>
    <w:rsid w:val="00351A06"/>
    <w:rsid w:val="0035735C"/>
    <w:rsid w:val="00361115"/>
    <w:rsid w:val="00364415"/>
    <w:rsid w:val="00380E72"/>
    <w:rsid w:val="00382B18"/>
    <w:rsid w:val="00384A7F"/>
    <w:rsid w:val="0038772D"/>
    <w:rsid w:val="003915E0"/>
    <w:rsid w:val="003960CA"/>
    <w:rsid w:val="00396B87"/>
    <w:rsid w:val="003A347B"/>
    <w:rsid w:val="003A703D"/>
    <w:rsid w:val="003B13C7"/>
    <w:rsid w:val="003B6502"/>
    <w:rsid w:val="003C1ED7"/>
    <w:rsid w:val="003C2759"/>
    <w:rsid w:val="003C31FA"/>
    <w:rsid w:val="003D4867"/>
    <w:rsid w:val="003D7142"/>
    <w:rsid w:val="003D7579"/>
    <w:rsid w:val="003E0E57"/>
    <w:rsid w:val="003E148D"/>
    <w:rsid w:val="003E7406"/>
    <w:rsid w:val="004118C7"/>
    <w:rsid w:val="00412249"/>
    <w:rsid w:val="004139EC"/>
    <w:rsid w:val="00421542"/>
    <w:rsid w:val="00427500"/>
    <w:rsid w:val="00427714"/>
    <w:rsid w:val="004314B2"/>
    <w:rsid w:val="0043392F"/>
    <w:rsid w:val="004345DF"/>
    <w:rsid w:val="0044295D"/>
    <w:rsid w:val="00451E68"/>
    <w:rsid w:val="00454357"/>
    <w:rsid w:val="004577EC"/>
    <w:rsid w:val="00460FBE"/>
    <w:rsid w:val="00462D35"/>
    <w:rsid w:val="00477DF4"/>
    <w:rsid w:val="00490EAC"/>
    <w:rsid w:val="00494C4B"/>
    <w:rsid w:val="004B047F"/>
    <w:rsid w:val="004B751E"/>
    <w:rsid w:val="004C0DE1"/>
    <w:rsid w:val="004C3D43"/>
    <w:rsid w:val="004D13D4"/>
    <w:rsid w:val="004D6B99"/>
    <w:rsid w:val="004F0B70"/>
    <w:rsid w:val="004F177C"/>
    <w:rsid w:val="004F3F12"/>
    <w:rsid w:val="004F5FD8"/>
    <w:rsid w:val="004F7738"/>
    <w:rsid w:val="00505921"/>
    <w:rsid w:val="00520095"/>
    <w:rsid w:val="00521D2F"/>
    <w:rsid w:val="00522C87"/>
    <w:rsid w:val="00525B44"/>
    <w:rsid w:val="00530176"/>
    <w:rsid w:val="00552942"/>
    <w:rsid w:val="005555AD"/>
    <w:rsid w:val="00556709"/>
    <w:rsid w:val="00557E8B"/>
    <w:rsid w:val="005775E2"/>
    <w:rsid w:val="00580F36"/>
    <w:rsid w:val="00581201"/>
    <w:rsid w:val="00592AA3"/>
    <w:rsid w:val="00594947"/>
    <w:rsid w:val="0059533B"/>
    <w:rsid w:val="005A3FB9"/>
    <w:rsid w:val="005B1747"/>
    <w:rsid w:val="005C4544"/>
    <w:rsid w:val="005C6D1A"/>
    <w:rsid w:val="005D1CAA"/>
    <w:rsid w:val="005D7823"/>
    <w:rsid w:val="005F12E6"/>
    <w:rsid w:val="005F580F"/>
    <w:rsid w:val="006019B6"/>
    <w:rsid w:val="00605A69"/>
    <w:rsid w:val="00610A42"/>
    <w:rsid w:val="00611212"/>
    <w:rsid w:val="00623DB9"/>
    <w:rsid w:val="006269CF"/>
    <w:rsid w:val="006513AB"/>
    <w:rsid w:val="00651D96"/>
    <w:rsid w:val="006635F6"/>
    <w:rsid w:val="00666CFB"/>
    <w:rsid w:val="006733B9"/>
    <w:rsid w:val="00673735"/>
    <w:rsid w:val="006748F2"/>
    <w:rsid w:val="006845F7"/>
    <w:rsid w:val="00694B6A"/>
    <w:rsid w:val="006A4E6D"/>
    <w:rsid w:val="006B218E"/>
    <w:rsid w:val="006B37BC"/>
    <w:rsid w:val="006B5E6C"/>
    <w:rsid w:val="006C2FF0"/>
    <w:rsid w:val="006C524B"/>
    <w:rsid w:val="006D1019"/>
    <w:rsid w:val="006E2628"/>
    <w:rsid w:val="006F108E"/>
    <w:rsid w:val="00716A5C"/>
    <w:rsid w:val="00717CD0"/>
    <w:rsid w:val="00720C8A"/>
    <w:rsid w:val="007300EF"/>
    <w:rsid w:val="007305D9"/>
    <w:rsid w:val="00757EA2"/>
    <w:rsid w:val="00760E5B"/>
    <w:rsid w:val="00761A89"/>
    <w:rsid w:val="00761E21"/>
    <w:rsid w:val="0077097C"/>
    <w:rsid w:val="00771111"/>
    <w:rsid w:val="007745B7"/>
    <w:rsid w:val="00784AD1"/>
    <w:rsid w:val="00791CF1"/>
    <w:rsid w:val="00795AC5"/>
    <w:rsid w:val="007A4D7F"/>
    <w:rsid w:val="007B3730"/>
    <w:rsid w:val="007C3B8D"/>
    <w:rsid w:val="007C4758"/>
    <w:rsid w:val="007C6921"/>
    <w:rsid w:val="007C7F48"/>
    <w:rsid w:val="007D1F46"/>
    <w:rsid w:val="007D57DB"/>
    <w:rsid w:val="008028B0"/>
    <w:rsid w:val="00812DE3"/>
    <w:rsid w:val="00814E7C"/>
    <w:rsid w:val="00817C55"/>
    <w:rsid w:val="00820294"/>
    <w:rsid w:val="00827A46"/>
    <w:rsid w:val="00833A75"/>
    <w:rsid w:val="00833E2A"/>
    <w:rsid w:val="00840538"/>
    <w:rsid w:val="008443AA"/>
    <w:rsid w:val="0085091E"/>
    <w:rsid w:val="00853BBA"/>
    <w:rsid w:val="008614A1"/>
    <w:rsid w:val="0086748E"/>
    <w:rsid w:val="008755D7"/>
    <w:rsid w:val="00880C6C"/>
    <w:rsid w:val="0088466E"/>
    <w:rsid w:val="008876F0"/>
    <w:rsid w:val="00891697"/>
    <w:rsid w:val="00893CF9"/>
    <w:rsid w:val="008A3927"/>
    <w:rsid w:val="008B0953"/>
    <w:rsid w:val="008B6EAC"/>
    <w:rsid w:val="008B776A"/>
    <w:rsid w:val="008D07A8"/>
    <w:rsid w:val="008D4F09"/>
    <w:rsid w:val="008E1EF4"/>
    <w:rsid w:val="008F3F57"/>
    <w:rsid w:val="009008EC"/>
    <w:rsid w:val="00901F9A"/>
    <w:rsid w:val="00904E3F"/>
    <w:rsid w:val="00914637"/>
    <w:rsid w:val="009148C0"/>
    <w:rsid w:val="009150D4"/>
    <w:rsid w:val="009200F1"/>
    <w:rsid w:val="00926447"/>
    <w:rsid w:val="00930EA9"/>
    <w:rsid w:val="0093377F"/>
    <w:rsid w:val="0093538D"/>
    <w:rsid w:val="00937CA5"/>
    <w:rsid w:val="009428C0"/>
    <w:rsid w:val="00953F2E"/>
    <w:rsid w:val="00954FA0"/>
    <w:rsid w:val="009706B2"/>
    <w:rsid w:val="00973E29"/>
    <w:rsid w:val="00974EAA"/>
    <w:rsid w:val="00995134"/>
    <w:rsid w:val="009966F6"/>
    <w:rsid w:val="009A65F3"/>
    <w:rsid w:val="009A76A3"/>
    <w:rsid w:val="009D0F54"/>
    <w:rsid w:val="009D3604"/>
    <w:rsid w:val="009E1472"/>
    <w:rsid w:val="009E19A0"/>
    <w:rsid w:val="009E7128"/>
    <w:rsid w:val="009F07EE"/>
    <w:rsid w:val="009F368D"/>
    <w:rsid w:val="009F7101"/>
    <w:rsid w:val="00A048BA"/>
    <w:rsid w:val="00A05625"/>
    <w:rsid w:val="00A13B97"/>
    <w:rsid w:val="00A1455D"/>
    <w:rsid w:val="00A2117B"/>
    <w:rsid w:val="00A21DE6"/>
    <w:rsid w:val="00A25CA8"/>
    <w:rsid w:val="00A26BFB"/>
    <w:rsid w:val="00A3281D"/>
    <w:rsid w:val="00A41626"/>
    <w:rsid w:val="00A4404C"/>
    <w:rsid w:val="00A46CBB"/>
    <w:rsid w:val="00A52080"/>
    <w:rsid w:val="00A56DF8"/>
    <w:rsid w:val="00A64AFB"/>
    <w:rsid w:val="00A66555"/>
    <w:rsid w:val="00A72F22"/>
    <w:rsid w:val="00A84F32"/>
    <w:rsid w:val="00AA2C75"/>
    <w:rsid w:val="00AB1ADA"/>
    <w:rsid w:val="00AB48B0"/>
    <w:rsid w:val="00AB6E52"/>
    <w:rsid w:val="00AE157B"/>
    <w:rsid w:val="00AE21EA"/>
    <w:rsid w:val="00AE293A"/>
    <w:rsid w:val="00AF115E"/>
    <w:rsid w:val="00AF1EC7"/>
    <w:rsid w:val="00AF4006"/>
    <w:rsid w:val="00B03EE2"/>
    <w:rsid w:val="00B27DC1"/>
    <w:rsid w:val="00B3692F"/>
    <w:rsid w:val="00B42F18"/>
    <w:rsid w:val="00B46734"/>
    <w:rsid w:val="00B46AC2"/>
    <w:rsid w:val="00B7526C"/>
    <w:rsid w:val="00BC7329"/>
    <w:rsid w:val="00BD53D3"/>
    <w:rsid w:val="00C05B2E"/>
    <w:rsid w:val="00C05ECC"/>
    <w:rsid w:val="00C113CF"/>
    <w:rsid w:val="00C2218B"/>
    <w:rsid w:val="00C235AD"/>
    <w:rsid w:val="00C239C3"/>
    <w:rsid w:val="00C30351"/>
    <w:rsid w:val="00C30F27"/>
    <w:rsid w:val="00C32F5A"/>
    <w:rsid w:val="00C3431D"/>
    <w:rsid w:val="00C41B09"/>
    <w:rsid w:val="00C5505B"/>
    <w:rsid w:val="00C70069"/>
    <w:rsid w:val="00C72635"/>
    <w:rsid w:val="00C75132"/>
    <w:rsid w:val="00C80A23"/>
    <w:rsid w:val="00C81271"/>
    <w:rsid w:val="00C8484F"/>
    <w:rsid w:val="00C964CF"/>
    <w:rsid w:val="00CA0EAD"/>
    <w:rsid w:val="00CB4981"/>
    <w:rsid w:val="00CC1145"/>
    <w:rsid w:val="00CC33D0"/>
    <w:rsid w:val="00CC67D3"/>
    <w:rsid w:val="00CC7A4A"/>
    <w:rsid w:val="00CE130E"/>
    <w:rsid w:val="00CE1D8A"/>
    <w:rsid w:val="00CF02EB"/>
    <w:rsid w:val="00CF68BB"/>
    <w:rsid w:val="00D07939"/>
    <w:rsid w:val="00D100BA"/>
    <w:rsid w:val="00D11073"/>
    <w:rsid w:val="00D15C74"/>
    <w:rsid w:val="00D15D83"/>
    <w:rsid w:val="00D2246E"/>
    <w:rsid w:val="00D22DAC"/>
    <w:rsid w:val="00D274C9"/>
    <w:rsid w:val="00D37B58"/>
    <w:rsid w:val="00D462E6"/>
    <w:rsid w:val="00D569F4"/>
    <w:rsid w:val="00D56B49"/>
    <w:rsid w:val="00D56F87"/>
    <w:rsid w:val="00D601B5"/>
    <w:rsid w:val="00D66266"/>
    <w:rsid w:val="00D7768D"/>
    <w:rsid w:val="00D828EE"/>
    <w:rsid w:val="00D84CCC"/>
    <w:rsid w:val="00D85930"/>
    <w:rsid w:val="00D95EC3"/>
    <w:rsid w:val="00DA10FE"/>
    <w:rsid w:val="00DC018D"/>
    <w:rsid w:val="00DD0C24"/>
    <w:rsid w:val="00DD3A40"/>
    <w:rsid w:val="00DD3AC3"/>
    <w:rsid w:val="00DD4795"/>
    <w:rsid w:val="00DD584A"/>
    <w:rsid w:val="00DD7602"/>
    <w:rsid w:val="00DE076A"/>
    <w:rsid w:val="00DE4EBF"/>
    <w:rsid w:val="00DF4633"/>
    <w:rsid w:val="00E00BC6"/>
    <w:rsid w:val="00E07142"/>
    <w:rsid w:val="00E10A1D"/>
    <w:rsid w:val="00E11E8D"/>
    <w:rsid w:val="00E1531C"/>
    <w:rsid w:val="00E22D10"/>
    <w:rsid w:val="00E23655"/>
    <w:rsid w:val="00E31551"/>
    <w:rsid w:val="00E35DFE"/>
    <w:rsid w:val="00E3792E"/>
    <w:rsid w:val="00E43C5E"/>
    <w:rsid w:val="00E45F0A"/>
    <w:rsid w:val="00E4638C"/>
    <w:rsid w:val="00E4772C"/>
    <w:rsid w:val="00E528AB"/>
    <w:rsid w:val="00E6677D"/>
    <w:rsid w:val="00E82176"/>
    <w:rsid w:val="00E823AC"/>
    <w:rsid w:val="00E8314C"/>
    <w:rsid w:val="00E84854"/>
    <w:rsid w:val="00E85E73"/>
    <w:rsid w:val="00E97E3D"/>
    <w:rsid w:val="00EA6A41"/>
    <w:rsid w:val="00EB16B4"/>
    <w:rsid w:val="00EB3306"/>
    <w:rsid w:val="00EB611A"/>
    <w:rsid w:val="00EB73E6"/>
    <w:rsid w:val="00EB780B"/>
    <w:rsid w:val="00EC2CD0"/>
    <w:rsid w:val="00ED42DE"/>
    <w:rsid w:val="00ED673E"/>
    <w:rsid w:val="00EE420B"/>
    <w:rsid w:val="00F05073"/>
    <w:rsid w:val="00F14740"/>
    <w:rsid w:val="00F30002"/>
    <w:rsid w:val="00F34830"/>
    <w:rsid w:val="00F3688B"/>
    <w:rsid w:val="00F4084E"/>
    <w:rsid w:val="00F47560"/>
    <w:rsid w:val="00F515AA"/>
    <w:rsid w:val="00F51CB3"/>
    <w:rsid w:val="00F5264F"/>
    <w:rsid w:val="00F52F13"/>
    <w:rsid w:val="00F537F1"/>
    <w:rsid w:val="00F541BB"/>
    <w:rsid w:val="00F54605"/>
    <w:rsid w:val="00F57374"/>
    <w:rsid w:val="00F742B2"/>
    <w:rsid w:val="00F75BA2"/>
    <w:rsid w:val="00F76563"/>
    <w:rsid w:val="00F778BF"/>
    <w:rsid w:val="00F818B7"/>
    <w:rsid w:val="00F84B12"/>
    <w:rsid w:val="00F8697C"/>
    <w:rsid w:val="00F92F98"/>
    <w:rsid w:val="00F95F77"/>
    <w:rsid w:val="00FA4165"/>
    <w:rsid w:val="00FA5872"/>
    <w:rsid w:val="00FA59C0"/>
    <w:rsid w:val="00FA7641"/>
    <w:rsid w:val="00FA789F"/>
    <w:rsid w:val="00FB2D5A"/>
    <w:rsid w:val="00FB5427"/>
    <w:rsid w:val="00FC16D9"/>
    <w:rsid w:val="00FC1DE7"/>
    <w:rsid w:val="00FD2662"/>
    <w:rsid w:val="00FE6CF2"/>
    <w:rsid w:val="00FE79EC"/>
    <w:rsid w:val="00FF07F7"/>
    <w:rsid w:val="00FF09DF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30176"/>
    <w:rPr>
      <w:color w:val="0000FF"/>
      <w:u w:val="single"/>
    </w:rPr>
  </w:style>
  <w:style w:type="paragraph" w:styleId="a4">
    <w:name w:val="Balloon Text"/>
    <w:basedOn w:val="a"/>
    <w:semiHidden/>
    <w:rsid w:val="00E4772C"/>
    <w:rPr>
      <w:sz w:val="18"/>
      <w:szCs w:val="18"/>
    </w:rPr>
  </w:style>
  <w:style w:type="paragraph" w:styleId="a5">
    <w:name w:val="header"/>
    <w:basedOn w:val="a"/>
    <w:link w:val="Char"/>
    <w:rsid w:val="0081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814E7C"/>
    <w:rPr>
      <w:kern w:val="2"/>
      <w:sz w:val="18"/>
      <w:szCs w:val="18"/>
    </w:rPr>
  </w:style>
  <w:style w:type="paragraph" w:styleId="a6">
    <w:name w:val="footer"/>
    <w:basedOn w:val="a"/>
    <w:link w:val="Char0"/>
    <w:rsid w:val="0081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814E7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50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8004-E62F-4F1E-B6E3-B459735A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4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友邦华泰基金管理有限公司</dc:title>
  <dc:subject/>
  <dc:creator>chenp</dc:creator>
  <cp:keywords/>
  <dc:description/>
  <cp:lastModifiedBy>ZHONGM</cp:lastModifiedBy>
  <cp:revision>2</cp:revision>
  <cp:lastPrinted>2018-10-11T08:12:00Z</cp:lastPrinted>
  <dcterms:created xsi:type="dcterms:W3CDTF">2025-06-03T16:01:00Z</dcterms:created>
  <dcterms:modified xsi:type="dcterms:W3CDTF">2025-06-03T16:01:00Z</dcterms:modified>
</cp:coreProperties>
</file>