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8E5" w:rsidRDefault="00B40450">
      <w:pPr>
        <w:shd w:val="clear" w:color="auto" w:fill="FFFFFF"/>
        <w:spacing w:line="360" w:lineRule="auto"/>
        <w:jc w:val="center"/>
        <w:outlineLvl w:val="3"/>
        <w:rPr>
          <w:rFonts w:asciiTheme="minorEastAsia" w:hAnsiTheme="minorEastAsia"/>
          <w:b/>
          <w:bCs/>
          <w:color w:val="000000" w:themeColor="text1"/>
          <w:sz w:val="30"/>
          <w:szCs w:val="30"/>
        </w:rPr>
      </w:pPr>
      <w:bookmarkStart w:id="0" w:name="_GoBack"/>
      <w:r>
        <w:rPr>
          <w:rFonts w:asciiTheme="minorEastAsia" w:hAnsiTheme="minorEastAsia" w:hint="eastAsia"/>
          <w:b/>
          <w:bCs/>
          <w:color w:val="000000" w:themeColor="text1"/>
          <w:sz w:val="30"/>
          <w:szCs w:val="30"/>
        </w:rPr>
        <w:t>湘财基金</w:t>
      </w:r>
      <w:bookmarkEnd w:id="0"/>
      <w:r>
        <w:rPr>
          <w:rFonts w:asciiTheme="minorEastAsia" w:hAnsiTheme="minorEastAsia" w:hint="eastAsia"/>
          <w:b/>
          <w:bCs/>
          <w:color w:val="000000" w:themeColor="text1"/>
          <w:sz w:val="30"/>
          <w:szCs w:val="30"/>
        </w:rPr>
        <w:t>管理有限公司关于旗下部分基金增加北京加和基金销售有限公司为销售机构并开通基金定期定额投资业务和基金转换业务以及参与其费率优惠活动的公告</w:t>
      </w:r>
    </w:p>
    <w:p w:rsidR="00CF68E5" w:rsidRDefault="00B40450" w:rsidP="00B40450">
      <w:pPr>
        <w:shd w:val="clear" w:color="auto" w:fill="FFFFFF"/>
        <w:spacing w:line="360" w:lineRule="auto"/>
        <w:ind w:firstLineChars="177" w:firstLine="425"/>
        <w:jc w:val="both"/>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为更好地满足广大投资者的理财需求，根据湘财基金管理有限公司（以下简称“本公司”）与北京加和基金销售有限公司（以下简称“加和基金”）签署的基金销售服务协议，自</w:t>
      </w:r>
      <w:r>
        <w:rPr>
          <w:rFonts w:asciiTheme="minorEastAsia" w:hAnsiTheme="minorEastAsia" w:hint="eastAsia"/>
          <w:color w:val="000000" w:themeColor="text1"/>
        </w:rPr>
        <w:t>2025</w:t>
      </w:r>
      <w:r>
        <w:rPr>
          <w:rFonts w:asciiTheme="minorEastAsia" w:hAnsiTheme="minorEastAsia" w:hint="eastAsia"/>
          <w:color w:val="000000" w:themeColor="text1"/>
        </w:rPr>
        <w:t>年</w:t>
      </w:r>
      <w:r>
        <w:rPr>
          <w:rFonts w:asciiTheme="minorEastAsia" w:hAnsiTheme="minorEastAsia" w:hint="eastAsia"/>
          <w:color w:val="000000" w:themeColor="text1"/>
        </w:rPr>
        <w:t>6</w:t>
      </w:r>
      <w:r>
        <w:rPr>
          <w:rFonts w:asciiTheme="minorEastAsia" w:hAnsiTheme="minorEastAsia" w:hint="eastAsia"/>
          <w:color w:val="000000" w:themeColor="text1"/>
        </w:rPr>
        <w:t>月</w:t>
      </w:r>
      <w:r>
        <w:rPr>
          <w:rFonts w:asciiTheme="minorEastAsia" w:hAnsiTheme="minorEastAsia" w:hint="eastAsia"/>
          <w:color w:val="000000" w:themeColor="text1"/>
        </w:rPr>
        <w:t>3</w:t>
      </w:r>
      <w:r>
        <w:rPr>
          <w:rFonts w:asciiTheme="minorEastAsia" w:hAnsiTheme="minorEastAsia" w:hint="eastAsia"/>
          <w:color w:val="000000" w:themeColor="text1"/>
        </w:rPr>
        <w:t>日起，</w:t>
      </w:r>
      <w:r>
        <w:rPr>
          <w:rFonts w:asciiTheme="minorEastAsia" w:hAnsiTheme="minorEastAsia"/>
          <w:color w:val="000000" w:themeColor="text1"/>
        </w:rPr>
        <w:t>加和基金</w:t>
      </w:r>
      <w:r>
        <w:rPr>
          <w:rFonts w:asciiTheme="minorEastAsia" w:hAnsiTheme="minorEastAsia" w:hint="eastAsia"/>
          <w:color w:val="000000" w:themeColor="text1"/>
        </w:rPr>
        <w:t>将代理销售本公司旗下部分基金，并开通定期定额投资业务和基金转换业务。现将有关事项公告如下：</w:t>
      </w:r>
    </w:p>
    <w:p w:rsidR="00CF68E5" w:rsidRDefault="00B40450">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加和基金</w:t>
      </w:r>
      <w:r>
        <w:rPr>
          <w:rFonts w:asciiTheme="minorEastAsia" w:hAnsiTheme="minorEastAsia" w:hint="eastAsia"/>
          <w:b/>
          <w:bCs/>
          <w:color w:val="000000" w:themeColor="text1"/>
          <w:sz w:val="27"/>
          <w:szCs w:val="27"/>
        </w:rPr>
        <w:t>为销售机构</w:t>
      </w:r>
    </w:p>
    <w:p w:rsidR="00CF68E5" w:rsidRDefault="00B40450" w:rsidP="00B40450">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7943" w:type="dxa"/>
        <w:jc w:val="center"/>
        <w:tblLook w:val="04A0"/>
      </w:tblPr>
      <w:tblGrid>
        <w:gridCol w:w="1089"/>
        <w:gridCol w:w="1611"/>
        <w:gridCol w:w="5243"/>
      </w:tblGrid>
      <w:tr w:rsidR="00CF68E5">
        <w:trPr>
          <w:trHeight w:val="252"/>
          <w:jc w:val="center"/>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hint="eastAsia"/>
              </w:rPr>
              <w:t>编号</w:t>
            </w:r>
          </w:p>
        </w:tc>
        <w:tc>
          <w:tcPr>
            <w:tcW w:w="1611" w:type="dxa"/>
            <w:tcBorders>
              <w:top w:val="single" w:sz="4" w:space="0" w:color="auto"/>
              <w:left w:val="nil"/>
              <w:bottom w:val="single" w:sz="4" w:space="0" w:color="auto"/>
              <w:right w:val="single" w:sz="4" w:space="0" w:color="auto"/>
            </w:tcBorders>
            <w:shd w:val="clear" w:color="auto" w:fill="auto"/>
            <w:noWrap/>
            <w:vAlign w:val="bottom"/>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基金代码</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基金全称</w:t>
            </w: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007012</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湘财长顺混合型发起式证券投资基金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007013</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2</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008128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湘财长源股票型证券投资基金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008129</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3</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009169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湘财长兴灵活配置混合型证券投资基金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009170</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4</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009907</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湘财长泽灵活配置混合型证券投资基金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009908</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5</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010076</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湘财长弘灵活配置混合型证券投资基金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010077</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6</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010810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湘财久盈中短债债券型证券投资基金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010811</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7</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011550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湘财创新成长一年持有期混合型证券投资基金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011551</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551"/>
          <w:jc w:val="center"/>
        </w:trPr>
        <w:tc>
          <w:tcPr>
            <w:tcW w:w="1089" w:type="dxa"/>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8</w:t>
            </w:r>
          </w:p>
        </w:tc>
        <w:tc>
          <w:tcPr>
            <w:tcW w:w="1611" w:type="dxa"/>
            <w:tcBorders>
              <w:top w:val="nil"/>
              <w:left w:val="nil"/>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013623</w:t>
            </w:r>
          </w:p>
        </w:tc>
        <w:tc>
          <w:tcPr>
            <w:tcW w:w="5243" w:type="dxa"/>
            <w:tcBorders>
              <w:top w:val="nil"/>
              <w:left w:val="nil"/>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湘财周期轮动一年持有期混合型证券投资基金</w:t>
            </w: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9</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021928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湘财鑫裕纯债债券型证券投资基金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021929</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10</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016029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湘财成长优选一年持有期混合型证券投资基金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016030</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11</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016781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湘财研究精选一年持有期混合型证券投资基金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016782</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12</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017809</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湘财鑫享债券型证券投资基金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017810</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13</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018930</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湘财均衡甄选混合型证券投资基金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018931</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t>14</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018981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湘财鑫利纯债债券型证券投资基金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018982</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Theme="minorEastAsia" w:eastAsiaTheme="minorEastAsia" w:hAnsiTheme="minorEastAsia" w:cs="Arial"/>
              </w:rPr>
            </w:pPr>
          </w:p>
        </w:tc>
      </w:tr>
      <w:tr w:rsidR="00CF68E5">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jc w:val="center"/>
              <w:rPr>
                <w:rFonts w:asciiTheme="minorEastAsia" w:eastAsiaTheme="minorEastAsia" w:hAnsiTheme="minorEastAsia" w:cs="Arial"/>
              </w:rPr>
            </w:pPr>
            <w:r>
              <w:rPr>
                <w:rFonts w:asciiTheme="minorEastAsia" w:eastAsiaTheme="minorEastAsia" w:hAnsiTheme="minorEastAsia" w:cs="Arial"/>
              </w:rPr>
              <w:lastRenderedPageBreak/>
              <w:t>15</w:t>
            </w: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019958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CF68E5" w:rsidRDefault="00B40450">
            <w:pPr>
              <w:rPr>
                <w:rFonts w:asciiTheme="minorEastAsia" w:eastAsiaTheme="minorEastAsia" w:hAnsiTheme="minorEastAsia" w:cs="Arial"/>
              </w:rPr>
            </w:pPr>
            <w:r>
              <w:rPr>
                <w:rFonts w:asciiTheme="minorEastAsia" w:eastAsiaTheme="minorEastAsia" w:hAnsiTheme="minorEastAsia" w:cs="Arial"/>
              </w:rPr>
              <w:t>湘财医药健康混合型证券投资基金</w:t>
            </w:r>
          </w:p>
        </w:tc>
      </w:tr>
      <w:tr w:rsidR="00CF68E5">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c>
          <w:tcPr>
            <w:tcW w:w="1611" w:type="dxa"/>
            <w:tcBorders>
              <w:top w:val="nil"/>
              <w:left w:val="nil"/>
              <w:bottom w:val="single" w:sz="4" w:space="0" w:color="auto"/>
              <w:right w:val="single" w:sz="4" w:space="0" w:color="auto"/>
            </w:tcBorders>
            <w:shd w:val="clear" w:color="auto" w:fill="auto"/>
            <w:noWrap/>
            <w:vAlign w:val="bottom"/>
          </w:tcPr>
          <w:p w:rsidR="00CF68E5" w:rsidRDefault="00B40450">
            <w:pPr>
              <w:rPr>
                <w:rFonts w:ascii="Arial" w:hAnsi="Arial" w:cs="Arial"/>
                <w:sz w:val="20"/>
                <w:szCs w:val="20"/>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019959</w:t>
            </w:r>
          </w:p>
        </w:tc>
        <w:tc>
          <w:tcPr>
            <w:tcW w:w="5243" w:type="dxa"/>
            <w:vMerge/>
            <w:tcBorders>
              <w:top w:val="nil"/>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r>
      <w:tr w:rsidR="00CF68E5">
        <w:trPr>
          <w:trHeight w:val="252"/>
          <w:jc w:val="center"/>
        </w:trPr>
        <w:tc>
          <w:tcPr>
            <w:tcW w:w="1089" w:type="dxa"/>
            <w:vMerge w:val="restart"/>
            <w:tcBorders>
              <w:top w:val="nil"/>
              <w:left w:val="single" w:sz="4" w:space="0" w:color="auto"/>
              <w:right w:val="single" w:sz="4" w:space="0" w:color="auto"/>
            </w:tcBorders>
            <w:vAlign w:val="center"/>
          </w:tcPr>
          <w:p w:rsidR="00CF68E5" w:rsidRDefault="00B40450">
            <w:pPr>
              <w:jc w:val="center"/>
              <w:rPr>
                <w:rFonts w:ascii="Arial" w:hAnsi="Arial" w:cs="Arial"/>
                <w:sz w:val="20"/>
                <w:szCs w:val="20"/>
              </w:rPr>
            </w:pPr>
            <w:r>
              <w:rPr>
                <w:rFonts w:asciiTheme="minorEastAsia" w:eastAsiaTheme="minorEastAsia" w:hAnsiTheme="minorEastAsia" w:cs="Arial"/>
              </w:rPr>
              <w:t>16</w:t>
            </w:r>
          </w:p>
        </w:tc>
        <w:tc>
          <w:tcPr>
            <w:tcW w:w="1611" w:type="dxa"/>
            <w:tcBorders>
              <w:top w:val="nil"/>
              <w:left w:val="nil"/>
              <w:bottom w:val="single" w:sz="4" w:space="0" w:color="auto"/>
              <w:right w:val="single" w:sz="4" w:space="0" w:color="auto"/>
            </w:tcBorders>
            <w:shd w:val="clear" w:color="auto" w:fill="auto"/>
            <w:noWrap/>
          </w:tcPr>
          <w:p w:rsidR="00CF68E5" w:rsidRDefault="00B40450">
            <w:pPr>
              <w:rPr>
                <w:rFonts w:asciiTheme="minorEastAsia" w:eastAsiaTheme="minorEastAsia" w:hAnsiTheme="minorEastAsia" w:cs="Arial"/>
              </w:rPr>
            </w:pPr>
            <w:r>
              <w:t>A</w:t>
            </w:r>
            <w:r>
              <w:t>类</w:t>
            </w:r>
            <w:r>
              <w:t xml:space="preserve"> 020532</w:t>
            </w:r>
          </w:p>
        </w:tc>
        <w:tc>
          <w:tcPr>
            <w:tcW w:w="5243" w:type="dxa"/>
            <w:vMerge w:val="restart"/>
            <w:tcBorders>
              <w:top w:val="nil"/>
              <w:left w:val="single" w:sz="4" w:space="0" w:color="auto"/>
              <w:right w:val="single" w:sz="4" w:space="0" w:color="auto"/>
            </w:tcBorders>
            <w:vAlign w:val="center"/>
          </w:tcPr>
          <w:p w:rsidR="00CF68E5" w:rsidRDefault="00B40450">
            <w:pPr>
              <w:rPr>
                <w:rFonts w:ascii="Arial" w:hAnsi="Arial" w:cs="Arial"/>
                <w:sz w:val="20"/>
                <w:szCs w:val="20"/>
              </w:rPr>
            </w:pPr>
            <w:r>
              <w:rPr>
                <w:rFonts w:asciiTheme="minorEastAsia" w:eastAsiaTheme="minorEastAsia" w:hAnsiTheme="minorEastAsia" w:cs="Arial" w:hint="eastAsia"/>
              </w:rPr>
              <w:t>湘财鑫睿债券型证券投资基金</w:t>
            </w:r>
          </w:p>
        </w:tc>
      </w:tr>
      <w:tr w:rsidR="00CF68E5">
        <w:trPr>
          <w:trHeight w:val="252"/>
          <w:jc w:val="center"/>
        </w:trPr>
        <w:tc>
          <w:tcPr>
            <w:tcW w:w="1089" w:type="dxa"/>
            <w:vMerge/>
            <w:tcBorders>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c>
          <w:tcPr>
            <w:tcW w:w="1611" w:type="dxa"/>
            <w:tcBorders>
              <w:top w:val="nil"/>
              <w:left w:val="nil"/>
              <w:bottom w:val="single" w:sz="4" w:space="0" w:color="auto"/>
              <w:right w:val="single" w:sz="4" w:space="0" w:color="auto"/>
            </w:tcBorders>
            <w:shd w:val="clear" w:color="auto" w:fill="auto"/>
            <w:noWrap/>
          </w:tcPr>
          <w:p w:rsidR="00CF68E5" w:rsidRDefault="00B40450">
            <w:pPr>
              <w:rPr>
                <w:rFonts w:asciiTheme="minorEastAsia" w:eastAsiaTheme="minorEastAsia" w:hAnsiTheme="minorEastAsia" w:cs="Arial"/>
              </w:rPr>
            </w:pPr>
            <w:r>
              <w:t>C</w:t>
            </w:r>
            <w:r>
              <w:t>类</w:t>
            </w:r>
            <w:r>
              <w:t xml:space="preserve"> 020533</w:t>
            </w:r>
          </w:p>
        </w:tc>
        <w:tc>
          <w:tcPr>
            <w:tcW w:w="5243" w:type="dxa"/>
            <w:vMerge/>
            <w:tcBorders>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r>
      <w:tr w:rsidR="00CF68E5">
        <w:trPr>
          <w:trHeight w:val="252"/>
          <w:jc w:val="center"/>
        </w:trPr>
        <w:tc>
          <w:tcPr>
            <w:tcW w:w="1089" w:type="dxa"/>
            <w:vMerge w:val="restart"/>
            <w:tcBorders>
              <w:top w:val="single" w:sz="4" w:space="0" w:color="auto"/>
              <w:left w:val="single" w:sz="4" w:space="0" w:color="auto"/>
              <w:right w:val="single" w:sz="4" w:space="0" w:color="auto"/>
            </w:tcBorders>
            <w:vAlign w:val="center"/>
          </w:tcPr>
          <w:p w:rsidR="00CF68E5" w:rsidRDefault="00B40450">
            <w:pPr>
              <w:jc w:val="center"/>
              <w:rPr>
                <w:rFonts w:ascii="Arial" w:hAnsi="Arial" w:cs="Arial"/>
                <w:sz w:val="20"/>
                <w:szCs w:val="20"/>
              </w:rPr>
            </w:pPr>
            <w:r>
              <w:rPr>
                <w:rFonts w:asciiTheme="minorEastAsia" w:eastAsiaTheme="minorEastAsia" w:hAnsiTheme="minorEastAsia" w:cs="Arial"/>
              </w:rPr>
              <w:t>17</w:t>
            </w:r>
          </w:p>
        </w:tc>
        <w:tc>
          <w:tcPr>
            <w:tcW w:w="1611" w:type="dxa"/>
            <w:tcBorders>
              <w:top w:val="single" w:sz="4" w:space="0" w:color="auto"/>
              <w:left w:val="nil"/>
              <w:bottom w:val="single" w:sz="4" w:space="0" w:color="auto"/>
              <w:right w:val="single" w:sz="4" w:space="0" w:color="auto"/>
            </w:tcBorders>
            <w:shd w:val="clear" w:color="auto" w:fill="auto"/>
            <w:noWrap/>
          </w:tcPr>
          <w:p w:rsidR="00CF68E5" w:rsidRDefault="00B40450">
            <w:r>
              <w:t>A</w:t>
            </w:r>
            <w:r>
              <w:t>类</w:t>
            </w:r>
            <w:r>
              <w:t xml:space="preserve"> 020816</w:t>
            </w:r>
          </w:p>
        </w:tc>
        <w:tc>
          <w:tcPr>
            <w:tcW w:w="5243" w:type="dxa"/>
            <w:vMerge w:val="restart"/>
            <w:tcBorders>
              <w:top w:val="single" w:sz="4" w:space="0" w:color="auto"/>
              <w:left w:val="single" w:sz="4" w:space="0" w:color="auto"/>
              <w:right w:val="single" w:sz="4" w:space="0" w:color="auto"/>
            </w:tcBorders>
            <w:vAlign w:val="center"/>
          </w:tcPr>
          <w:p w:rsidR="00CF68E5" w:rsidRDefault="00B40450">
            <w:pPr>
              <w:rPr>
                <w:rFonts w:ascii="Arial" w:hAnsi="Arial" w:cs="Arial"/>
                <w:sz w:val="20"/>
                <w:szCs w:val="20"/>
              </w:rPr>
            </w:pPr>
            <w:r>
              <w:rPr>
                <w:rFonts w:asciiTheme="minorEastAsia" w:eastAsiaTheme="minorEastAsia" w:hAnsiTheme="minorEastAsia" w:cs="Arial" w:hint="eastAsia"/>
              </w:rPr>
              <w:t>湘财红利量化选股混合型证券投资基金</w:t>
            </w:r>
          </w:p>
        </w:tc>
      </w:tr>
      <w:tr w:rsidR="00CF68E5">
        <w:trPr>
          <w:trHeight w:val="252"/>
          <w:jc w:val="center"/>
        </w:trPr>
        <w:tc>
          <w:tcPr>
            <w:tcW w:w="1089" w:type="dxa"/>
            <w:vMerge/>
            <w:tcBorders>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c>
          <w:tcPr>
            <w:tcW w:w="1611" w:type="dxa"/>
            <w:tcBorders>
              <w:top w:val="single" w:sz="4" w:space="0" w:color="auto"/>
              <w:left w:val="nil"/>
              <w:bottom w:val="single" w:sz="4" w:space="0" w:color="auto"/>
              <w:right w:val="single" w:sz="4" w:space="0" w:color="auto"/>
            </w:tcBorders>
            <w:shd w:val="clear" w:color="auto" w:fill="auto"/>
            <w:noWrap/>
          </w:tcPr>
          <w:p w:rsidR="00CF68E5" w:rsidRDefault="00B40450">
            <w:r>
              <w:t>C</w:t>
            </w:r>
            <w:r>
              <w:t>类</w:t>
            </w:r>
            <w:r>
              <w:t xml:space="preserve"> 020817</w:t>
            </w:r>
          </w:p>
        </w:tc>
        <w:tc>
          <w:tcPr>
            <w:tcW w:w="5243" w:type="dxa"/>
            <w:vMerge/>
            <w:tcBorders>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r>
      <w:tr w:rsidR="00CF68E5">
        <w:trPr>
          <w:trHeight w:val="252"/>
          <w:jc w:val="center"/>
        </w:trPr>
        <w:tc>
          <w:tcPr>
            <w:tcW w:w="1089" w:type="dxa"/>
            <w:vMerge w:val="restart"/>
            <w:tcBorders>
              <w:top w:val="single" w:sz="4" w:space="0" w:color="auto"/>
              <w:left w:val="single" w:sz="4" w:space="0" w:color="auto"/>
              <w:bottom w:val="single" w:sz="4" w:space="0" w:color="auto"/>
              <w:right w:val="single" w:sz="4" w:space="0" w:color="auto"/>
            </w:tcBorders>
            <w:vAlign w:val="center"/>
          </w:tcPr>
          <w:p w:rsidR="00CF68E5" w:rsidRDefault="00B40450">
            <w:pPr>
              <w:jc w:val="center"/>
              <w:rPr>
                <w:rFonts w:ascii="Arial" w:hAnsi="Arial" w:cs="Arial"/>
                <w:sz w:val="20"/>
                <w:szCs w:val="20"/>
              </w:rPr>
            </w:pPr>
            <w:r>
              <w:rPr>
                <w:rFonts w:asciiTheme="minorEastAsia" w:eastAsiaTheme="minorEastAsia" w:hAnsiTheme="minorEastAsia" w:cs="Arial"/>
              </w:rPr>
              <w:t>18</w:t>
            </w:r>
          </w:p>
        </w:tc>
        <w:tc>
          <w:tcPr>
            <w:tcW w:w="1611" w:type="dxa"/>
            <w:tcBorders>
              <w:top w:val="single" w:sz="4" w:space="0" w:color="auto"/>
              <w:left w:val="nil"/>
              <w:bottom w:val="single" w:sz="4" w:space="0" w:color="auto"/>
              <w:right w:val="single" w:sz="4" w:space="0" w:color="auto"/>
            </w:tcBorders>
            <w:shd w:val="clear" w:color="auto" w:fill="auto"/>
            <w:noWrap/>
          </w:tcPr>
          <w:p w:rsidR="00CF68E5" w:rsidRDefault="00B40450">
            <w:r>
              <w:t>A</w:t>
            </w:r>
            <w:r>
              <w:t>类</w:t>
            </w:r>
            <w:r>
              <w:t xml:space="preserve"> 020779</w:t>
            </w:r>
          </w:p>
        </w:tc>
        <w:tc>
          <w:tcPr>
            <w:tcW w:w="5243" w:type="dxa"/>
            <w:vMerge w:val="restart"/>
            <w:tcBorders>
              <w:top w:val="single" w:sz="4" w:space="0" w:color="auto"/>
              <w:left w:val="single" w:sz="4" w:space="0" w:color="auto"/>
              <w:bottom w:val="single" w:sz="4" w:space="0" w:color="auto"/>
              <w:right w:val="single" w:sz="4" w:space="0" w:color="auto"/>
            </w:tcBorders>
            <w:vAlign w:val="center"/>
          </w:tcPr>
          <w:p w:rsidR="00CF68E5" w:rsidRDefault="00B40450">
            <w:pPr>
              <w:rPr>
                <w:rFonts w:ascii="Arial" w:hAnsi="Arial" w:cs="Arial"/>
                <w:sz w:val="20"/>
                <w:szCs w:val="20"/>
              </w:rPr>
            </w:pPr>
            <w:r>
              <w:rPr>
                <w:rFonts w:asciiTheme="minorEastAsia" w:eastAsiaTheme="minorEastAsia" w:hAnsiTheme="minorEastAsia" w:cs="Arial" w:hint="eastAsia"/>
              </w:rPr>
              <w:t>湘财新能源量化选股混合型证券投资基金</w:t>
            </w:r>
          </w:p>
        </w:tc>
      </w:tr>
      <w:tr w:rsidR="00CF68E5">
        <w:trPr>
          <w:trHeight w:val="252"/>
          <w:jc w:val="center"/>
        </w:trPr>
        <w:tc>
          <w:tcPr>
            <w:tcW w:w="1089" w:type="dxa"/>
            <w:vMerge/>
            <w:tcBorders>
              <w:top w:val="single" w:sz="4" w:space="0" w:color="auto"/>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c>
          <w:tcPr>
            <w:tcW w:w="1611" w:type="dxa"/>
            <w:tcBorders>
              <w:top w:val="single" w:sz="4" w:space="0" w:color="auto"/>
              <w:left w:val="nil"/>
              <w:bottom w:val="single" w:sz="4" w:space="0" w:color="auto"/>
              <w:right w:val="single" w:sz="4" w:space="0" w:color="auto"/>
            </w:tcBorders>
            <w:shd w:val="clear" w:color="auto" w:fill="auto"/>
            <w:noWrap/>
          </w:tcPr>
          <w:p w:rsidR="00CF68E5" w:rsidRDefault="00B40450">
            <w:r>
              <w:t>C</w:t>
            </w:r>
            <w:r>
              <w:t>类</w:t>
            </w:r>
            <w:r>
              <w:t xml:space="preserve"> </w:t>
            </w:r>
            <w:r>
              <w:t>020780</w:t>
            </w:r>
          </w:p>
        </w:tc>
        <w:tc>
          <w:tcPr>
            <w:tcW w:w="5243" w:type="dxa"/>
            <w:vMerge/>
            <w:tcBorders>
              <w:top w:val="single" w:sz="4" w:space="0" w:color="auto"/>
              <w:left w:val="single" w:sz="4" w:space="0" w:color="auto"/>
              <w:bottom w:val="single" w:sz="4" w:space="0" w:color="auto"/>
              <w:right w:val="single" w:sz="4" w:space="0" w:color="auto"/>
            </w:tcBorders>
            <w:vAlign w:val="center"/>
          </w:tcPr>
          <w:p w:rsidR="00CF68E5" w:rsidRDefault="00CF68E5">
            <w:pPr>
              <w:rPr>
                <w:rFonts w:ascii="Arial" w:hAnsi="Arial" w:cs="Arial"/>
                <w:sz w:val="20"/>
                <w:szCs w:val="20"/>
              </w:rPr>
            </w:pPr>
          </w:p>
        </w:tc>
      </w:tr>
    </w:tbl>
    <w:p w:rsidR="00CF68E5" w:rsidRDefault="00B40450">
      <w:pPr>
        <w:shd w:val="clear" w:color="auto" w:fill="FFFFFF"/>
        <w:spacing w:line="360" w:lineRule="auto"/>
        <w:ind w:firstLineChars="200" w:firstLine="480"/>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投资人可按照加和基金提供的方式办理上述基金的开户、申购、赎回、定期定额投资业务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加和基金</w:t>
      </w:r>
      <w:r>
        <w:rPr>
          <w:rFonts w:asciiTheme="minorEastAsia" w:hAnsiTheme="minorEastAsia" w:hint="eastAsia"/>
          <w:bCs/>
          <w:color w:val="000000" w:themeColor="text1"/>
        </w:rPr>
        <w:t>的相关规定。</w:t>
      </w:r>
    </w:p>
    <w:p w:rsidR="00CF68E5" w:rsidRDefault="00B40450">
      <w:pPr>
        <w:shd w:val="clear" w:color="auto" w:fill="FFFFFF"/>
        <w:spacing w:line="360" w:lineRule="auto"/>
        <w:ind w:firstLine="480"/>
        <w:jc w:val="both"/>
        <w:rPr>
          <w:rFonts w:asciiTheme="minorEastAsia" w:hAnsiTheme="minorEastAsia"/>
        </w:rPr>
      </w:pPr>
      <w:r>
        <w:rPr>
          <w:rFonts w:asciiTheme="minorEastAsia" w:hAnsiTheme="minorEastAsia" w:hint="eastAsia"/>
          <w:bCs/>
          <w:color w:val="000000" w:themeColor="text1"/>
        </w:rPr>
        <w:t>2</w:t>
      </w:r>
      <w:r>
        <w:rPr>
          <w:rFonts w:asciiTheme="minorEastAsia" w:hAnsiTheme="minorEastAsia" w:hint="eastAsia"/>
          <w:bCs/>
          <w:color w:val="000000" w:themeColor="text1"/>
        </w:rPr>
        <w:t>、</w:t>
      </w:r>
      <w:r>
        <w:rPr>
          <w:rFonts w:asciiTheme="minorEastAsia" w:hAnsiTheme="minorEastAsia"/>
        </w:rPr>
        <w:t>销售机构信息</w:t>
      </w:r>
      <w:r>
        <w:rPr>
          <w:rFonts w:asciiTheme="minorEastAsia" w:hAnsiTheme="minorEastAsia"/>
        </w:rPr>
        <w:t xml:space="preserve"> </w:t>
      </w:r>
    </w:p>
    <w:p w:rsidR="00CF68E5" w:rsidRDefault="00B40450">
      <w:pPr>
        <w:shd w:val="clear" w:color="auto" w:fill="FFFFFF"/>
        <w:spacing w:line="360" w:lineRule="auto"/>
        <w:ind w:firstLine="480"/>
        <w:jc w:val="both"/>
        <w:rPr>
          <w:rFonts w:asciiTheme="minorEastAsia" w:hAnsiTheme="minorEastAsia"/>
        </w:rPr>
      </w:pPr>
      <w:r>
        <w:rPr>
          <w:rFonts w:asciiTheme="minorEastAsia" w:hAnsiTheme="minorEastAsia" w:hint="eastAsia"/>
        </w:rPr>
        <w:t>销售机构名称：北京加和基金销售有限公司</w:t>
      </w:r>
      <w:r>
        <w:rPr>
          <w:rFonts w:asciiTheme="minorEastAsia" w:hAnsiTheme="minorEastAsia" w:hint="eastAsia"/>
        </w:rPr>
        <w:t xml:space="preserve">   </w:t>
      </w:r>
    </w:p>
    <w:p w:rsidR="00CF68E5" w:rsidRDefault="00B40450">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注册地址：北京市西城区白纸坊东街</w:t>
      </w:r>
      <w:r>
        <w:rPr>
          <w:rFonts w:asciiTheme="minorEastAsia" w:hAnsiTheme="minorEastAsia"/>
        </w:rPr>
        <w:t>2</w:t>
      </w:r>
      <w:r>
        <w:rPr>
          <w:rFonts w:asciiTheme="minorEastAsia" w:hAnsiTheme="minorEastAsia"/>
        </w:rPr>
        <w:t>号院</w:t>
      </w:r>
      <w:r>
        <w:rPr>
          <w:rFonts w:asciiTheme="minorEastAsia" w:hAnsiTheme="minorEastAsia"/>
        </w:rPr>
        <w:t>6</w:t>
      </w:r>
      <w:r>
        <w:rPr>
          <w:rFonts w:asciiTheme="minorEastAsia" w:hAnsiTheme="minorEastAsia"/>
        </w:rPr>
        <w:t>号楼</w:t>
      </w:r>
      <w:r>
        <w:rPr>
          <w:rFonts w:asciiTheme="minorEastAsia" w:hAnsiTheme="minorEastAsia"/>
        </w:rPr>
        <w:t>518</w:t>
      </w:r>
      <w:r>
        <w:rPr>
          <w:rFonts w:asciiTheme="minorEastAsia" w:hAnsiTheme="minorEastAsia"/>
        </w:rPr>
        <w:t>室</w:t>
      </w:r>
    </w:p>
    <w:p w:rsidR="00CF68E5" w:rsidRDefault="00B40450">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法定代表人：李由</w:t>
      </w:r>
    </w:p>
    <w:p w:rsidR="00CF68E5" w:rsidRDefault="00B40450">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客户服务电话：</w:t>
      </w:r>
      <w:r>
        <w:rPr>
          <w:rFonts w:asciiTheme="minorEastAsia" w:hAnsiTheme="minorEastAsia"/>
        </w:rPr>
        <w:t>400-820-1115</w:t>
      </w:r>
    </w:p>
    <w:p w:rsidR="00CF68E5" w:rsidRDefault="00B40450">
      <w:pPr>
        <w:shd w:val="clear" w:color="auto" w:fill="FFFFFF"/>
        <w:tabs>
          <w:tab w:val="left" w:pos="6390"/>
        </w:tabs>
        <w:spacing w:line="360" w:lineRule="auto"/>
        <w:ind w:leftChars="200" w:left="1680" w:hangingChars="500" w:hanging="1200"/>
        <w:jc w:val="both"/>
      </w:pPr>
      <w:r>
        <w:rPr>
          <w:rFonts w:asciiTheme="minorEastAsia" w:hAnsiTheme="minorEastAsia" w:hint="eastAsia"/>
        </w:rPr>
        <w:t>网址：</w:t>
      </w:r>
      <w:hyperlink r:id="rId6" w:history="1">
        <w:r>
          <w:rPr>
            <w:rStyle w:val="aa"/>
          </w:rPr>
          <w:t>https://www.bzfunds.com</w:t>
        </w:r>
      </w:hyperlink>
    </w:p>
    <w:p w:rsidR="00CF68E5" w:rsidRDefault="00B40450">
      <w:pPr>
        <w:shd w:val="clear" w:color="auto" w:fill="FFFFFF"/>
        <w:tabs>
          <w:tab w:val="left" w:pos="6390"/>
        </w:tabs>
        <w:spacing w:line="360" w:lineRule="auto"/>
        <w:ind w:leftChars="200" w:left="1835" w:hangingChars="500" w:hanging="1355"/>
        <w:jc w:val="both"/>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二、通过加和基金开通上述基金定期定额投资业务</w:t>
      </w:r>
    </w:p>
    <w:p w:rsidR="00CF68E5" w:rsidRDefault="00B40450">
      <w:pPr>
        <w:shd w:val="clear" w:color="auto" w:fill="FFFFFF"/>
        <w:spacing w:line="360" w:lineRule="auto"/>
        <w:ind w:firstLine="480"/>
        <w:jc w:val="both"/>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加和基金</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加和基金</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、适用投资者范围</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定期定额投资业务适用于依据中华人民共和国有关法律法规的规定和上述基金的基金合同约定可以投资证券投资基金的个人投资者和机构投资者。</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2</w:t>
      </w:r>
      <w:r>
        <w:rPr>
          <w:rFonts w:asciiTheme="minorEastAsia" w:hAnsiTheme="minorEastAsia"/>
          <w:bCs/>
          <w:color w:val="000000" w:themeColor="text1"/>
        </w:rPr>
        <w:t>、定期扣款金额</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投资者可以与</w:t>
      </w:r>
      <w:r>
        <w:rPr>
          <w:rFonts w:asciiTheme="minorEastAsia" w:hAnsiTheme="minorEastAsia"/>
          <w:color w:val="000000" w:themeColor="text1"/>
        </w:rPr>
        <w:t>加和基金</w:t>
      </w:r>
      <w:r>
        <w:rPr>
          <w:rFonts w:asciiTheme="minorEastAsia" w:hAnsiTheme="minorEastAsia" w:hint="eastAsia"/>
          <w:color w:val="000000" w:themeColor="text1"/>
        </w:rPr>
        <w:t>约定每期固定扣款金额，每期最低申购金额以代销机构为准，但不低于该</w:t>
      </w:r>
      <w:r>
        <w:rPr>
          <w:rFonts w:asciiTheme="minorEastAsia" w:hAnsiTheme="minorEastAsia" w:hint="eastAsia"/>
          <w:color w:val="000000" w:themeColor="text1"/>
        </w:rPr>
        <w:t>基金最低申购金额（含申购手续费）。</w:t>
      </w:r>
      <w:r>
        <w:rPr>
          <w:rFonts w:asciiTheme="minorEastAsia" w:hAnsiTheme="minorEastAsia"/>
          <w:bCs/>
          <w:color w:val="000000" w:themeColor="text1"/>
        </w:rPr>
        <w:t>加和基金</w:t>
      </w:r>
      <w:r>
        <w:rPr>
          <w:rFonts w:asciiTheme="minorEastAsia" w:hAnsiTheme="minorEastAsia" w:hint="eastAsia"/>
          <w:color w:val="000000" w:themeColor="text1"/>
        </w:rPr>
        <w:t>定期自动代投资者提交的申购金额，应与投资者原定期定额投资业务开通申请中填写的申购金额一致。</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3</w:t>
      </w:r>
      <w:r>
        <w:rPr>
          <w:rFonts w:asciiTheme="minorEastAsia" w:hAnsiTheme="minorEastAsia"/>
          <w:bCs/>
          <w:color w:val="000000" w:themeColor="text1"/>
        </w:rPr>
        <w:t>、交易确认</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以每期实际定期定额投资申购申请日（</w:t>
      </w:r>
      <w:r>
        <w:rPr>
          <w:rFonts w:asciiTheme="minorEastAsia" w:hAnsiTheme="minorEastAsia"/>
          <w:color w:val="000000" w:themeColor="text1"/>
        </w:rPr>
        <w:t>T</w:t>
      </w:r>
      <w:r>
        <w:rPr>
          <w:rFonts w:asciiTheme="minorEastAsia" w:hAnsiTheme="minorEastAsia"/>
          <w:color w:val="000000" w:themeColor="text1"/>
        </w:rPr>
        <w:t>日）的基金份额资产净值为基准计算申购份额。定期定额投资申购的确认以各基金注册登记机构的记录为准。</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lastRenderedPageBreak/>
        <w:t>4</w:t>
      </w:r>
      <w:r>
        <w:rPr>
          <w:rFonts w:asciiTheme="minorEastAsia" w:hAnsiTheme="minorEastAsia"/>
          <w:bCs/>
          <w:color w:val="000000" w:themeColor="text1"/>
        </w:rPr>
        <w:t>、有关定期定额投资业务的具体业务办理规则和程序请遵循加和基金的有关规定。</w:t>
      </w:r>
    </w:p>
    <w:p w:rsidR="00CF68E5" w:rsidRDefault="00B40450">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三、通过加和基金开通基金转换业务</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、本公司自</w:t>
      </w:r>
      <w:r>
        <w:rPr>
          <w:rFonts w:asciiTheme="minorEastAsia" w:hAnsiTheme="minorEastAsia"/>
          <w:bCs/>
          <w:color w:val="000000" w:themeColor="text1"/>
        </w:rPr>
        <w:t>2025</w:t>
      </w:r>
      <w:r>
        <w:rPr>
          <w:rFonts w:asciiTheme="minorEastAsia" w:hAnsiTheme="minorEastAsia"/>
          <w:bCs/>
          <w:color w:val="000000" w:themeColor="text1"/>
        </w:rPr>
        <w:t>年</w:t>
      </w:r>
      <w:r>
        <w:rPr>
          <w:rFonts w:asciiTheme="minorEastAsia" w:hAnsiTheme="minorEastAsia"/>
          <w:bCs/>
          <w:color w:val="000000" w:themeColor="text1"/>
        </w:rPr>
        <w:t>6</w:t>
      </w:r>
      <w:r>
        <w:rPr>
          <w:rFonts w:asciiTheme="minorEastAsia" w:hAnsiTheme="minorEastAsia"/>
          <w:bCs/>
          <w:color w:val="000000" w:themeColor="text1"/>
        </w:rPr>
        <w:t>月</w:t>
      </w:r>
      <w:r>
        <w:rPr>
          <w:rFonts w:asciiTheme="minorEastAsia" w:hAnsiTheme="minorEastAsia"/>
          <w:bCs/>
          <w:color w:val="000000" w:themeColor="text1"/>
        </w:rPr>
        <w:t>3</w:t>
      </w:r>
      <w:r>
        <w:rPr>
          <w:rFonts w:asciiTheme="minorEastAsia" w:hAnsiTheme="minorEastAsia"/>
          <w:bCs/>
          <w:color w:val="000000" w:themeColor="text1"/>
        </w:rPr>
        <w:t>日起在</w:t>
      </w:r>
      <w:r>
        <w:rPr>
          <w:rFonts w:asciiTheme="minorEastAsia" w:hAnsiTheme="minorEastAsia"/>
          <w:color w:val="000000" w:themeColor="text1"/>
        </w:rPr>
        <w:t>加和基金</w:t>
      </w:r>
      <w:r>
        <w:rPr>
          <w:rFonts w:asciiTheme="minorEastAsia" w:hAnsiTheme="minorEastAsia"/>
          <w:bCs/>
          <w:color w:val="000000" w:themeColor="text1"/>
        </w:rPr>
        <w:t>开通基金之间的转换业务。</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加和基金</w:t>
      </w:r>
      <w:r>
        <w:rPr>
          <w:rFonts w:asciiTheme="minorEastAsia" w:hAnsiTheme="minorEastAsia" w:hint="eastAsia"/>
          <w:color w:val="000000" w:themeColor="text1"/>
        </w:rPr>
        <w:t>的规定提交业务申请。</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2</w:t>
      </w:r>
      <w:r>
        <w:rPr>
          <w:rFonts w:asciiTheme="minorEastAsia" w:hAnsiTheme="minorEastAsia"/>
          <w:bCs/>
          <w:color w:val="000000" w:themeColor="text1"/>
        </w:rPr>
        <w:t>、基金转换业务的费率计算及规则</w:t>
      </w:r>
    </w:p>
    <w:p w:rsidR="00CF68E5" w:rsidRDefault="00B40450" w:rsidP="00B40450">
      <w:pPr>
        <w:shd w:val="clear" w:color="auto" w:fill="FFFFFF"/>
        <w:spacing w:line="360" w:lineRule="auto"/>
        <w:ind w:firstLineChars="177" w:firstLine="425"/>
        <w:jc w:val="both"/>
        <w:rPr>
          <w:rFonts w:asciiTheme="minorEastAsia" w:hAnsiTheme="minorEastAsia"/>
          <w:color w:val="000000" w:themeColor="text1"/>
        </w:rPr>
      </w:pPr>
      <w:r>
        <w:rPr>
          <w:rFonts w:asciiTheme="minorEastAsia" w:hAnsiTheme="minorEastAsia" w:hint="eastAsia"/>
          <w:color w:val="000000" w:themeColor="text1"/>
        </w:rPr>
        <w:t>关于基金转换业务的费率计算及规则请另行参见本公司信息披露文件及官网刊登的业务规则。</w:t>
      </w:r>
    </w:p>
    <w:p w:rsidR="00CF68E5" w:rsidRDefault="00B40450">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1</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6</w:t>
      </w:r>
      <w:r>
        <w:rPr>
          <w:rFonts w:asciiTheme="minorEastAsia" w:hAnsiTheme="minorEastAsia" w:hint="eastAsia"/>
          <w:bCs/>
          <w:color w:val="000000" w:themeColor="text1"/>
        </w:rPr>
        <w:t>月</w:t>
      </w:r>
      <w:r>
        <w:rPr>
          <w:rFonts w:asciiTheme="minorEastAsia" w:hAnsiTheme="minorEastAsia" w:hint="eastAsia"/>
          <w:bCs/>
          <w:color w:val="000000" w:themeColor="text1"/>
        </w:rPr>
        <w:t>3</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加和基金</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加和基金</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6</w:t>
      </w:r>
      <w:r>
        <w:rPr>
          <w:rFonts w:asciiTheme="minorEastAsia" w:hAnsiTheme="minorEastAsia" w:hint="eastAsia"/>
          <w:bCs/>
          <w:color w:val="000000" w:themeColor="text1"/>
        </w:rPr>
        <w:t>月</w:t>
      </w:r>
      <w:r>
        <w:rPr>
          <w:rFonts w:asciiTheme="minorEastAsia" w:hAnsiTheme="minorEastAsia" w:hint="eastAsia"/>
          <w:bCs/>
          <w:color w:val="000000" w:themeColor="text1"/>
        </w:rPr>
        <w:t>3</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加和基金</w:t>
      </w:r>
      <w:r>
        <w:rPr>
          <w:rFonts w:asciiTheme="minorEastAsia" w:hAnsiTheme="minorEastAsia"/>
          <w:bCs/>
          <w:color w:val="000000" w:themeColor="text1"/>
        </w:rPr>
        <w:t>办理上</w:t>
      </w:r>
      <w:r>
        <w:rPr>
          <w:rFonts w:asciiTheme="minorEastAsia" w:hAnsiTheme="minorEastAsia"/>
          <w:bCs/>
          <w:color w:val="000000" w:themeColor="text1"/>
        </w:rPr>
        <w:t>述基金与本公司旗下可参与转换基金间的转换业务，享有的申购费补差费率优惠以</w:t>
      </w:r>
      <w:r>
        <w:rPr>
          <w:rFonts w:asciiTheme="minorEastAsia" w:hAnsiTheme="minorEastAsia" w:hint="eastAsia"/>
          <w:bCs/>
          <w:color w:val="000000" w:themeColor="text1"/>
        </w:rPr>
        <w:t>加和基金</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3</w:t>
      </w:r>
      <w:r>
        <w:rPr>
          <w:rFonts w:asciiTheme="minorEastAsia" w:hAnsiTheme="minorEastAsia" w:hint="eastAsia"/>
          <w:bCs/>
          <w:color w:val="000000" w:themeColor="text1"/>
        </w:rPr>
        <w:t>、基金费率标准详见基金的基金合同、招募说明书（更新）等法律文件，以及本公司发布的最新业务公告。</w:t>
      </w:r>
    </w:p>
    <w:p w:rsidR="00CF68E5" w:rsidRDefault="00B40450">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投资者可以通过以下途径咨询、了解有关基金及相关活动的详情：</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1</w:t>
      </w:r>
      <w:r>
        <w:rPr>
          <w:rFonts w:asciiTheme="minorEastAsia" w:hAnsiTheme="minorEastAsia" w:hint="eastAsia"/>
          <w:bCs/>
          <w:color w:val="000000" w:themeColor="text1"/>
        </w:rPr>
        <w:t>、北京加和基金销售有限公司</w:t>
      </w:r>
      <w:r>
        <w:rPr>
          <w:rFonts w:asciiTheme="minorEastAsia" w:hAnsiTheme="minorEastAsia" w:hint="eastAsia"/>
          <w:bCs/>
          <w:color w:val="000000" w:themeColor="text1"/>
        </w:rPr>
        <w:t xml:space="preserve">  </w:t>
      </w:r>
    </w:p>
    <w:p w:rsidR="00CF68E5" w:rsidRDefault="00B40450">
      <w:pPr>
        <w:shd w:val="clear" w:color="auto" w:fill="FFFFFF"/>
        <w:spacing w:line="360" w:lineRule="auto"/>
        <w:ind w:firstLine="480"/>
        <w:jc w:val="both"/>
      </w:pPr>
      <w:r>
        <w:rPr>
          <w:rFonts w:hint="eastAsia"/>
        </w:rPr>
        <w:t>客户服务电话：</w:t>
      </w:r>
      <w:r>
        <w:t>400-820-1115</w:t>
      </w:r>
    </w:p>
    <w:p w:rsidR="00CF68E5" w:rsidRDefault="00B40450">
      <w:pPr>
        <w:shd w:val="clear" w:color="auto" w:fill="FFFFFF"/>
        <w:spacing w:line="360" w:lineRule="auto"/>
        <w:ind w:firstLine="480"/>
        <w:jc w:val="both"/>
      </w:pPr>
      <w:r>
        <w:rPr>
          <w:rFonts w:hint="eastAsia"/>
        </w:rPr>
        <w:t>网址：</w:t>
      </w:r>
      <w:hyperlink r:id="rId7" w:history="1">
        <w:r>
          <w:rPr>
            <w:rStyle w:val="aa"/>
          </w:rPr>
          <w:t>https://www.bzfunds.com</w:t>
        </w:r>
      </w:hyperlink>
      <w:r>
        <w:t xml:space="preserve"> </w:t>
      </w:r>
    </w:p>
    <w:p w:rsidR="00CF68E5" w:rsidRDefault="00B40450">
      <w:pPr>
        <w:shd w:val="clear" w:color="auto" w:fill="FFFFFF"/>
        <w:spacing w:line="360" w:lineRule="auto"/>
        <w:ind w:firstLine="480"/>
        <w:jc w:val="both"/>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、湘财基金管理有限公司</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客户服务电话：</w:t>
      </w:r>
      <w:r>
        <w:rPr>
          <w:rFonts w:asciiTheme="minorEastAsia" w:hAnsiTheme="minorEastAsia" w:hint="eastAsia"/>
          <w:bCs/>
          <w:color w:val="000000" w:themeColor="text1"/>
        </w:rPr>
        <w:t>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网址：</w:t>
      </w:r>
      <w:r>
        <w:rPr>
          <w:rFonts w:asciiTheme="minorEastAsia" w:hAnsiTheme="minorEastAsia" w:hint="eastAsia"/>
          <w:bCs/>
          <w:color w:val="000000" w:themeColor="text1"/>
        </w:rPr>
        <w:t>www.xc-fund.com</w:t>
      </w:r>
    </w:p>
    <w:p w:rsidR="00CF68E5" w:rsidRDefault="00B40450">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CF68E5" w:rsidRDefault="00B40450" w:rsidP="00B40450">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hint="eastAsia"/>
          <w:bCs/>
          <w:color w:val="000000" w:themeColor="text1"/>
        </w:rPr>
        <w:t>特此公告。</w:t>
      </w:r>
    </w:p>
    <w:p w:rsidR="00CF68E5" w:rsidRDefault="00CF68E5">
      <w:pPr>
        <w:shd w:val="clear" w:color="auto" w:fill="FFFFFF"/>
        <w:spacing w:line="360" w:lineRule="auto"/>
        <w:rPr>
          <w:rFonts w:asciiTheme="minorEastAsia" w:hAnsiTheme="minorEastAsia"/>
          <w:color w:val="000000" w:themeColor="text1"/>
        </w:rPr>
      </w:pPr>
    </w:p>
    <w:p w:rsidR="00CF68E5" w:rsidRDefault="00B40450">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湘财基金管理有限公司</w:t>
      </w:r>
    </w:p>
    <w:p w:rsidR="00CF68E5" w:rsidRDefault="00B40450">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w:t>
      </w:r>
      <w:r>
        <w:rPr>
          <w:rFonts w:asciiTheme="minorEastAsia" w:hAnsiTheme="minorEastAsia"/>
          <w:color w:val="000000" w:themeColor="text1"/>
        </w:rPr>
        <w:t>五</w:t>
      </w:r>
      <w:r>
        <w:rPr>
          <w:rFonts w:asciiTheme="minorEastAsia" w:hAnsiTheme="minorEastAsia" w:hint="eastAsia"/>
          <w:color w:val="000000" w:themeColor="text1"/>
        </w:rPr>
        <w:t>年六月三日</w:t>
      </w:r>
    </w:p>
    <w:sectPr w:rsidR="00CF68E5" w:rsidSect="00CF68E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833BAF"/>
    <w:rsid w:val="00002427"/>
    <w:rsid w:val="00006EC4"/>
    <w:rsid w:val="00015357"/>
    <w:rsid w:val="00024FB3"/>
    <w:rsid w:val="0003203E"/>
    <w:rsid w:val="00036A10"/>
    <w:rsid w:val="0004338F"/>
    <w:rsid w:val="00056929"/>
    <w:rsid w:val="00061EC0"/>
    <w:rsid w:val="000632B2"/>
    <w:rsid w:val="0006514E"/>
    <w:rsid w:val="000835FF"/>
    <w:rsid w:val="00084EE2"/>
    <w:rsid w:val="00087B24"/>
    <w:rsid w:val="000927EB"/>
    <w:rsid w:val="000956C4"/>
    <w:rsid w:val="000A2A24"/>
    <w:rsid w:val="000A6360"/>
    <w:rsid w:val="000A77BE"/>
    <w:rsid w:val="000B3401"/>
    <w:rsid w:val="000B3755"/>
    <w:rsid w:val="000B6BE5"/>
    <w:rsid w:val="000C5F09"/>
    <w:rsid w:val="000D4C78"/>
    <w:rsid w:val="000D6851"/>
    <w:rsid w:val="000E16A9"/>
    <w:rsid w:val="000E2125"/>
    <w:rsid w:val="000E6C8A"/>
    <w:rsid w:val="001027F9"/>
    <w:rsid w:val="001050BE"/>
    <w:rsid w:val="00113432"/>
    <w:rsid w:val="00115320"/>
    <w:rsid w:val="00126238"/>
    <w:rsid w:val="00131694"/>
    <w:rsid w:val="00133AA1"/>
    <w:rsid w:val="0015025E"/>
    <w:rsid w:val="0015051C"/>
    <w:rsid w:val="00153943"/>
    <w:rsid w:val="0015608A"/>
    <w:rsid w:val="001605E5"/>
    <w:rsid w:val="00171787"/>
    <w:rsid w:val="00181B00"/>
    <w:rsid w:val="00184679"/>
    <w:rsid w:val="00191A12"/>
    <w:rsid w:val="001926C3"/>
    <w:rsid w:val="00196A3E"/>
    <w:rsid w:val="001A62D6"/>
    <w:rsid w:val="001B073B"/>
    <w:rsid w:val="001B7A5F"/>
    <w:rsid w:val="001C18C0"/>
    <w:rsid w:val="001C4F55"/>
    <w:rsid w:val="001D18C1"/>
    <w:rsid w:val="001E6124"/>
    <w:rsid w:val="001E6216"/>
    <w:rsid w:val="001E6FAB"/>
    <w:rsid w:val="001E7FCE"/>
    <w:rsid w:val="001F315F"/>
    <w:rsid w:val="0022693B"/>
    <w:rsid w:val="00232979"/>
    <w:rsid w:val="00234378"/>
    <w:rsid w:val="00235366"/>
    <w:rsid w:val="00256CB7"/>
    <w:rsid w:val="00257FBC"/>
    <w:rsid w:val="002635F3"/>
    <w:rsid w:val="00265C81"/>
    <w:rsid w:val="00271946"/>
    <w:rsid w:val="002801B7"/>
    <w:rsid w:val="00280FB8"/>
    <w:rsid w:val="00294F6A"/>
    <w:rsid w:val="00297652"/>
    <w:rsid w:val="002A200A"/>
    <w:rsid w:val="002B238D"/>
    <w:rsid w:val="002B2ABD"/>
    <w:rsid w:val="002B6449"/>
    <w:rsid w:val="002C1100"/>
    <w:rsid w:val="002D0427"/>
    <w:rsid w:val="002D67A9"/>
    <w:rsid w:val="002D7CD5"/>
    <w:rsid w:val="002E058F"/>
    <w:rsid w:val="002E3CCA"/>
    <w:rsid w:val="002F012E"/>
    <w:rsid w:val="002F2E81"/>
    <w:rsid w:val="002F7A9B"/>
    <w:rsid w:val="00304A3C"/>
    <w:rsid w:val="00314029"/>
    <w:rsid w:val="00316E78"/>
    <w:rsid w:val="0032256C"/>
    <w:rsid w:val="003336A6"/>
    <w:rsid w:val="00337BF0"/>
    <w:rsid w:val="00341EC5"/>
    <w:rsid w:val="00352FBC"/>
    <w:rsid w:val="00356EEA"/>
    <w:rsid w:val="00360474"/>
    <w:rsid w:val="003644C1"/>
    <w:rsid w:val="003773CB"/>
    <w:rsid w:val="003817B2"/>
    <w:rsid w:val="00382531"/>
    <w:rsid w:val="003829CC"/>
    <w:rsid w:val="003879E8"/>
    <w:rsid w:val="00396D97"/>
    <w:rsid w:val="003A52DF"/>
    <w:rsid w:val="003B1717"/>
    <w:rsid w:val="003B5A92"/>
    <w:rsid w:val="003C5114"/>
    <w:rsid w:val="003D5ECE"/>
    <w:rsid w:val="003E13E0"/>
    <w:rsid w:val="003F6E2F"/>
    <w:rsid w:val="00402879"/>
    <w:rsid w:val="004067DD"/>
    <w:rsid w:val="00410A88"/>
    <w:rsid w:val="00417FDB"/>
    <w:rsid w:val="00421966"/>
    <w:rsid w:val="00422F3E"/>
    <w:rsid w:val="0043422D"/>
    <w:rsid w:val="004346C2"/>
    <w:rsid w:val="00437FD0"/>
    <w:rsid w:val="004403D9"/>
    <w:rsid w:val="00441BF9"/>
    <w:rsid w:val="00444532"/>
    <w:rsid w:val="00462504"/>
    <w:rsid w:val="00470ABF"/>
    <w:rsid w:val="00472598"/>
    <w:rsid w:val="004757A1"/>
    <w:rsid w:val="00483FEF"/>
    <w:rsid w:val="004874C5"/>
    <w:rsid w:val="0049178A"/>
    <w:rsid w:val="004B2C6E"/>
    <w:rsid w:val="004B376A"/>
    <w:rsid w:val="004B4A9B"/>
    <w:rsid w:val="004B50D1"/>
    <w:rsid w:val="004C1B62"/>
    <w:rsid w:val="004C38E1"/>
    <w:rsid w:val="004C6C88"/>
    <w:rsid w:val="004F3828"/>
    <w:rsid w:val="00510DEB"/>
    <w:rsid w:val="00513C4C"/>
    <w:rsid w:val="005156B8"/>
    <w:rsid w:val="0052078C"/>
    <w:rsid w:val="00521130"/>
    <w:rsid w:val="005215D8"/>
    <w:rsid w:val="00523036"/>
    <w:rsid w:val="0053542E"/>
    <w:rsid w:val="00545AF1"/>
    <w:rsid w:val="005536F3"/>
    <w:rsid w:val="005573DD"/>
    <w:rsid w:val="00564130"/>
    <w:rsid w:val="0057582D"/>
    <w:rsid w:val="005A414E"/>
    <w:rsid w:val="005A5CB7"/>
    <w:rsid w:val="005B188D"/>
    <w:rsid w:val="005C061B"/>
    <w:rsid w:val="005C2600"/>
    <w:rsid w:val="005D1891"/>
    <w:rsid w:val="005D2941"/>
    <w:rsid w:val="005D3AF1"/>
    <w:rsid w:val="005D7ED1"/>
    <w:rsid w:val="005E20AD"/>
    <w:rsid w:val="005E4A32"/>
    <w:rsid w:val="005E5F5D"/>
    <w:rsid w:val="005F1DE1"/>
    <w:rsid w:val="005F24AE"/>
    <w:rsid w:val="005F2B90"/>
    <w:rsid w:val="005F3138"/>
    <w:rsid w:val="00612AF7"/>
    <w:rsid w:val="00614EA7"/>
    <w:rsid w:val="00617876"/>
    <w:rsid w:val="00617895"/>
    <w:rsid w:val="00626735"/>
    <w:rsid w:val="00627CE9"/>
    <w:rsid w:val="006334ED"/>
    <w:rsid w:val="00654A2A"/>
    <w:rsid w:val="00670BEC"/>
    <w:rsid w:val="00670C35"/>
    <w:rsid w:val="00677C1C"/>
    <w:rsid w:val="00685AEB"/>
    <w:rsid w:val="006930AF"/>
    <w:rsid w:val="00694748"/>
    <w:rsid w:val="006A422F"/>
    <w:rsid w:val="006A770F"/>
    <w:rsid w:val="006B1397"/>
    <w:rsid w:val="006B1825"/>
    <w:rsid w:val="006C42AC"/>
    <w:rsid w:val="006D041D"/>
    <w:rsid w:val="006E1BC4"/>
    <w:rsid w:val="006E4210"/>
    <w:rsid w:val="006E7665"/>
    <w:rsid w:val="006E7E0D"/>
    <w:rsid w:val="006F17F5"/>
    <w:rsid w:val="006F2B43"/>
    <w:rsid w:val="00704691"/>
    <w:rsid w:val="007118EB"/>
    <w:rsid w:val="00713A54"/>
    <w:rsid w:val="0073166F"/>
    <w:rsid w:val="00740EF4"/>
    <w:rsid w:val="00744D6C"/>
    <w:rsid w:val="00747CA7"/>
    <w:rsid w:val="00750CC5"/>
    <w:rsid w:val="00752A19"/>
    <w:rsid w:val="00753A0F"/>
    <w:rsid w:val="00755889"/>
    <w:rsid w:val="0076007E"/>
    <w:rsid w:val="00775D60"/>
    <w:rsid w:val="00777532"/>
    <w:rsid w:val="00780D61"/>
    <w:rsid w:val="0078236C"/>
    <w:rsid w:val="00786479"/>
    <w:rsid w:val="007A5675"/>
    <w:rsid w:val="007A5923"/>
    <w:rsid w:val="007B5608"/>
    <w:rsid w:val="007C0E8A"/>
    <w:rsid w:val="007C168F"/>
    <w:rsid w:val="007C2A81"/>
    <w:rsid w:val="007D077C"/>
    <w:rsid w:val="007D3E90"/>
    <w:rsid w:val="007D766C"/>
    <w:rsid w:val="007E5ECB"/>
    <w:rsid w:val="007F329E"/>
    <w:rsid w:val="007F7C89"/>
    <w:rsid w:val="007F7F0B"/>
    <w:rsid w:val="0080548E"/>
    <w:rsid w:val="008143AF"/>
    <w:rsid w:val="008150BE"/>
    <w:rsid w:val="00817CE9"/>
    <w:rsid w:val="00820819"/>
    <w:rsid w:val="00830935"/>
    <w:rsid w:val="00833BAF"/>
    <w:rsid w:val="008447A9"/>
    <w:rsid w:val="008468E0"/>
    <w:rsid w:val="0086704F"/>
    <w:rsid w:val="008720B7"/>
    <w:rsid w:val="00872794"/>
    <w:rsid w:val="0087311C"/>
    <w:rsid w:val="00874F38"/>
    <w:rsid w:val="0087767B"/>
    <w:rsid w:val="008813E8"/>
    <w:rsid w:val="00886863"/>
    <w:rsid w:val="00887F5B"/>
    <w:rsid w:val="00894431"/>
    <w:rsid w:val="008A53D2"/>
    <w:rsid w:val="008C07C1"/>
    <w:rsid w:val="008C26BD"/>
    <w:rsid w:val="008D4112"/>
    <w:rsid w:val="008D6BA7"/>
    <w:rsid w:val="008D7960"/>
    <w:rsid w:val="008E79CB"/>
    <w:rsid w:val="008F23B1"/>
    <w:rsid w:val="008F47BE"/>
    <w:rsid w:val="00901531"/>
    <w:rsid w:val="0090324F"/>
    <w:rsid w:val="00903AAF"/>
    <w:rsid w:val="009058B6"/>
    <w:rsid w:val="009063F6"/>
    <w:rsid w:val="00914B88"/>
    <w:rsid w:val="00914BC9"/>
    <w:rsid w:val="00932576"/>
    <w:rsid w:val="00932FF3"/>
    <w:rsid w:val="009411D8"/>
    <w:rsid w:val="00945D47"/>
    <w:rsid w:val="00952DE0"/>
    <w:rsid w:val="009559A5"/>
    <w:rsid w:val="009572E3"/>
    <w:rsid w:val="00961FE7"/>
    <w:rsid w:val="00963BC0"/>
    <w:rsid w:val="00965A66"/>
    <w:rsid w:val="00991F7F"/>
    <w:rsid w:val="00993D09"/>
    <w:rsid w:val="009A220E"/>
    <w:rsid w:val="009A2C70"/>
    <w:rsid w:val="009B520F"/>
    <w:rsid w:val="009B5E5C"/>
    <w:rsid w:val="009B5E62"/>
    <w:rsid w:val="009C7B38"/>
    <w:rsid w:val="009D196C"/>
    <w:rsid w:val="009D418B"/>
    <w:rsid w:val="009D45D4"/>
    <w:rsid w:val="00A00CBB"/>
    <w:rsid w:val="00A0172B"/>
    <w:rsid w:val="00A14AED"/>
    <w:rsid w:val="00A20329"/>
    <w:rsid w:val="00A20457"/>
    <w:rsid w:val="00A23781"/>
    <w:rsid w:val="00A36966"/>
    <w:rsid w:val="00A40E87"/>
    <w:rsid w:val="00A452D7"/>
    <w:rsid w:val="00A57AB9"/>
    <w:rsid w:val="00A613DD"/>
    <w:rsid w:val="00A64AA2"/>
    <w:rsid w:val="00A9571E"/>
    <w:rsid w:val="00AA50EE"/>
    <w:rsid w:val="00AA536E"/>
    <w:rsid w:val="00AA752F"/>
    <w:rsid w:val="00AB142F"/>
    <w:rsid w:val="00AB5A39"/>
    <w:rsid w:val="00AB62D0"/>
    <w:rsid w:val="00AC378B"/>
    <w:rsid w:val="00AE1257"/>
    <w:rsid w:val="00AF6086"/>
    <w:rsid w:val="00AF677E"/>
    <w:rsid w:val="00B00AB3"/>
    <w:rsid w:val="00B014B1"/>
    <w:rsid w:val="00B01F3C"/>
    <w:rsid w:val="00B10330"/>
    <w:rsid w:val="00B1036B"/>
    <w:rsid w:val="00B26AFB"/>
    <w:rsid w:val="00B31854"/>
    <w:rsid w:val="00B40450"/>
    <w:rsid w:val="00B451A4"/>
    <w:rsid w:val="00B53EFD"/>
    <w:rsid w:val="00B55B88"/>
    <w:rsid w:val="00B61221"/>
    <w:rsid w:val="00B73C70"/>
    <w:rsid w:val="00B80069"/>
    <w:rsid w:val="00B87BB1"/>
    <w:rsid w:val="00B93FE6"/>
    <w:rsid w:val="00BA0C86"/>
    <w:rsid w:val="00BA34D6"/>
    <w:rsid w:val="00BB3C89"/>
    <w:rsid w:val="00BD74F2"/>
    <w:rsid w:val="00BE0361"/>
    <w:rsid w:val="00BE4BE1"/>
    <w:rsid w:val="00BF7B7C"/>
    <w:rsid w:val="00C01579"/>
    <w:rsid w:val="00C01581"/>
    <w:rsid w:val="00C06F6F"/>
    <w:rsid w:val="00C07FB5"/>
    <w:rsid w:val="00C11ECF"/>
    <w:rsid w:val="00C1640E"/>
    <w:rsid w:val="00C23F4C"/>
    <w:rsid w:val="00C2480E"/>
    <w:rsid w:val="00C35EC1"/>
    <w:rsid w:val="00C363C6"/>
    <w:rsid w:val="00C41437"/>
    <w:rsid w:val="00C467C5"/>
    <w:rsid w:val="00C53A8D"/>
    <w:rsid w:val="00C65779"/>
    <w:rsid w:val="00C723CC"/>
    <w:rsid w:val="00C72536"/>
    <w:rsid w:val="00C93BDF"/>
    <w:rsid w:val="00CB0987"/>
    <w:rsid w:val="00CC2831"/>
    <w:rsid w:val="00CD08D9"/>
    <w:rsid w:val="00CD4FD6"/>
    <w:rsid w:val="00CD6454"/>
    <w:rsid w:val="00CD6875"/>
    <w:rsid w:val="00CE52E6"/>
    <w:rsid w:val="00CE749B"/>
    <w:rsid w:val="00CE7D22"/>
    <w:rsid w:val="00CF68E5"/>
    <w:rsid w:val="00D148D9"/>
    <w:rsid w:val="00D220B0"/>
    <w:rsid w:val="00D24EEA"/>
    <w:rsid w:val="00D32D77"/>
    <w:rsid w:val="00D402EB"/>
    <w:rsid w:val="00D40522"/>
    <w:rsid w:val="00D429E0"/>
    <w:rsid w:val="00D4332F"/>
    <w:rsid w:val="00D55440"/>
    <w:rsid w:val="00D61E4D"/>
    <w:rsid w:val="00D630FD"/>
    <w:rsid w:val="00D63A1F"/>
    <w:rsid w:val="00D67086"/>
    <w:rsid w:val="00D758C5"/>
    <w:rsid w:val="00D776AC"/>
    <w:rsid w:val="00D87E82"/>
    <w:rsid w:val="00D9262F"/>
    <w:rsid w:val="00D94B82"/>
    <w:rsid w:val="00D96CE3"/>
    <w:rsid w:val="00DA5859"/>
    <w:rsid w:val="00DC1EF1"/>
    <w:rsid w:val="00DC4FFB"/>
    <w:rsid w:val="00DC7F09"/>
    <w:rsid w:val="00DD7198"/>
    <w:rsid w:val="00DF0F57"/>
    <w:rsid w:val="00DF456F"/>
    <w:rsid w:val="00E0575B"/>
    <w:rsid w:val="00E17A9D"/>
    <w:rsid w:val="00E20A00"/>
    <w:rsid w:val="00E25DCC"/>
    <w:rsid w:val="00E31B22"/>
    <w:rsid w:val="00E42517"/>
    <w:rsid w:val="00E44CA1"/>
    <w:rsid w:val="00E46941"/>
    <w:rsid w:val="00E5526E"/>
    <w:rsid w:val="00E56946"/>
    <w:rsid w:val="00E56BA5"/>
    <w:rsid w:val="00E62EB2"/>
    <w:rsid w:val="00E644D2"/>
    <w:rsid w:val="00E7214E"/>
    <w:rsid w:val="00E75BD5"/>
    <w:rsid w:val="00E77180"/>
    <w:rsid w:val="00E82088"/>
    <w:rsid w:val="00E82BBA"/>
    <w:rsid w:val="00E831FA"/>
    <w:rsid w:val="00E870F6"/>
    <w:rsid w:val="00E96EB2"/>
    <w:rsid w:val="00EA232B"/>
    <w:rsid w:val="00EA5B44"/>
    <w:rsid w:val="00EA614B"/>
    <w:rsid w:val="00EB4182"/>
    <w:rsid w:val="00EC0344"/>
    <w:rsid w:val="00ED75CB"/>
    <w:rsid w:val="00EE252F"/>
    <w:rsid w:val="00EE4622"/>
    <w:rsid w:val="00EF029A"/>
    <w:rsid w:val="00EF4016"/>
    <w:rsid w:val="00EF436B"/>
    <w:rsid w:val="00F10535"/>
    <w:rsid w:val="00F11CC5"/>
    <w:rsid w:val="00F37574"/>
    <w:rsid w:val="00F62AF5"/>
    <w:rsid w:val="00F71FF6"/>
    <w:rsid w:val="00F83533"/>
    <w:rsid w:val="00F84DBD"/>
    <w:rsid w:val="00F93644"/>
    <w:rsid w:val="00FA135F"/>
    <w:rsid w:val="00FB097E"/>
    <w:rsid w:val="00FB777D"/>
    <w:rsid w:val="00FC1A3B"/>
    <w:rsid w:val="00FE7219"/>
    <w:rsid w:val="00FF133B"/>
    <w:rsid w:val="00FF1985"/>
    <w:rsid w:val="00FF2D9E"/>
    <w:rsid w:val="00FF4C8A"/>
    <w:rsid w:val="02AC3C75"/>
    <w:rsid w:val="053F4A4C"/>
    <w:rsid w:val="05755AE9"/>
    <w:rsid w:val="062E4C33"/>
    <w:rsid w:val="082C6A45"/>
    <w:rsid w:val="0DD01FD4"/>
    <w:rsid w:val="11712BC7"/>
    <w:rsid w:val="12600611"/>
    <w:rsid w:val="130A7873"/>
    <w:rsid w:val="19CB0ADC"/>
    <w:rsid w:val="21C03B56"/>
    <w:rsid w:val="318E091F"/>
    <w:rsid w:val="3FED7D10"/>
    <w:rsid w:val="443678EB"/>
    <w:rsid w:val="482C6E4A"/>
    <w:rsid w:val="4A504956"/>
    <w:rsid w:val="5116119A"/>
    <w:rsid w:val="53620DB3"/>
    <w:rsid w:val="53B238E4"/>
    <w:rsid w:val="590D7AE9"/>
    <w:rsid w:val="648206AB"/>
    <w:rsid w:val="678F5C0A"/>
    <w:rsid w:val="6D95326F"/>
    <w:rsid w:val="70E17439"/>
    <w:rsid w:val="70F63297"/>
    <w:rsid w:val="72111017"/>
    <w:rsid w:val="79445B44"/>
    <w:rsid w:val="7EC733F6"/>
    <w:rsid w:val="7FF042A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8E5"/>
    <w:rPr>
      <w:rFonts w:ascii="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CF68E5"/>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CF68E5"/>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qFormat/>
    <w:rsid w:val="00CF68E5"/>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CF68E5"/>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CF68E5"/>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CF68E5"/>
    <w:rPr>
      <w:b/>
      <w:bCs/>
    </w:rPr>
  </w:style>
  <w:style w:type="table" w:styleId="a9">
    <w:name w:val="Table Grid"/>
    <w:basedOn w:val="a1"/>
    <w:uiPriority w:val="39"/>
    <w:qFormat/>
    <w:rsid w:val="00CF68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F68E5"/>
    <w:rPr>
      <w:color w:val="0563C1" w:themeColor="hyperlink"/>
      <w:u w:val="single"/>
    </w:rPr>
  </w:style>
  <w:style w:type="character" w:styleId="ab">
    <w:name w:val="annotation reference"/>
    <w:basedOn w:val="a0"/>
    <w:uiPriority w:val="99"/>
    <w:semiHidden/>
    <w:unhideWhenUsed/>
    <w:qFormat/>
    <w:rsid w:val="00CF68E5"/>
    <w:rPr>
      <w:sz w:val="21"/>
      <w:szCs w:val="21"/>
    </w:rPr>
  </w:style>
  <w:style w:type="character" w:customStyle="1" w:styleId="Char2">
    <w:name w:val="页眉 Char"/>
    <w:basedOn w:val="a0"/>
    <w:link w:val="a6"/>
    <w:uiPriority w:val="99"/>
    <w:qFormat/>
    <w:rsid w:val="00CF68E5"/>
    <w:rPr>
      <w:sz w:val="18"/>
      <w:szCs w:val="18"/>
    </w:rPr>
  </w:style>
  <w:style w:type="character" w:customStyle="1" w:styleId="Char1">
    <w:name w:val="页脚 Char"/>
    <w:basedOn w:val="a0"/>
    <w:link w:val="a5"/>
    <w:uiPriority w:val="99"/>
    <w:qFormat/>
    <w:rsid w:val="00CF68E5"/>
    <w:rPr>
      <w:sz w:val="18"/>
      <w:szCs w:val="18"/>
    </w:rPr>
  </w:style>
  <w:style w:type="character" w:customStyle="1" w:styleId="Char0">
    <w:name w:val="批注框文本 Char"/>
    <w:basedOn w:val="a0"/>
    <w:link w:val="a4"/>
    <w:uiPriority w:val="99"/>
    <w:semiHidden/>
    <w:qFormat/>
    <w:rsid w:val="00CF68E5"/>
    <w:rPr>
      <w:sz w:val="18"/>
      <w:szCs w:val="18"/>
    </w:rPr>
  </w:style>
  <w:style w:type="character" w:customStyle="1" w:styleId="Char">
    <w:name w:val="批注文字 Char"/>
    <w:basedOn w:val="a0"/>
    <w:link w:val="a3"/>
    <w:uiPriority w:val="99"/>
    <w:semiHidden/>
    <w:qFormat/>
    <w:rsid w:val="00CF68E5"/>
  </w:style>
  <w:style w:type="character" w:customStyle="1" w:styleId="Char3">
    <w:name w:val="批注主题 Char"/>
    <w:basedOn w:val="Char"/>
    <w:link w:val="a8"/>
    <w:uiPriority w:val="99"/>
    <w:semiHidden/>
    <w:qFormat/>
    <w:rsid w:val="00CF68E5"/>
    <w:rPr>
      <w:b/>
      <w:bCs/>
    </w:rPr>
  </w:style>
  <w:style w:type="table" w:customStyle="1" w:styleId="TableNormal1">
    <w:name w:val="Table Normal1"/>
    <w:unhideWhenUsed/>
    <w:qFormat/>
    <w:rsid w:val="00CF68E5"/>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CF68E5"/>
    <w:rPr>
      <w:rFonts w:ascii="宋体" w:hAnsi="宋体" w:cs="Angsana New"/>
      <w:sz w:val="24"/>
      <w:szCs w:val="30"/>
      <w:lang w:bidi="th-TH"/>
    </w:rPr>
  </w:style>
  <w:style w:type="character" w:customStyle="1" w:styleId="10">
    <w:name w:val="未处理的提及1"/>
    <w:basedOn w:val="a0"/>
    <w:uiPriority w:val="99"/>
    <w:semiHidden/>
    <w:unhideWhenUsed/>
    <w:qFormat/>
    <w:rsid w:val="00CF68E5"/>
    <w:rPr>
      <w:color w:val="605E5C"/>
      <w:shd w:val="clear" w:color="auto" w:fill="E1DFDD"/>
    </w:rPr>
  </w:style>
  <w:style w:type="paragraph" w:styleId="ac">
    <w:name w:val="List Paragraph"/>
    <w:basedOn w:val="a"/>
    <w:uiPriority w:val="34"/>
    <w:qFormat/>
    <w:rsid w:val="00CF68E5"/>
    <w:pPr>
      <w:ind w:firstLineChars="200" w:firstLine="420"/>
    </w:pPr>
    <w:rPr>
      <w:rFonts w:cs="Angsana New"/>
      <w:szCs w:val="30"/>
    </w:rPr>
  </w:style>
  <w:style w:type="paragraph" w:customStyle="1" w:styleId="2">
    <w:name w:val="修订2"/>
    <w:hidden/>
    <w:uiPriority w:val="99"/>
    <w:semiHidden/>
    <w:qFormat/>
    <w:rsid w:val="00CF68E5"/>
    <w:rPr>
      <w:rFonts w:ascii="宋体" w:hAnsi="宋体" w:cs="Angsana New"/>
      <w:sz w:val="24"/>
      <w:szCs w:val="30"/>
      <w:lang w:bidi="th-TH"/>
    </w:rPr>
  </w:style>
  <w:style w:type="paragraph" w:customStyle="1" w:styleId="p">
    <w:name w:val="p"/>
    <w:basedOn w:val="a"/>
    <w:uiPriority w:val="99"/>
    <w:qFormat/>
    <w:rsid w:val="00CF68E5"/>
    <w:rPr>
      <w:lang w:bidi="ar-SA"/>
    </w:rPr>
  </w:style>
  <w:style w:type="paragraph" w:customStyle="1" w:styleId="3">
    <w:name w:val="修订3"/>
    <w:hidden/>
    <w:uiPriority w:val="99"/>
    <w:semiHidden/>
    <w:qFormat/>
    <w:rsid w:val="00CF68E5"/>
    <w:rPr>
      <w:rFonts w:ascii="宋体" w:hAnsi="宋体" w:cs="Angsana New"/>
      <w:sz w:val="24"/>
      <w:szCs w:val="30"/>
      <w:lang w:bidi="th-TH"/>
    </w:rPr>
  </w:style>
  <w:style w:type="paragraph" w:customStyle="1" w:styleId="4">
    <w:name w:val="修订4"/>
    <w:hidden/>
    <w:uiPriority w:val="99"/>
    <w:semiHidden/>
    <w:qFormat/>
    <w:rsid w:val="00CF68E5"/>
    <w:rPr>
      <w:rFonts w:ascii="宋体" w:hAnsi="宋体" w:cs="Angsana New"/>
      <w:sz w:val="24"/>
      <w:szCs w:val="30"/>
      <w:lang w:bidi="th-TH"/>
    </w:rPr>
  </w:style>
  <w:style w:type="paragraph" w:customStyle="1" w:styleId="5">
    <w:name w:val="修订5"/>
    <w:hidden/>
    <w:uiPriority w:val="99"/>
    <w:semiHidden/>
    <w:rsid w:val="00CF68E5"/>
    <w:rPr>
      <w:rFonts w:ascii="宋体" w:hAnsi="宋体" w:cs="Angsana New"/>
      <w:sz w:val="24"/>
      <w:szCs w:val="30"/>
      <w:lang w:bidi="th-TH"/>
    </w:rPr>
  </w:style>
  <w:style w:type="paragraph" w:customStyle="1" w:styleId="6">
    <w:name w:val="修订6"/>
    <w:hidden/>
    <w:uiPriority w:val="99"/>
    <w:semiHidden/>
    <w:rsid w:val="00CF68E5"/>
    <w:rPr>
      <w:rFonts w:ascii="宋体" w:hAnsi="宋体" w:cs="Angsana New"/>
      <w:sz w:val="24"/>
      <w:szCs w:val="30"/>
      <w:lang w:bidi="th-TH"/>
    </w:rPr>
  </w:style>
  <w:style w:type="paragraph" w:customStyle="1" w:styleId="7">
    <w:name w:val="修订7"/>
    <w:hidden/>
    <w:uiPriority w:val="99"/>
    <w:semiHidden/>
    <w:qFormat/>
    <w:rsid w:val="00CF68E5"/>
    <w:rPr>
      <w:rFonts w:ascii="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bzfund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s://www.bzfund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datastoreItem>
</file>

<file path=customXml/itemProps2.xml><?xml version="1.0" encoding="utf-8"?>
<ds:datastoreItem xmlns:ds="http://schemas.openxmlformats.org/officeDocument/2006/customXml" ds:itemID="{4C53A3AB-B9EC-4C81-8856-8D648363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404</Words>
  <Characters>2305</Characters>
  <Application>Microsoft Office Word</Application>
  <DocSecurity>4</DocSecurity>
  <Lines>19</Lines>
  <Paragraphs>5</Paragraphs>
  <ScaleCrop>false</ScaleCrop>
  <Company>CNSTOCK</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湘财基金管理有限公司关于旗下部分基金增加北京加和基金销售有限公司为销售机构并开通基金定期定额投资业务和基金转换业务以及参与其费率优惠活动的公告</dc:title>
  <dc:creator>李璐璐</dc:creator>
  <cp:lastModifiedBy>ZHONGM</cp:lastModifiedBy>
  <cp:revision>2</cp:revision>
  <dcterms:created xsi:type="dcterms:W3CDTF">2025-06-02T16:02:00Z</dcterms:created>
  <dcterms:modified xsi:type="dcterms:W3CDTF">2025-06-02T16:02:00Z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2052-12.1.0.21171</vt:lpwstr>
  </property>
  <property fmtid="{D5CDD505-2E9C-101B-9397-08002B2CF9AE}" pid="8" name="ICV">
    <vt:lpwstr>707E6E37C150452C83FD654BD51A8CEF_13</vt:lpwstr>
  </property>
</Properties>
</file>