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6D59">
      <w:pPr>
        <w:pStyle w:val="Default"/>
        <w:spacing w:beforeLines="100" w:afterLines="100" w:line="360" w:lineRule="auto"/>
        <w:ind w:firstLineChars="200" w:firstLine="482"/>
        <w:jc w:val="center"/>
        <w:rPr>
          <w:rFonts w:ascii="宋体" w:eastAsia="宋体" w:hAnsi="宋体" w:hint="eastAsia"/>
          <w:b/>
          <w:color w:val="auto"/>
        </w:rPr>
      </w:pPr>
      <w:r>
        <w:rPr>
          <w:rFonts w:ascii="宋体" w:eastAsia="宋体" w:hAnsi="宋体" w:hint="eastAsia"/>
          <w:b/>
          <w:color w:val="auto"/>
        </w:rPr>
        <w:t>银华基金管理股份有限公司关于旗下部分基金开通同一基金</w:t>
      </w:r>
      <w:r>
        <w:rPr>
          <w:rFonts w:ascii="宋体" w:eastAsia="宋体" w:hAnsi="宋体" w:hint="eastAsia"/>
          <w:b/>
          <w:color w:val="auto"/>
        </w:rPr>
        <w:t>不同类别基金份额</w:t>
      </w:r>
      <w:r>
        <w:rPr>
          <w:rFonts w:ascii="宋体" w:eastAsia="宋体" w:hAnsi="宋体" w:hint="eastAsia"/>
          <w:b/>
          <w:color w:val="auto"/>
        </w:rPr>
        <w:t>相互转换业务的公告</w:t>
      </w:r>
    </w:p>
    <w:p w:rsidR="00000000" w:rsidRDefault="00A76D59">
      <w:pPr>
        <w:pStyle w:val="Default"/>
        <w:spacing w:beforeLines="100" w:afterLines="100" w:line="360" w:lineRule="auto"/>
        <w:ind w:firstLineChars="200" w:firstLine="420"/>
        <w:rPr>
          <w:rFonts w:ascii="宋体" w:eastAsia="宋体" w:hAnsi="宋体" w:cs="Times New Roman" w:hint="eastAsia"/>
          <w:color w:val="auto"/>
          <w:kern w:val="2"/>
          <w:sz w:val="21"/>
          <w:szCs w:val="21"/>
        </w:rPr>
      </w:pPr>
      <w:r>
        <w:rPr>
          <w:rFonts w:ascii="宋体" w:eastAsia="宋体" w:hAnsi="宋体" w:cs="Times New Roman" w:hint="eastAsia"/>
          <w:color w:val="auto"/>
          <w:kern w:val="2"/>
          <w:sz w:val="21"/>
          <w:szCs w:val="21"/>
        </w:rPr>
        <w:t>为满足广大投资者的理财需求，银华基金管理股份有限公司（以下简称“本公司”）决定</w:t>
      </w:r>
      <w:r>
        <w:rPr>
          <w:rFonts w:ascii="宋体" w:eastAsia="宋体" w:hAnsi="宋体" w:cs="Times New Roman" w:hint="eastAsia"/>
          <w:color w:val="auto"/>
          <w:kern w:val="2"/>
          <w:sz w:val="21"/>
          <w:szCs w:val="21"/>
        </w:rPr>
        <w:t>自</w:t>
      </w:r>
      <w:r>
        <w:rPr>
          <w:rFonts w:ascii="宋体" w:eastAsia="宋体" w:hAnsi="宋体" w:cs="Times New Roman" w:hint="eastAsia"/>
          <w:color w:val="auto"/>
          <w:kern w:val="2"/>
          <w:sz w:val="21"/>
          <w:szCs w:val="21"/>
        </w:rPr>
        <w:t>2025</w:t>
      </w:r>
      <w:r>
        <w:rPr>
          <w:rFonts w:ascii="宋体" w:eastAsia="宋体" w:hAnsi="宋体" w:cs="Times New Roman" w:hint="eastAsia"/>
          <w:color w:val="auto"/>
          <w:kern w:val="2"/>
          <w:sz w:val="21"/>
          <w:szCs w:val="21"/>
        </w:rPr>
        <w:t>年</w:t>
      </w:r>
      <w:r>
        <w:rPr>
          <w:rFonts w:ascii="宋体" w:eastAsia="宋体" w:hAnsi="宋体" w:cs="Times New Roman" w:hint="eastAsia"/>
          <w:color w:val="auto"/>
          <w:kern w:val="2"/>
          <w:sz w:val="21"/>
          <w:szCs w:val="21"/>
        </w:rPr>
        <w:t>5</w:t>
      </w:r>
      <w:r>
        <w:rPr>
          <w:rFonts w:ascii="宋体" w:eastAsia="宋体" w:hAnsi="宋体" w:cs="Times New Roman" w:hint="eastAsia"/>
          <w:color w:val="auto"/>
          <w:kern w:val="2"/>
          <w:sz w:val="21"/>
          <w:szCs w:val="21"/>
        </w:rPr>
        <w:t>月</w:t>
      </w:r>
      <w:r>
        <w:rPr>
          <w:rFonts w:ascii="宋体" w:eastAsia="宋体" w:hAnsi="宋体" w:cs="Times New Roman" w:hint="eastAsia"/>
          <w:color w:val="auto"/>
          <w:kern w:val="2"/>
          <w:sz w:val="21"/>
          <w:szCs w:val="21"/>
        </w:rPr>
        <w:t>30</w:t>
      </w:r>
      <w:r>
        <w:rPr>
          <w:rFonts w:ascii="宋体" w:eastAsia="宋体" w:hAnsi="宋体" w:cs="Times New Roman" w:hint="eastAsia"/>
          <w:color w:val="auto"/>
          <w:kern w:val="2"/>
          <w:sz w:val="21"/>
          <w:szCs w:val="21"/>
        </w:rPr>
        <w:t>日</w:t>
      </w:r>
      <w:r>
        <w:rPr>
          <w:rFonts w:ascii="宋体" w:eastAsia="宋体" w:hAnsi="宋体" w:cs="Times New Roman" w:hint="eastAsia"/>
          <w:color w:val="auto"/>
          <w:kern w:val="2"/>
          <w:sz w:val="21"/>
          <w:szCs w:val="21"/>
        </w:rPr>
        <w:t>起，对本公司旗下部分基金开通同一基金</w:t>
      </w:r>
      <w:r>
        <w:rPr>
          <w:rFonts w:ascii="宋体" w:eastAsia="宋体" w:hAnsi="宋体" w:cs="Times New Roman" w:hint="eastAsia"/>
          <w:color w:val="auto"/>
          <w:kern w:val="2"/>
          <w:sz w:val="21"/>
          <w:szCs w:val="21"/>
        </w:rPr>
        <w:t>不同类别基金份额</w:t>
      </w:r>
      <w:r>
        <w:rPr>
          <w:rFonts w:ascii="宋体" w:eastAsia="宋体" w:hAnsi="宋体" w:cs="Times New Roman" w:hint="eastAsia"/>
          <w:color w:val="auto"/>
          <w:kern w:val="2"/>
          <w:sz w:val="21"/>
          <w:szCs w:val="21"/>
        </w:rPr>
        <w:t>间的转换业务。现将相关事项公告如下：</w:t>
      </w:r>
    </w:p>
    <w:p w:rsidR="00000000" w:rsidRDefault="00A76D59">
      <w:pPr>
        <w:pStyle w:val="Default"/>
        <w:numPr>
          <w:ilvl w:val="0"/>
          <w:numId w:val="1"/>
        </w:numPr>
        <w:spacing w:beforeLines="100" w:afterLines="100" w:line="360" w:lineRule="auto"/>
        <w:rPr>
          <w:rFonts w:ascii="宋体" w:eastAsia="宋体" w:hAnsi="宋体" w:cs="Times New Roman" w:hint="eastAsia"/>
          <w:b/>
          <w:color w:val="auto"/>
          <w:kern w:val="2"/>
          <w:sz w:val="21"/>
          <w:szCs w:val="21"/>
        </w:rPr>
      </w:pPr>
      <w:r>
        <w:rPr>
          <w:rFonts w:ascii="宋体" w:eastAsia="宋体" w:hAnsi="宋体" w:cs="Times New Roman" w:hint="eastAsia"/>
          <w:b/>
          <w:color w:val="auto"/>
          <w:kern w:val="2"/>
          <w:sz w:val="21"/>
          <w:szCs w:val="21"/>
        </w:rPr>
        <w:t>适用</w:t>
      </w:r>
      <w:r>
        <w:rPr>
          <w:rFonts w:ascii="宋体" w:eastAsia="宋体" w:hAnsi="宋体" w:cs="Times New Roman" w:hint="eastAsia"/>
          <w:b/>
          <w:color w:val="auto"/>
          <w:kern w:val="2"/>
          <w:sz w:val="21"/>
          <w:szCs w:val="21"/>
        </w:rPr>
        <w:t>基金范围</w:t>
      </w:r>
    </w:p>
    <w:tbl>
      <w:tblPr>
        <w:tblW w:w="85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
        <w:gridCol w:w="5397"/>
        <w:gridCol w:w="2185"/>
      </w:tblGrid>
      <w:tr w:rsidR="00000000">
        <w:trPr>
          <w:trHeight w:val="429"/>
        </w:trPr>
        <w:tc>
          <w:tcPr>
            <w:tcW w:w="1017" w:type="dxa"/>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序号</w:t>
            </w:r>
          </w:p>
        </w:tc>
        <w:tc>
          <w:tcPr>
            <w:tcW w:w="5397" w:type="dxa"/>
            <w:noWrap/>
            <w:vAlign w:val="center"/>
          </w:tcPr>
          <w:p w:rsidR="00000000" w:rsidRDefault="00A76D59">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基金名称</w:t>
            </w:r>
          </w:p>
        </w:tc>
        <w:tc>
          <w:tcPr>
            <w:tcW w:w="2185" w:type="dxa"/>
            <w:noWrap/>
            <w:vAlign w:val="center"/>
          </w:tcPr>
          <w:p w:rsidR="00000000" w:rsidRDefault="00A76D59">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基金代码</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1</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银华积极成长混合型证券投资基金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005498</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014045</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2</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银华心怡灵活配置混合型证券投资基金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005794</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014043</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3</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银华富利精选混合型证券投资基金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009542</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014044</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4</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银华品质消费股票型证券投资基金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009852</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023948</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5</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银华长荣混合型证券投资基金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011855</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020977</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6</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银华中证光伏产业交易型开放式指数证券投资基金发起式联接基金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012928</w:t>
            </w:r>
          </w:p>
        </w:tc>
      </w:tr>
      <w:tr w:rsidR="00000000">
        <w:trPr>
          <w:trHeight w:val="253"/>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012929</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7</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银华新锐成长混合型证券投资基金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013842</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013843</w:t>
            </w:r>
          </w:p>
        </w:tc>
      </w:tr>
      <w:tr w:rsidR="00000000">
        <w:trPr>
          <w:trHeight w:val="167"/>
        </w:trPr>
        <w:tc>
          <w:tcPr>
            <w:tcW w:w="1017" w:type="dxa"/>
            <w:vMerge w:val="restart"/>
            <w:noWrap/>
            <w:vAlign w:val="center"/>
          </w:tcPr>
          <w:p w:rsidR="00000000" w:rsidRDefault="00A76D59">
            <w:pPr>
              <w:widowControl/>
              <w:jc w:val="center"/>
              <w:textAlignment w:val="center"/>
              <w:rPr>
                <w:rFonts w:ascii="宋体" w:hAnsi="宋体" w:cs="宋体"/>
                <w:color w:val="000000"/>
                <w:kern w:val="0"/>
                <w:szCs w:val="21"/>
                <w:lang/>
              </w:rPr>
            </w:pPr>
            <w:r>
              <w:rPr>
                <w:rFonts w:ascii="宋体" w:hAnsi="宋体" w:cs="宋体" w:hint="eastAsia"/>
                <w:color w:val="000000"/>
                <w:kern w:val="0"/>
                <w:szCs w:val="21"/>
                <w:lang/>
              </w:rPr>
              <w:t>8</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银华鑫峰混合型证券投资基金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015305</w:t>
            </w:r>
          </w:p>
        </w:tc>
      </w:tr>
      <w:tr w:rsidR="00000000">
        <w:trPr>
          <w:trHeight w:val="121"/>
        </w:trPr>
        <w:tc>
          <w:tcPr>
            <w:tcW w:w="1017" w:type="dxa"/>
            <w:vMerge/>
            <w:noWrap/>
            <w:vAlign w:val="center"/>
          </w:tcPr>
          <w:p w:rsidR="00000000" w:rsidRDefault="00A76D59">
            <w:pPr>
              <w:widowControl/>
              <w:jc w:val="center"/>
              <w:textAlignment w:val="center"/>
              <w:rPr>
                <w:rFonts w:ascii="宋体" w:hAnsi="宋体" w:cs="宋体" w:hint="eastAsia"/>
                <w:color w:val="000000"/>
                <w:kern w:val="0"/>
                <w:szCs w:val="21"/>
                <w:lang/>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015306</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rPr>
              <w:t>9</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color w:val="000000"/>
                <w:kern w:val="0"/>
                <w:szCs w:val="21"/>
                <w:lang/>
              </w:rPr>
              <w:t>银华创新动力优选混合型证券投资基金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016248</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016249</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szCs w:val="21"/>
              </w:rPr>
            </w:pPr>
            <w:r>
              <w:rPr>
                <w:rFonts w:ascii="宋体" w:hAnsi="宋体" w:cs="宋体" w:hint="eastAsia"/>
                <w:color w:val="000000"/>
                <w:kern w:val="0"/>
                <w:szCs w:val="21"/>
                <w:lang/>
              </w:rPr>
              <w:t>10</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银华国证港股通创新药交易型开放式指数证券投资基金发起式联接基金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023929</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023930</w:t>
            </w:r>
          </w:p>
        </w:tc>
      </w:tr>
      <w:tr w:rsidR="00000000">
        <w:trPr>
          <w:trHeight w:val="121"/>
        </w:trPr>
        <w:tc>
          <w:tcPr>
            <w:tcW w:w="1017" w:type="dxa"/>
            <w:vMerge w:val="restart"/>
            <w:noWrap/>
            <w:vAlign w:val="center"/>
          </w:tcPr>
          <w:p w:rsidR="00000000" w:rsidRDefault="00A76D59">
            <w:pPr>
              <w:widowControl/>
              <w:jc w:val="center"/>
              <w:textAlignment w:val="center"/>
              <w:rPr>
                <w:rFonts w:ascii="宋体" w:hAnsi="宋体" w:cs="宋体"/>
                <w:color w:val="000000"/>
                <w:szCs w:val="21"/>
              </w:rPr>
            </w:pPr>
            <w:r>
              <w:rPr>
                <w:rFonts w:ascii="宋体" w:hAnsi="宋体" w:cs="宋体" w:hint="eastAsia"/>
                <w:color w:val="000000"/>
                <w:kern w:val="0"/>
                <w:szCs w:val="21"/>
                <w:lang/>
              </w:rPr>
              <w:t>11</w:t>
            </w:r>
          </w:p>
        </w:tc>
        <w:tc>
          <w:tcPr>
            <w:tcW w:w="5397" w:type="dxa"/>
            <w:vMerge w:val="restart"/>
            <w:noWrap/>
            <w:vAlign w:val="center"/>
          </w:tcPr>
          <w:p w:rsidR="00000000" w:rsidRDefault="00A76D59">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Cs w:val="21"/>
                <w:lang/>
              </w:rPr>
              <w:t>银华恒生港股通中国科技交易型开放式指数证券投资基金发起式联接基金</w:t>
            </w: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A</w:t>
            </w:r>
            <w:r>
              <w:rPr>
                <w:rFonts w:ascii="宋体" w:hAnsi="宋体" w:cs="宋体"/>
                <w:color w:val="000000"/>
                <w:kern w:val="0"/>
                <w:szCs w:val="21"/>
                <w:lang/>
              </w:rPr>
              <w:t>类份额：</w:t>
            </w:r>
            <w:r>
              <w:rPr>
                <w:rFonts w:ascii="宋体" w:hAnsi="宋体" w:cs="宋体"/>
                <w:color w:val="000000"/>
                <w:kern w:val="0"/>
                <w:szCs w:val="21"/>
                <w:lang/>
              </w:rPr>
              <w:t>024037</w:t>
            </w:r>
          </w:p>
        </w:tc>
      </w:tr>
      <w:tr w:rsidR="00000000">
        <w:trPr>
          <w:trHeight w:val="121"/>
        </w:trPr>
        <w:tc>
          <w:tcPr>
            <w:tcW w:w="1017" w:type="dxa"/>
            <w:vMerge/>
            <w:noWrap/>
            <w:vAlign w:val="center"/>
          </w:tcPr>
          <w:p w:rsidR="00000000" w:rsidRDefault="00A76D59">
            <w:pPr>
              <w:widowControl/>
              <w:jc w:val="center"/>
              <w:textAlignment w:val="center"/>
              <w:rPr>
                <w:rFonts w:ascii="宋体" w:hAnsi="宋体" w:cs="宋体" w:hint="eastAsia"/>
                <w:color w:val="000000"/>
                <w:kern w:val="0"/>
                <w:szCs w:val="21"/>
                <w:lang/>
              </w:rPr>
            </w:pPr>
          </w:p>
        </w:tc>
        <w:tc>
          <w:tcPr>
            <w:tcW w:w="5397" w:type="dxa"/>
            <w:vMerge/>
            <w:noWrap/>
            <w:vAlign w:val="center"/>
          </w:tcPr>
          <w:p w:rsidR="00000000" w:rsidRDefault="00A76D59">
            <w:pPr>
              <w:widowControl/>
              <w:jc w:val="left"/>
              <w:textAlignment w:val="center"/>
              <w:rPr>
                <w:rFonts w:ascii="宋体" w:hAnsi="宋体" w:cs="宋体"/>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C</w:t>
            </w:r>
            <w:r>
              <w:rPr>
                <w:rFonts w:ascii="宋体" w:hAnsi="宋体" w:cs="宋体"/>
                <w:color w:val="000000"/>
                <w:kern w:val="0"/>
                <w:szCs w:val="21"/>
                <w:lang/>
              </w:rPr>
              <w:t>类份额：</w:t>
            </w:r>
            <w:r>
              <w:rPr>
                <w:rFonts w:ascii="宋体" w:hAnsi="宋体" w:cs="宋体"/>
                <w:color w:val="000000"/>
                <w:kern w:val="0"/>
                <w:szCs w:val="21"/>
                <w:lang/>
              </w:rPr>
              <w:t>024038</w:t>
            </w:r>
          </w:p>
        </w:tc>
      </w:tr>
      <w:tr w:rsidR="00000000">
        <w:trPr>
          <w:trHeight w:val="121"/>
        </w:trPr>
        <w:tc>
          <w:tcPr>
            <w:tcW w:w="1017" w:type="dxa"/>
            <w:vMerge/>
            <w:noWrap/>
            <w:vAlign w:val="center"/>
          </w:tcPr>
          <w:p w:rsidR="00000000" w:rsidRDefault="00A76D59">
            <w:pPr>
              <w:jc w:val="center"/>
              <w:rPr>
                <w:rFonts w:ascii="宋体" w:hAnsi="宋体" w:cs="宋体" w:hint="eastAsia"/>
                <w:color w:val="000000"/>
                <w:szCs w:val="21"/>
              </w:rPr>
            </w:pPr>
          </w:p>
        </w:tc>
        <w:tc>
          <w:tcPr>
            <w:tcW w:w="5397" w:type="dxa"/>
            <w:vMerge/>
            <w:noWrap/>
            <w:vAlign w:val="center"/>
          </w:tcPr>
          <w:p w:rsidR="00000000" w:rsidRDefault="00A76D59">
            <w:pPr>
              <w:widowControl/>
              <w:jc w:val="left"/>
              <w:textAlignment w:val="center"/>
              <w:rPr>
                <w:rFonts w:ascii="宋体" w:hAnsi="宋体" w:cs="宋体" w:hint="eastAsia"/>
                <w:color w:val="000000"/>
                <w:kern w:val="0"/>
                <w:szCs w:val="21"/>
                <w:lang/>
              </w:rPr>
            </w:pPr>
          </w:p>
        </w:tc>
        <w:tc>
          <w:tcPr>
            <w:tcW w:w="2185" w:type="dxa"/>
            <w:noWrap/>
            <w:vAlign w:val="bottom"/>
          </w:tcPr>
          <w:p w:rsidR="00000000" w:rsidRDefault="00A76D59">
            <w:pPr>
              <w:widowControl/>
              <w:jc w:val="center"/>
              <w:textAlignment w:val="center"/>
              <w:rPr>
                <w:rFonts w:ascii="宋体" w:hAnsi="宋体" w:cs="宋体" w:hint="eastAsia"/>
                <w:color w:val="000000"/>
                <w:kern w:val="0"/>
                <w:szCs w:val="21"/>
                <w:lang/>
              </w:rPr>
            </w:pPr>
            <w:r>
              <w:rPr>
                <w:rFonts w:ascii="宋体" w:hAnsi="宋体" w:cs="宋体"/>
                <w:color w:val="000000"/>
                <w:kern w:val="0"/>
                <w:szCs w:val="21"/>
                <w:lang/>
              </w:rPr>
              <w:t>I</w:t>
            </w:r>
            <w:r>
              <w:rPr>
                <w:rFonts w:ascii="宋体" w:hAnsi="宋体" w:cs="宋体"/>
                <w:color w:val="000000"/>
                <w:kern w:val="0"/>
                <w:szCs w:val="21"/>
                <w:lang/>
              </w:rPr>
              <w:t>类份额：</w:t>
            </w:r>
            <w:r>
              <w:rPr>
                <w:rFonts w:ascii="宋体" w:hAnsi="宋体" w:cs="宋体"/>
                <w:color w:val="000000"/>
                <w:kern w:val="0"/>
                <w:szCs w:val="21"/>
                <w:lang/>
              </w:rPr>
              <w:t>024039</w:t>
            </w:r>
          </w:p>
        </w:tc>
      </w:tr>
    </w:tbl>
    <w:p w:rsidR="00000000" w:rsidRDefault="00A76D59">
      <w:pPr>
        <w:pStyle w:val="Default"/>
        <w:spacing w:beforeLines="100" w:afterLines="100" w:line="360" w:lineRule="auto"/>
        <w:ind w:firstLineChars="200" w:firstLine="420"/>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本公司今后募集管理的开放式基金将根据具体情况确定是否适用不同类别基金份额之间</w:t>
      </w:r>
      <w:r>
        <w:rPr>
          <w:rFonts w:ascii="宋体" w:eastAsia="宋体" w:hAnsi="宋体" w:cs="Times New Roman" w:hint="eastAsia"/>
          <w:color w:val="auto"/>
          <w:kern w:val="2"/>
          <w:sz w:val="21"/>
          <w:szCs w:val="21"/>
        </w:rPr>
        <w:t>的转换业务，具体情况以相关公告为准。</w:t>
      </w:r>
    </w:p>
    <w:p w:rsidR="00000000" w:rsidRDefault="00A76D59">
      <w:pPr>
        <w:pStyle w:val="Default"/>
        <w:spacing w:line="360" w:lineRule="auto"/>
        <w:ind w:firstLineChars="200" w:firstLine="422"/>
        <w:rPr>
          <w:rFonts w:ascii="宋体" w:eastAsia="宋体" w:hAnsi="宋体" w:hint="eastAsia"/>
          <w:b/>
          <w:color w:val="auto"/>
          <w:sz w:val="21"/>
          <w:szCs w:val="21"/>
        </w:rPr>
      </w:pPr>
      <w:r>
        <w:rPr>
          <w:rFonts w:ascii="宋体" w:eastAsia="宋体" w:hAnsi="宋体" w:hint="eastAsia"/>
          <w:b/>
          <w:color w:val="auto"/>
          <w:sz w:val="21"/>
          <w:szCs w:val="21"/>
        </w:rPr>
        <w:t>二</w:t>
      </w:r>
      <w:r>
        <w:rPr>
          <w:rFonts w:ascii="宋体" w:eastAsia="宋体" w:hAnsi="宋体" w:hint="eastAsia"/>
          <w:b/>
          <w:color w:val="auto"/>
          <w:sz w:val="21"/>
          <w:szCs w:val="21"/>
        </w:rPr>
        <w:t>、</w:t>
      </w:r>
      <w:r>
        <w:rPr>
          <w:rFonts w:ascii="宋体" w:eastAsia="宋体" w:hAnsi="宋体" w:hint="eastAsia"/>
          <w:b/>
          <w:color w:val="auto"/>
          <w:sz w:val="21"/>
          <w:szCs w:val="21"/>
        </w:rPr>
        <w:t>业务规则</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1</w:t>
      </w:r>
      <w:r>
        <w:rPr>
          <w:rFonts w:ascii="宋体" w:hAnsi="宋体" w:cs="Times New Roman" w:hint="eastAsia"/>
          <w:color w:val="auto"/>
          <w:kern w:val="2"/>
          <w:sz w:val="21"/>
          <w:szCs w:val="21"/>
        </w:rPr>
        <w:t>、同一基金不同类别基金份额间的转换业务（以下简称“本业务”）是指：若投资者持有的某只基金具有多种类别基金份额（各类基金份额分设不同的基金代码），且登记在同一注册</w:t>
      </w:r>
      <w:r>
        <w:rPr>
          <w:rFonts w:ascii="宋体" w:hAnsi="宋体" w:cs="Times New Roman" w:hint="eastAsia"/>
          <w:color w:val="auto"/>
          <w:kern w:val="2"/>
          <w:sz w:val="21"/>
          <w:szCs w:val="21"/>
        </w:rPr>
        <w:lastRenderedPageBreak/>
        <w:t>登记机构，投资者可以将其持有的某一类基金份额转换成同只基金的其他类基金份额。如某只基金产品具有</w:t>
      </w:r>
      <w:r>
        <w:rPr>
          <w:rFonts w:ascii="宋体" w:hAnsi="宋体" w:cs="Times New Roman" w:hint="eastAsia"/>
          <w:color w:val="auto"/>
          <w:kern w:val="2"/>
          <w:sz w:val="21"/>
          <w:szCs w:val="21"/>
        </w:rPr>
        <w:t>A</w:t>
      </w:r>
      <w:r>
        <w:rPr>
          <w:rFonts w:ascii="宋体" w:hAnsi="宋体" w:cs="Times New Roman" w:hint="eastAsia"/>
          <w:color w:val="auto"/>
          <w:kern w:val="2"/>
          <w:sz w:val="21"/>
          <w:szCs w:val="21"/>
        </w:rPr>
        <w:t>类份额、</w:t>
      </w:r>
      <w:r>
        <w:rPr>
          <w:rFonts w:ascii="宋体" w:hAnsi="宋体" w:cs="Times New Roman" w:hint="eastAsia"/>
          <w:color w:val="auto"/>
          <w:kern w:val="2"/>
          <w:sz w:val="21"/>
          <w:szCs w:val="21"/>
        </w:rPr>
        <w:t>C</w:t>
      </w:r>
      <w:r>
        <w:rPr>
          <w:rFonts w:ascii="宋体" w:hAnsi="宋体" w:cs="Times New Roman" w:hint="eastAsia"/>
          <w:color w:val="auto"/>
          <w:kern w:val="2"/>
          <w:sz w:val="21"/>
          <w:szCs w:val="21"/>
        </w:rPr>
        <w:t>类份额和</w:t>
      </w:r>
      <w:r>
        <w:rPr>
          <w:rFonts w:ascii="宋体" w:hAnsi="宋体" w:cs="Times New Roman" w:hint="eastAsia"/>
          <w:color w:val="auto"/>
          <w:kern w:val="2"/>
          <w:sz w:val="21"/>
          <w:szCs w:val="21"/>
        </w:rPr>
        <w:t>I</w:t>
      </w:r>
      <w:r>
        <w:rPr>
          <w:rFonts w:ascii="宋体" w:hAnsi="宋体" w:cs="Times New Roman" w:hint="eastAsia"/>
          <w:color w:val="auto"/>
          <w:kern w:val="2"/>
          <w:sz w:val="21"/>
          <w:szCs w:val="21"/>
        </w:rPr>
        <w:t>类份额，投资者可以将其持有的</w:t>
      </w:r>
      <w:r>
        <w:rPr>
          <w:rFonts w:ascii="宋体" w:hAnsi="宋体" w:cs="Times New Roman" w:hint="eastAsia"/>
          <w:color w:val="auto"/>
          <w:kern w:val="2"/>
          <w:sz w:val="21"/>
          <w:szCs w:val="21"/>
        </w:rPr>
        <w:t>A</w:t>
      </w:r>
      <w:r>
        <w:rPr>
          <w:rFonts w:ascii="宋体" w:hAnsi="宋体" w:cs="Times New Roman" w:hint="eastAsia"/>
          <w:color w:val="auto"/>
          <w:kern w:val="2"/>
          <w:sz w:val="21"/>
          <w:szCs w:val="21"/>
        </w:rPr>
        <w:t>类份额转换成同只基金的</w:t>
      </w:r>
      <w:r>
        <w:rPr>
          <w:rFonts w:ascii="宋体" w:hAnsi="宋体" w:cs="Times New Roman" w:hint="eastAsia"/>
          <w:color w:val="auto"/>
          <w:kern w:val="2"/>
          <w:sz w:val="21"/>
          <w:szCs w:val="21"/>
        </w:rPr>
        <w:t>C</w:t>
      </w:r>
      <w:r>
        <w:rPr>
          <w:rFonts w:ascii="宋体" w:hAnsi="宋体" w:cs="Times New Roman" w:hint="eastAsia"/>
          <w:color w:val="auto"/>
          <w:kern w:val="2"/>
          <w:sz w:val="21"/>
          <w:szCs w:val="21"/>
        </w:rPr>
        <w:t>类份额或</w:t>
      </w:r>
      <w:r>
        <w:rPr>
          <w:rFonts w:ascii="宋体" w:hAnsi="宋体" w:cs="Times New Roman" w:hint="eastAsia"/>
          <w:color w:val="auto"/>
          <w:kern w:val="2"/>
          <w:sz w:val="21"/>
          <w:szCs w:val="21"/>
        </w:rPr>
        <w:t>I</w:t>
      </w:r>
      <w:r>
        <w:rPr>
          <w:rFonts w:ascii="宋体" w:hAnsi="宋体" w:cs="Times New Roman" w:hint="eastAsia"/>
          <w:color w:val="auto"/>
          <w:kern w:val="2"/>
          <w:sz w:val="21"/>
          <w:szCs w:val="21"/>
        </w:rPr>
        <w:t>类份额，或将其持有的</w:t>
      </w:r>
      <w:r>
        <w:rPr>
          <w:rFonts w:ascii="宋体" w:hAnsi="宋体" w:cs="Times New Roman" w:hint="eastAsia"/>
          <w:color w:val="auto"/>
          <w:kern w:val="2"/>
          <w:sz w:val="21"/>
          <w:szCs w:val="21"/>
        </w:rPr>
        <w:t>C</w:t>
      </w:r>
      <w:r>
        <w:rPr>
          <w:rFonts w:ascii="宋体" w:hAnsi="宋体" w:cs="Times New Roman" w:hint="eastAsia"/>
          <w:color w:val="auto"/>
          <w:kern w:val="2"/>
          <w:sz w:val="21"/>
          <w:szCs w:val="21"/>
        </w:rPr>
        <w:t>类份额转换成同只基金的</w:t>
      </w:r>
      <w:r>
        <w:rPr>
          <w:rFonts w:ascii="宋体" w:hAnsi="宋体" w:cs="Times New Roman" w:hint="eastAsia"/>
          <w:color w:val="auto"/>
          <w:kern w:val="2"/>
          <w:sz w:val="21"/>
          <w:szCs w:val="21"/>
        </w:rPr>
        <w:t>A</w:t>
      </w:r>
      <w:r>
        <w:rPr>
          <w:rFonts w:ascii="宋体" w:hAnsi="宋体" w:cs="Times New Roman" w:hint="eastAsia"/>
          <w:color w:val="auto"/>
          <w:kern w:val="2"/>
          <w:sz w:val="21"/>
          <w:szCs w:val="21"/>
        </w:rPr>
        <w:t>类份额或</w:t>
      </w:r>
      <w:r>
        <w:rPr>
          <w:rFonts w:ascii="宋体" w:hAnsi="宋体" w:cs="Times New Roman" w:hint="eastAsia"/>
          <w:color w:val="auto"/>
          <w:kern w:val="2"/>
          <w:sz w:val="21"/>
          <w:szCs w:val="21"/>
        </w:rPr>
        <w:t>I</w:t>
      </w:r>
      <w:r>
        <w:rPr>
          <w:rFonts w:ascii="宋体" w:hAnsi="宋体" w:cs="Times New Roman" w:hint="eastAsia"/>
          <w:color w:val="auto"/>
          <w:kern w:val="2"/>
          <w:sz w:val="21"/>
          <w:szCs w:val="21"/>
        </w:rPr>
        <w:t>类份额，或将其持有的</w:t>
      </w:r>
      <w:r>
        <w:rPr>
          <w:rFonts w:ascii="宋体" w:hAnsi="宋体" w:cs="Times New Roman" w:hint="eastAsia"/>
          <w:color w:val="auto"/>
          <w:kern w:val="2"/>
          <w:sz w:val="21"/>
          <w:szCs w:val="21"/>
        </w:rPr>
        <w:t>I</w:t>
      </w:r>
      <w:r>
        <w:rPr>
          <w:rFonts w:ascii="宋体" w:hAnsi="宋体" w:cs="Times New Roman" w:hint="eastAsia"/>
          <w:color w:val="auto"/>
          <w:kern w:val="2"/>
          <w:sz w:val="21"/>
          <w:szCs w:val="21"/>
        </w:rPr>
        <w:t>类份额转换成同只基金的</w:t>
      </w:r>
      <w:r>
        <w:rPr>
          <w:rFonts w:ascii="宋体" w:hAnsi="宋体" w:cs="Times New Roman" w:hint="eastAsia"/>
          <w:color w:val="auto"/>
          <w:kern w:val="2"/>
          <w:sz w:val="21"/>
          <w:szCs w:val="21"/>
        </w:rPr>
        <w:t>A</w:t>
      </w:r>
      <w:r>
        <w:rPr>
          <w:rFonts w:ascii="宋体" w:hAnsi="宋体" w:cs="Times New Roman" w:hint="eastAsia"/>
          <w:color w:val="auto"/>
          <w:kern w:val="2"/>
          <w:sz w:val="21"/>
          <w:szCs w:val="21"/>
        </w:rPr>
        <w:t>类份额或</w:t>
      </w:r>
      <w:r>
        <w:rPr>
          <w:rFonts w:ascii="宋体" w:hAnsi="宋体" w:cs="Times New Roman" w:hint="eastAsia"/>
          <w:color w:val="auto"/>
          <w:kern w:val="2"/>
          <w:sz w:val="21"/>
          <w:szCs w:val="21"/>
        </w:rPr>
        <w:t>C</w:t>
      </w:r>
      <w:r>
        <w:rPr>
          <w:rFonts w:ascii="宋体" w:hAnsi="宋体" w:cs="Times New Roman" w:hint="eastAsia"/>
          <w:color w:val="auto"/>
          <w:kern w:val="2"/>
          <w:sz w:val="21"/>
          <w:szCs w:val="21"/>
        </w:rPr>
        <w:t>类份额</w:t>
      </w:r>
      <w:r>
        <w:rPr>
          <w:rFonts w:ascii="宋体" w:hAnsi="宋体" w:cs="Times New Roman" w:hint="eastAsia"/>
          <w:color w:val="auto"/>
          <w:kern w:val="2"/>
          <w:sz w:val="21"/>
          <w:szCs w:val="21"/>
        </w:rPr>
        <w:t>。</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2</w:t>
      </w:r>
      <w:r>
        <w:rPr>
          <w:rFonts w:ascii="宋体" w:hAnsi="宋体" w:cs="Times New Roman" w:hint="eastAsia"/>
          <w:color w:val="auto"/>
          <w:kern w:val="2"/>
          <w:sz w:val="21"/>
          <w:szCs w:val="21"/>
        </w:rPr>
        <w:t>、同一基金不同类别基金份额间转换转出的最低申请基金份额适用该基金最低转换份额的规定。</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color w:val="auto"/>
          <w:kern w:val="2"/>
          <w:sz w:val="21"/>
          <w:szCs w:val="21"/>
        </w:rPr>
      </w:pPr>
      <w:r>
        <w:rPr>
          <w:rFonts w:ascii="宋体" w:hAnsi="宋体" w:cs="Times New Roman" w:hint="eastAsia"/>
          <w:color w:val="auto"/>
          <w:kern w:val="2"/>
          <w:sz w:val="21"/>
          <w:szCs w:val="21"/>
        </w:rPr>
        <w:t>3</w:t>
      </w:r>
      <w:r>
        <w:rPr>
          <w:rFonts w:ascii="宋体" w:hAnsi="宋体" w:cs="Times New Roman" w:hint="eastAsia"/>
          <w:color w:val="auto"/>
          <w:kern w:val="2"/>
          <w:sz w:val="21"/>
          <w:szCs w:val="21"/>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对于持有期基金不同份额间的基金转换，转换后的份额到期日重新计算。</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4</w:t>
      </w:r>
      <w:r>
        <w:rPr>
          <w:rFonts w:ascii="宋体" w:hAnsi="宋体" w:cs="Times New Roman" w:hint="eastAsia"/>
          <w:color w:val="auto"/>
          <w:kern w:val="2"/>
          <w:sz w:val="21"/>
          <w:szCs w:val="21"/>
        </w:rPr>
        <w:t>、同一基金不同类别基金份额转换时，以申请当日基金份额净值为基础计算。投资者采用“份额转换”的原则提交申请，不同类别基金份额转换遵循“先进先出”的业务</w:t>
      </w:r>
      <w:r>
        <w:rPr>
          <w:rFonts w:ascii="宋体" w:hAnsi="宋体" w:cs="Times New Roman" w:hint="eastAsia"/>
          <w:color w:val="auto"/>
          <w:kern w:val="2"/>
          <w:sz w:val="21"/>
          <w:szCs w:val="21"/>
        </w:rPr>
        <w:t>规则。</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5</w:t>
      </w:r>
      <w:r>
        <w:rPr>
          <w:rFonts w:ascii="宋体" w:hAnsi="宋体" w:cs="Times New Roman" w:hint="eastAsia"/>
          <w:color w:val="auto"/>
          <w:kern w:val="2"/>
          <w:sz w:val="21"/>
          <w:szCs w:val="21"/>
        </w:rPr>
        <w:t>、投资者办理本业务时，转出基金份额类别必须处于可赎回状态，转入基金份额类别必须处于可申购状态，已经冻结的基金份额不得申请转换业务。</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6</w:t>
      </w:r>
      <w:r>
        <w:rPr>
          <w:rFonts w:ascii="宋体" w:hAnsi="宋体" w:cs="Times New Roman" w:hint="eastAsia"/>
          <w:color w:val="auto"/>
          <w:kern w:val="2"/>
          <w:sz w:val="21"/>
          <w:szCs w:val="21"/>
        </w:rPr>
        <w:t>、本业务与公司已经开通的不同基金之间相互转换业务不产生冲突。</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7</w:t>
      </w:r>
      <w:r>
        <w:rPr>
          <w:rFonts w:ascii="宋体" w:hAnsi="宋体" w:cs="Times New Roman" w:hint="eastAsia"/>
          <w:color w:val="auto"/>
          <w:kern w:val="2"/>
          <w:sz w:val="21"/>
          <w:szCs w:val="21"/>
        </w:rPr>
        <w:t>、本公司旗下管理的其他开放式基金将根据具体情况确定是否适用不同类别基金份额之间的转换业务，请投资者以相关公告为准。</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8</w:t>
      </w:r>
      <w:r>
        <w:rPr>
          <w:rFonts w:ascii="宋体" w:hAnsi="宋体" w:cs="Times New Roman" w:hint="eastAsia"/>
          <w:color w:val="auto"/>
          <w:kern w:val="2"/>
          <w:sz w:val="21"/>
          <w:szCs w:val="21"/>
        </w:rPr>
        <w:t>、由于各销售机构的系统差异以及业务安排等原因，开展同一基金不同类别基金份额之间转换业务的时间及其他未尽事宜详见各销售机构的相关业务规则和公告。同一基金不同类别基金份额间的转换业务只能在同</w:t>
      </w:r>
      <w:r>
        <w:rPr>
          <w:rFonts w:ascii="宋体" w:hAnsi="宋体" w:cs="Times New Roman" w:hint="eastAsia"/>
          <w:color w:val="auto"/>
          <w:kern w:val="2"/>
          <w:sz w:val="21"/>
          <w:szCs w:val="21"/>
        </w:rPr>
        <w:t>时代理销售该基金多种类别基金份额的同一销售机构进行。</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p>
    <w:p w:rsidR="00000000" w:rsidRDefault="00A76D59">
      <w:pPr>
        <w:pStyle w:val="Default"/>
        <w:spacing w:line="360" w:lineRule="auto"/>
        <w:ind w:firstLineChars="200" w:firstLine="422"/>
        <w:rPr>
          <w:rFonts w:ascii="宋体" w:eastAsia="宋体" w:hAnsi="宋体" w:hint="eastAsia"/>
          <w:b/>
          <w:color w:val="auto"/>
          <w:sz w:val="21"/>
          <w:szCs w:val="21"/>
        </w:rPr>
      </w:pPr>
      <w:r>
        <w:rPr>
          <w:rFonts w:ascii="宋体" w:eastAsia="宋体" w:hAnsi="宋体" w:hint="eastAsia"/>
          <w:b/>
          <w:color w:val="auto"/>
          <w:sz w:val="21"/>
          <w:szCs w:val="21"/>
        </w:rPr>
        <w:t>三</w:t>
      </w:r>
      <w:r>
        <w:rPr>
          <w:rFonts w:ascii="宋体" w:eastAsia="宋体" w:hAnsi="宋体" w:hint="eastAsia"/>
          <w:b/>
          <w:color w:val="auto"/>
          <w:sz w:val="21"/>
          <w:szCs w:val="21"/>
        </w:rPr>
        <w:t>、同一基金不同类别基金份额间相互转换业务的费率计算</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1</w:t>
      </w:r>
      <w:r>
        <w:rPr>
          <w:rFonts w:ascii="宋体" w:hAnsi="宋体" w:cs="Times New Roman" w:hint="eastAsia"/>
          <w:color w:val="auto"/>
          <w:kern w:val="2"/>
          <w:sz w:val="21"/>
          <w:szCs w:val="21"/>
        </w:rPr>
        <w:t>、基金转换费用按照转出基金赎回费用加上转出与转入基金申购费用补差的标准收取。当转出基金申购费率低于转入基金申购费率时，费用补差为按照转出基金金额</w:t>
      </w:r>
      <w:r>
        <w:rPr>
          <w:rFonts w:ascii="宋体" w:hAnsi="宋体" w:cs="Times New Roman" w:hint="eastAsia"/>
          <w:color w:val="auto"/>
          <w:kern w:val="2"/>
          <w:sz w:val="21"/>
          <w:szCs w:val="21"/>
        </w:rPr>
        <w:t>(</w:t>
      </w:r>
      <w:r>
        <w:rPr>
          <w:rFonts w:ascii="宋体" w:hAnsi="宋体" w:cs="Times New Roman" w:hint="eastAsia"/>
          <w:color w:val="auto"/>
          <w:kern w:val="2"/>
          <w:sz w:val="21"/>
          <w:szCs w:val="21"/>
        </w:rPr>
        <w:t>不含转出基金赎回费</w:t>
      </w:r>
      <w:r>
        <w:rPr>
          <w:rFonts w:ascii="宋体" w:hAnsi="宋体" w:cs="Times New Roman" w:hint="eastAsia"/>
          <w:color w:val="auto"/>
          <w:kern w:val="2"/>
          <w:sz w:val="21"/>
          <w:szCs w:val="21"/>
        </w:rPr>
        <w:t>)</w:t>
      </w:r>
      <w:r>
        <w:rPr>
          <w:rFonts w:ascii="宋体" w:hAnsi="宋体" w:cs="Times New Roman" w:hint="eastAsia"/>
          <w:color w:val="auto"/>
          <w:kern w:val="2"/>
          <w:sz w:val="21"/>
          <w:szCs w:val="21"/>
        </w:rPr>
        <w:t>计算的申购费用差额；当转出基金申购费率高于转入基金申购费率时，不收取费用补差。</w:t>
      </w:r>
      <w:r>
        <w:rPr>
          <w:rFonts w:ascii="宋体" w:hAnsi="宋体" w:cs="Times New Roman" w:hint="eastAsia"/>
          <w:color w:val="auto"/>
          <w:kern w:val="2"/>
          <w:sz w:val="21"/>
          <w:szCs w:val="21"/>
        </w:rPr>
        <w:t xml:space="preserve"> </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2</w:t>
      </w:r>
      <w:r>
        <w:rPr>
          <w:rFonts w:ascii="宋体" w:hAnsi="宋体" w:cs="Times New Roman" w:hint="eastAsia"/>
          <w:color w:val="auto"/>
          <w:kern w:val="2"/>
          <w:sz w:val="21"/>
          <w:szCs w:val="21"/>
        </w:rPr>
        <w:t>、基金转换后的基金份额持有时间自转换转入确认日开始重新计算。</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3</w:t>
      </w:r>
      <w:r>
        <w:rPr>
          <w:rFonts w:ascii="宋体" w:hAnsi="宋体" w:cs="Times New Roman" w:hint="eastAsia"/>
          <w:color w:val="auto"/>
          <w:kern w:val="2"/>
          <w:sz w:val="21"/>
          <w:szCs w:val="21"/>
        </w:rPr>
        <w:t>、基金转换采取未知价法，以申请当日</w:t>
      </w:r>
      <w:r>
        <w:rPr>
          <w:rFonts w:ascii="宋体" w:hAnsi="宋体" w:cs="Times New Roman" w:hint="eastAsia"/>
          <w:color w:val="auto"/>
          <w:kern w:val="2"/>
          <w:sz w:val="21"/>
          <w:szCs w:val="21"/>
        </w:rPr>
        <w:t>(</w:t>
      </w:r>
      <w:r>
        <w:rPr>
          <w:rFonts w:ascii="宋体" w:hAnsi="宋体" w:cs="Times New Roman" w:hint="eastAsia"/>
          <w:color w:val="auto"/>
          <w:kern w:val="2"/>
          <w:sz w:val="21"/>
          <w:szCs w:val="21"/>
        </w:rPr>
        <w:t>以下简称“</w:t>
      </w:r>
      <w:r>
        <w:rPr>
          <w:rFonts w:ascii="宋体" w:hAnsi="宋体" w:cs="Times New Roman" w:hint="eastAsia"/>
          <w:color w:val="auto"/>
          <w:kern w:val="2"/>
          <w:sz w:val="21"/>
          <w:szCs w:val="21"/>
        </w:rPr>
        <w:t>T</w:t>
      </w:r>
      <w:r>
        <w:rPr>
          <w:rFonts w:ascii="宋体" w:hAnsi="宋体" w:cs="Times New Roman" w:hint="eastAsia"/>
          <w:color w:val="auto"/>
          <w:kern w:val="2"/>
          <w:sz w:val="21"/>
          <w:szCs w:val="21"/>
        </w:rPr>
        <w:t>”日</w:t>
      </w:r>
      <w:r>
        <w:rPr>
          <w:rFonts w:ascii="宋体" w:hAnsi="宋体" w:cs="Times New Roman" w:hint="eastAsia"/>
          <w:color w:val="auto"/>
          <w:kern w:val="2"/>
          <w:sz w:val="21"/>
          <w:szCs w:val="21"/>
        </w:rPr>
        <w:t>)</w:t>
      </w:r>
      <w:r>
        <w:rPr>
          <w:rFonts w:ascii="宋体" w:hAnsi="宋体" w:cs="Times New Roman" w:hint="eastAsia"/>
          <w:color w:val="auto"/>
          <w:kern w:val="2"/>
          <w:sz w:val="21"/>
          <w:szCs w:val="21"/>
        </w:rPr>
        <w:t>基金份额资产净值为基础计算。</w:t>
      </w:r>
    </w:p>
    <w:p w:rsidR="00000000" w:rsidRDefault="00A76D59">
      <w:pPr>
        <w:pStyle w:val="a8"/>
        <w:shd w:val="clear" w:color="auto" w:fill="FFFFFF"/>
        <w:spacing w:before="160" w:beforeAutospacing="0" w:after="0" w:afterAutospacing="0" w:line="360" w:lineRule="auto"/>
        <w:rPr>
          <w:rFonts w:ascii="宋体" w:hAnsi="宋体" w:cs="Times New Roman" w:hint="eastAsia"/>
          <w:color w:val="auto"/>
          <w:kern w:val="2"/>
          <w:sz w:val="21"/>
          <w:szCs w:val="21"/>
        </w:rPr>
      </w:pPr>
    </w:p>
    <w:p w:rsidR="00000000" w:rsidRDefault="00A76D59">
      <w:pPr>
        <w:pStyle w:val="Default"/>
        <w:spacing w:line="360" w:lineRule="auto"/>
        <w:ind w:firstLineChars="200" w:firstLine="422"/>
        <w:rPr>
          <w:rFonts w:ascii="宋体" w:eastAsia="宋体" w:hAnsi="宋体" w:hint="eastAsia"/>
          <w:b/>
          <w:color w:val="auto"/>
          <w:sz w:val="21"/>
          <w:szCs w:val="21"/>
        </w:rPr>
      </w:pPr>
      <w:r>
        <w:rPr>
          <w:rFonts w:ascii="宋体" w:eastAsia="宋体" w:hAnsi="宋体" w:hint="eastAsia"/>
          <w:b/>
          <w:color w:val="auto"/>
          <w:sz w:val="21"/>
          <w:szCs w:val="21"/>
        </w:rPr>
        <w:t>四</w:t>
      </w:r>
      <w:r>
        <w:rPr>
          <w:rFonts w:ascii="宋体" w:eastAsia="宋体" w:hAnsi="宋体" w:hint="eastAsia"/>
          <w:b/>
          <w:color w:val="auto"/>
          <w:sz w:val="21"/>
          <w:szCs w:val="21"/>
        </w:rPr>
        <w:t>、业务办理时间</w:t>
      </w:r>
    </w:p>
    <w:p w:rsidR="00000000" w:rsidRDefault="00A76D59">
      <w:pPr>
        <w:pStyle w:val="a8"/>
        <w:shd w:val="clear" w:color="auto" w:fill="FFFFFF"/>
        <w:spacing w:before="160" w:beforeAutospacing="0" w:after="0" w:afterAutospacing="0" w:line="360" w:lineRule="auto"/>
        <w:ind w:firstLineChars="200" w:firstLine="420"/>
        <w:rPr>
          <w:rFonts w:ascii="宋体" w:hAnsi="宋体" w:cs="Times New Roman" w:hint="eastAsia"/>
          <w:color w:val="auto"/>
          <w:kern w:val="2"/>
          <w:sz w:val="21"/>
          <w:szCs w:val="21"/>
        </w:rPr>
      </w:pPr>
      <w:r>
        <w:rPr>
          <w:rFonts w:ascii="宋体" w:hAnsi="宋体" w:cs="Times New Roman" w:hint="eastAsia"/>
          <w:color w:val="auto"/>
          <w:kern w:val="2"/>
          <w:sz w:val="21"/>
          <w:szCs w:val="21"/>
        </w:rPr>
        <w:t>本业务的具体办理时间为上海证券交易所、深圳证券交易所的正常交易日的交易时间，但基金管理人根据法律法规、中国证监会的要求或基金合同的规定公告暂停基金转换时除外。投资者可以在上述基金的开放期内，到上述基金的销售机构咨询和办理本业务。</w:t>
      </w:r>
    </w:p>
    <w:p w:rsidR="00000000" w:rsidRDefault="00A76D59">
      <w:pPr>
        <w:pStyle w:val="Default"/>
        <w:spacing w:line="360" w:lineRule="auto"/>
        <w:ind w:firstLineChars="200" w:firstLine="420"/>
        <w:rPr>
          <w:rFonts w:ascii="宋体" w:eastAsia="宋体" w:hAnsi="宋体" w:cs="Times New Roman" w:hint="eastAsia"/>
          <w:color w:val="auto"/>
          <w:kern w:val="2"/>
          <w:sz w:val="21"/>
          <w:szCs w:val="21"/>
        </w:rPr>
      </w:pPr>
    </w:p>
    <w:p w:rsidR="00000000" w:rsidRDefault="00A76D59">
      <w:pPr>
        <w:pStyle w:val="Default"/>
        <w:spacing w:line="360" w:lineRule="auto"/>
        <w:ind w:firstLineChars="200" w:firstLine="420"/>
        <w:rPr>
          <w:rFonts w:ascii="宋体" w:eastAsia="宋体" w:hAnsi="宋体" w:cs="Times New Roman" w:hint="eastAsia"/>
          <w:color w:val="auto"/>
          <w:kern w:val="2"/>
          <w:sz w:val="21"/>
          <w:szCs w:val="21"/>
        </w:rPr>
      </w:pPr>
      <w:r>
        <w:rPr>
          <w:rFonts w:ascii="宋体" w:eastAsia="宋体" w:hAnsi="宋体" w:cs="Times New Roman" w:hint="eastAsia"/>
          <w:color w:val="auto"/>
          <w:kern w:val="2"/>
          <w:sz w:val="21"/>
          <w:szCs w:val="21"/>
        </w:rPr>
        <w:t>本公司若暂停办理该业务，将另行发布公告。投资者可登录本公司网站（</w:t>
      </w:r>
      <w:r>
        <w:rPr>
          <w:rFonts w:ascii="宋体" w:eastAsia="宋体" w:hAnsi="宋体" w:cs="Times New Roman" w:hint="eastAsia"/>
          <w:color w:val="auto"/>
          <w:kern w:val="2"/>
          <w:sz w:val="21"/>
          <w:szCs w:val="21"/>
        </w:rPr>
        <w:t>www.yhfund.com.cn</w:t>
      </w:r>
      <w:r>
        <w:rPr>
          <w:rFonts w:ascii="宋体" w:eastAsia="宋体" w:hAnsi="宋体" w:cs="Times New Roman" w:hint="eastAsia"/>
          <w:color w:val="auto"/>
          <w:kern w:val="2"/>
          <w:sz w:val="21"/>
          <w:szCs w:val="21"/>
        </w:rPr>
        <w:t>）或拨打本公司客户服务电话（</w:t>
      </w:r>
      <w:r>
        <w:rPr>
          <w:rFonts w:ascii="宋体" w:eastAsia="宋体" w:hAnsi="宋体" w:cs="Times New Roman" w:hint="eastAsia"/>
          <w:color w:val="auto"/>
          <w:kern w:val="2"/>
          <w:sz w:val="21"/>
          <w:szCs w:val="21"/>
        </w:rPr>
        <w:t>010-85186558</w:t>
      </w:r>
      <w:r>
        <w:rPr>
          <w:rFonts w:ascii="宋体" w:eastAsia="宋体" w:hAnsi="宋体" w:cs="Times New Roman" w:hint="eastAsia"/>
          <w:color w:val="auto"/>
          <w:kern w:val="2"/>
          <w:sz w:val="21"/>
          <w:szCs w:val="21"/>
        </w:rPr>
        <w:t>、</w:t>
      </w:r>
      <w:r>
        <w:rPr>
          <w:rFonts w:ascii="宋体" w:eastAsia="宋体" w:hAnsi="宋体" w:cs="Times New Roman" w:hint="eastAsia"/>
          <w:color w:val="auto"/>
          <w:kern w:val="2"/>
          <w:sz w:val="21"/>
          <w:szCs w:val="21"/>
        </w:rPr>
        <w:t>400-678-3333</w:t>
      </w:r>
      <w:r>
        <w:rPr>
          <w:rFonts w:ascii="宋体" w:eastAsia="宋体" w:hAnsi="宋体" w:cs="Times New Roman" w:hint="eastAsia"/>
          <w:color w:val="auto"/>
          <w:kern w:val="2"/>
          <w:sz w:val="21"/>
          <w:szCs w:val="21"/>
        </w:rPr>
        <w:t>）获取相关信息。</w:t>
      </w:r>
    </w:p>
    <w:p w:rsidR="00000000" w:rsidRDefault="00A76D59">
      <w:pPr>
        <w:pStyle w:val="Default"/>
        <w:spacing w:line="360" w:lineRule="auto"/>
        <w:ind w:firstLineChars="200" w:firstLine="420"/>
        <w:jc w:val="both"/>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风险提示：</w:t>
      </w:r>
    </w:p>
    <w:p w:rsidR="00000000" w:rsidRDefault="00A76D59">
      <w:pPr>
        <w:pStyle w:val="Default"/>
        <w:spacing w:line="360" w:lineRule="auto"/>
        <w:ind w:firstLineChars="200" w:firstLine="420"/>
        <w:jc w:val="both"/>
        <w:rPr>
          <w:rFonts w:ascii="宋体" w:eastAsia="宋体" w:hAnsi="宋体" w:cs="Times New Roman"/>
          <w:color w:val="auto"/>
          <w:kern w:val="2"/>
          <w:sz w:val="21"/>
          <w:szCs w:val="21"/>
        </w:rPr>
      </w:pPr>
      <w:r>
        <w:rPr>
          <w:rFonts w:ascii="宋体" w:eastAsia="宋体" w:hAnsi="宋体" w:cs="Times New Roman" w:hint="eastAsia"/>
          <w:color w:val="auto"/>
          <w:kern w:val="2"/>
          <w:sz w:val="21"/>
          <w:szCs w:val="21"/>
        </w:rPr>
        <w:t>基金管理人承诺以诚实信用、勤勉尽责的原则管理和运用基金资</w:t>
      </w:r>
      <w:r>
        <w:rPr>
          <w:rFonts w:ascii="宋体" w:eastAsia="宋体" w:hAnsi="宋体" w:cs="Times New Roman" w:hint="eastAsia"/>
          <w:color w:val="auto"/>
          <w:kern w:val="2"/>
          <w:sz w:val="21"/>
          <w:szCs w:val="21"/>
        </w:rPr>
        <w:t>产，但不保证基金一定盈利，也不保证最低收益。敬请投资者留意投资风险。</w:t>
      </w:r>
    </w:p>
    <w:p w:rsidR="00000000" w:rsidRDefault="00A76D59">
      <w:pPr>
        <w:pStyle w:val="Default"/>
        <w:spacing w:line="360" w:lineRule="auto"/>
        <w:rPr>
          <w:rFonts w:ascii="宋体" w:eastAsia="宋体" w:hAnsi="宋体"/>
          <w:sz w:val="21"/>
          <w:szCs w:val="21"/>
        </w:rPr>
      </w:pPr>
      <w:r>
        <w:rPr>
          <w:rFonts w:ascii="宋体" w:eastAsia="宋体" w:hAnsi="宋体" w:hint="eastAsia"/>
          <w:sz w:val="21"/>
          <w:szCs w:val="21"/>
        </w:rPr>
        <w:t>特此公告</w:t>
      </w:r>
    </w:p>
    <w:p w:rsidR="00000000" w:rsidRDefault="00A76D59">
      <w:pPr>
        <w:pStyle w:val="Default"/>
        <w:spacing w:line="360" w:lineRule="auto"/>
        <w:ind w:firstLine="540"/>
        <w:jc w:val="right"/>
        <w:rPr>
          <w:rFonts w:ascii="宋体" w:eastAsia="宋体" w:hAnsi="宋体"/>
          <w:sz w:val="21"/>
          <w:szCs w:val="21"/>
        </w:rPr>
      </w:pPr>
    </w:p>
    <w:p w:rsidR="00000000" w:rsidRDefault="00A76D59">
      <w:pPr>
        <w:pStyle w:val="Default"/>
        <w:spacing w:line="360" w:lineRule="auto"/>
        <w:ind w:firstLine="540"/>
        <w:jc w:val="right"/>
        <w:rPr>
          <w:rFonts w:ascii="宋体" w:eastAsia="宋体" w:hAnsi="宋体"/>
          <w:sz w:val="21"/>
          <w:szCs w:val="21"/>
        </w:rPr>
      </w:pPr>
      <w:r>
        <w:rPr>
          <w:rFonts w:ascii="宋体" w:eastAsia="宋体" w:hAnsi="宋体" w:hint="eastAsia"/>
          <w:sz w:val="21"/>
          <w:szCs w:val="21"/>
        </w:rPr>
        <w:t>银华基金管理股份有限公司</w:t>
      </w:r>
    </w:p>
    <w:p w:rsidR="00000000" w:rsidRDefault="00A76D59">
      <w:pPr>
        <w:pStyle w:val="Default"/>
        <w:spacing w:line="360" w:lineRule="auto"/>
        <w:ind w:firstLine="540"/>
        <w:jc w:val="right"/>
        <w:rPr>
          <w:rFonts w:ascii="宋体" w:eastAsia="宋体" w:hAnsi="宋体" w:hint="eastAsia"/>
          <w:color w:val="FF0000"/>
          <w:sz w:val="21"/>
          <w:szCs w:val="21"/>
        </w:rPr>
      </w:pPr>
      <w:r>
        <w:rPr>
          <w:rFonts w:ascii="宋体" w:eastAsia="宋体" w:hAnsi="宋体" w:cs="Times New Roman" w:hint="eastAsia"/>
          <w:color w:val="auto"/>
          <w:kern w:val="2"/>
          <w:sz w:val="21"/>
          <w:szCs w:val="21"/>
        </w:rPr>
        <w:t>2025</w:t>
      </w:r>
      <w:r>
        <w:rPr>
          <w:rFonts w:ascii="宋体" w:eastAsia="宋体" w:hAnsi="宋体" w:cs="Times New Roman" w:hint="eastAsia"/>
          <w:color w:val="auto"/>
          <w:kern w:val="2"/>
          <w:sz w:val="21"/>
          <w:szCs w:val="21"/>
        </w:rPr>
        <w:t>年</w:t>
      </w:r>
      <w:r>
        <w:rPr>
          <w:rFonts w:ascii="宋体" w:eastAsia="宋体" w:hAnsi="宋体" w:cs="Times New Roman" w:hint="eastAsia"/>
          <w:color w:val="auto"/>
          <w:kern w:val="2"/>
          <w:sz w:val="21"/>
          <w:szCs w:val="21"/>
        </w:rPr>
        <w:t>5</w:t>
      </w:r>
      <w:r>
        <w:rPr>
          <w:rFonts w:ascii="宋体" w:eastAsia="宋体" w:hAnsi="宋体" w:cs="Times New Roman" w:hint="eastAsia"/>
          <w:color w:val="auto"/>
          <w:kern w:val="2"/>
          <w:sz w:val="21"/>
          <w:szCs w:val="21"/>
        </w:rPr>
        <w:t>月</w:t>
      </w:r>
      <w:r>
        <w:rPr>
          <w:rFonts w:ascii="宋体" w:eastAsia="宋体" w:hAnsi="宋体" w:cs="Times New Roman" w:hint="eastAsia"/>
          <w:color w:val="auto"/>
          <w:kern w:val="2"/>
          <w:sz w:val="21"/>
          <w:szCs w:val="21"/>
        </w:rPr>
        <w:t>29</w:t>
      </w:r>
      <w:r>
        <w:rPr>
          <w:rFonts w:ascii="宋体" w:eastAsia="宋体" w:hAnsi="宋体" w:cs="Times New Roman" w:hint="eastAsia"/>
          <w:color w:val="auto"/>
          <w:kern w:val="2"/>
          <w:sz w:val="21"/>
          <w:szCs w:val="21"/>
        </w:rPr>
        <w:t>日</w:t>
      </w:r>
    </w:p>
    <w:sectPr w:rsidR="00000000">
      <w:headerReference w:type="default" r:id="rId7"/>
      <w:footerReference w:type="even" r:id="rId8"/>
      <w:footerReference w:type="default" r:id="rId9"/>
      <w:pgSz w:w="12240" w:h="15840"/>
      <w:pgMar w:top="1440" w:right="1800" w:bottom="1246"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76D59">
      <w:r>
        <w:separator/>
      </w:r>
    </w:p>
  </w:endnote>
  <w:endnote w:type="continuationSeparator" w:id="0">
    <w:p w:rsidR="00000000" w:rsidRDefault="00A76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6D59">
    <w:pPr>
      <w:pStyle w:val="a6"/>
      <w:framePr w:wrap="around" w:vAnchor="text" w:hAnchor="margin" w:xAlign="center" w:y="1"/>
      <w:rPr>
        <w:rStyle w:val="ac"/>
      </w:rPr>
    </w:pPr>
    <w:r>
      <w:fldChar w:fldCharType="begin"/>
    </w:r>
    <w:r>
      <w:rPr>
        <w:rStyle w:val="ac"/>
      </w:rPr>
      <w:instrText xml:space="preserve">PAGE  </w:instrText>
    </w:r>
    <w:r>
      <w:fldChar w:fldCharType="end"/>
    </w:r>
  </w:p>
  <w:p w:rsidR="00000000" w:rsidRDefault="00A76D5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6D59">
    <w:pPr>
      <w:pStyle w:val="a6"/>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1</w:t>
    </w:r>
    <w:r>
      <w:fldChar w:fldCharType="end"/>
    </w:r>
  </w:p>
  <w:p w:rsidR="00000000" w:rsidRDefault="00A76D5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76D59">
      <w:r>
        <w:separator/>
      </w:r>
    </w:p>
  </w:footnote>
  <w:footnote w:type="continuationSeparator" w:id="0">
    <w:p w:rsidR="00000000" w:rsidRDefault="00A76D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6D59">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49.25pt;height:32.25pt;mso-wrap-style:square;mso-position-horizontal-relative:page;mso-position-vertical-relative:page">
          <v:imagedata r:id="rId1" o:title=""/>
          <o:lock v:ext="edit" rotation="t" vertici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7B1"/>
    <w:multiLevelType w:val="singleLevel"/>
    <w:tmpl w:val="095657B1"/>
    <w:lvl w:ilvl="0">
      <w:start w:val="1"/>
      <w:numFmt w:val="chineseCounting"/>
      <w:suff w:val="nothing"/>
      <w:lvlText w:val="%1、"/>
      <w:lvlJc w:val="left"/>
      <w:pPr>
        <w:ind w:left="525"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6238"/>
    <w:rsid w:val="00003B8A"/>
    <w:rsid w:val="00006E59"/>
    <w:rsid w:val="0001179E"/>
    <w:rsid w:val="00014EA0"/>
    <w:rsid w:val="000222CB"/>
    <w:rsid w:val="00025B86"/>
    <w:rsid w:val="000279FC"/>
    <w:rsid w:val="00033C23"/>
    <w:rsid w:val="000362C0"/>
    <w:rsid w:val="00037F92"/>
    <w:rsid w:val="00041F27"/>
    <w:rsid w:val="000426FD"/>
    <w:rsid w:val="0005069D"/>
    <w:rsid w:val="00050811"/>
    <w:rsid w:val="00050CED"/>
    <w:rsid w:val="00051060"/>
    <w:rsid w:val="0005331A"/>
    <w:rsid w:val="0005519E"/>
    <w:rsid w:val="00055C34"/>
    <w:rsid w:val="00060A2C"/>
    <w:rsid w:val="00062AAA"/>
    <w:rsid w:val="00066570"/>
    <w:rsid w:val="00066C80"/>
    <w:rsid w:val="00071AF6"/>
    <w:rsid w:val="00074D14"/>
    <w:rsid w:val="00074DF3"/>
    <w:rsid w:val="00075F3A"/>
    <w:rsid w:val="00076739"/>
    <w:rsid w:val="000767E5"/>
    <w:rsid w:val="00077E6F"/>
    <w:rsid w:val="000826F6"/>
    <w:rsid w:val="00082F4E"/>
    <w:rsid w:val="0009448A"/>
    <w:rsid w:val="00096786"/>
    <w:rsid w:val="000A3628"/>
    <w:rsid w:val="000A3ADC"/>
    <w:rsid w:val="000A730A"/>
    <w:rsid w:val="000B026B"/>
    <w:rsid w:val="000B141C"/>
    <w:rsid w:val="000B194B"/>
    <w:rsid w:val="000B1953"/>
    <w:rsid w:val="000B5AE6"/>
    <w:rsid w:val="000B5B65"/>
    <w:rsid w:val="000B7103"/>
    <w:rsid w:val="000C26D3"/>
    <w:rsid w:val="000C2FA8"/>
    <w:rsid w:val="000C4775"/>
    <w:rsid w:val="000C56B9"/>
    <w:rsid w:val="000C7E35"/>
    <w:rsid w:val="000D10B6"/>
    <w:rsid w:val="000D38F5"/>
    <w:rsid w:val="000D6423"/>
    <w:rsid w:val="000E2ED0"/>
    <w:rsid w:val="000E5416"/>
    <w:rsid w:val="000E614C"/>
    <w:rsid w:val="000E6F0B"/>
    <w:rsid w:val="000F0A69"/>
    <w:rsid w:val="0010581A"/>
    <w:rsid w:val="001073B5"/>
    <w:rsid w:val="00112C62"/>
    <w:rsid w:val="00113E2A"/>
    <w:rsid w:val="00124E26"/>
    <w:rsid w:val="00126872"/>
    <w:rsid w:val="00136FF0"/>
    <w:rsid w:val="00140618"/>
    <w:rsid w:val="00142E34"/>
    <w:rsid w:val="00143C95"/>
    <w:rsid w:val="001466A6"/>
    <w:rsid w:val="00157E53"/>
    <w:rsid w:val="001666F6"/>
    <w:rsid w:val="00172024"/>
    <w:rsid w:val="001732EC"/>
    <w:rsid w:val="001734F1"/>
    <w:rsid w:val="0017358F"/>
    <w:rsid w:val="00181495"/>
    <w:rsid w:val="0018261B"/>
    <w:rsid w:val="00190503"/>
    <w:rsid w:val="00197A2B"/>
    <w:rsid w:val="001A304B"/>
    <w:rsid w:val="001A5C54"/>
    <w:rsid w:val="001A6529"/>
    <w:rsid w:val="001A694E"/>
    <w:rsid w:val="001A6F28"/>
    <w:rsid w:val="001B02AF"/>
    <w:rsid w:val="001B155E"/>
    <w:rsid w:val="001B2769"/>
    <w:rsid w:val="001B3F61"/>
    <w:rsid w:val="001B41CE"/>
    <w:rsid w:val="001B538C"/>
    <w:rsid w:val="001B7035"/>
    <w:rsid w:val="001B7363"/>
    <w:rsid w:val="001B75DC"/>
    <w:rsid w:val="001B7F16"/>
    <w:rsid w:val="001C2D68"/>
    <w:rsid w:val="001C5CC1"/>
    <w:rsid w:val="001C68B4"/>
    <w:rsid w:val="001D1AD6"/>
    <w:rsid w:val="001D4FDF"/>
    <w:rsid w:val="001E2F40"/>
    <w:rsid w:val="001E4FAC"/>
    <w:rsid w:val="001E5FE1"/>
    <w:rsid w:val="00202225"/>
    <w:rsid w:val="002127A0"/>
    <w:rsid w:val="00214876"/>
    <w:rsid w:val="00220193"/>
    <w:rsid w:val="0022517A"/>
    <w:rsid w:val="00230213"/>
    <w:rsid w:val="00233E42"/>
    <w:rsid w:val="002341FA"/>
    <w:rsid w:val="00240495"/>
    <w:rsid w:val="0024494B"/>
    <w:rsid w:val="002512DE"/>
    <w:rsid w:val="00254B93"/>
    <w:rsid w:val="0025587B"/>
    <w:rsid w:val="00256BB4"/>
    <w:rsid w:val="00260540"/>
    <w:rsid w:val="002608FB"/>
    <w:rsid w:val="0026094F"/>
    <w:rsid w:val="0026364E"/>
    <w:rsid w:val="00263EBD"/>
    <w:rsid w:val="00265AE7"/>
    <w:rsid w:val="00267074"/>
    <w:rsid w:val="00267904"/>
    <w:rsid w:val="00270C06"/>
    <w:rsid w:val="00272109"/>
    <w:rsid w:val="002742C4"/>
    <w:rsid w:val="002755BC"/>
    <w:rsid w:val="00277419"/>
    <w:rsid w:val="002848CA"/>
    <w:rsid w:val="00285AFA"/>
    <w:rsid w:val="00285C7D"/>
    <w:rsid w:val="002866DD"/>
    <w:rsid w:val="00290095"/>
    <w:rsid w:val="00290182"/>
    <w:rsid w:val="002913DB"/>
    <w:rsid w:val="0029276A"/>
    <w:rsid w:val="00295C92"/>
    <w:rsid w:val="002A1471"/>
    <w:rsid w:val="002B1028"/>
    <w:rsid w:val="002B4A11"/>
    <w:rsid w:val="002C32B1"/>
    <w:rsid w:val="002C3642"/>
    <w:rsid w:val="002D40C0"/>
    <w:rsid w:val="002D65D6"/>
    <w:rsid w:val="002E0877"/>
    <w:rsid w:val="002E1205"/>
    <w:rsid w:val="002E23AC"/>
    <w:rsid w:val="002E38E7"/>
    <w:rsid w:val="002E45BC"/>
    <w:rsid w:val="002E560A"/>
    <w:rsid w:val="002E7BAF"/>
    <w:rsid w:val="002F18EE"/>
    <w:rsid w:val="002F226B"/>
    <w:rsid w:val="002F4DBF"/>
    <w:rsid w:val="002F4EA7"/>
    <w:rsid w:val="00307440"/>
    <w:rsid w:val="0031048D"/>
    <w:rsid w:val="003117B0"/>
    <w:rsid w:val="00312A6F"/>
    <w:rsid w:val="0031370D"/>
    <w:rsid w:val="00317E5E"/>
    <w:rsid w:val="00320350"/>
    <w:rsid w:val="00321220"/>
    <w:rsid w:val="00322DFF"/>
    <w:rsid w:val="00324C18"/>
    <w:rsid w:val="003315ED"/>
    <w:rsid w:val="003327C3"/>
    <w:rsid w:val="00336BF5"/>
    <w:rsid w:val="00345044"/>
    <w:rsid w:val="0034634C"/>
    <w:rsid w:val="00350518"/>
    <w:rsid w:val="00351EBE"/>
    <w:rsid w:val="00352D19"/>
    <w:rsid w:val="00361E16"/>
    <w:rsid w:val="003742B0"/>
    <w:rsid w:val="00377F49"/>
    <w:rsid w:val="003A0371"/>
    <w:rsid w:val="003A145B"/>
    <w:rsid w:val="003A43AB"/>
    <w:rsid w:val="003A6A01"/>
    <w:rsid w:val="003B1231"/>
    <w:rsid w:val="003B7846"/>
    <w:rsid w:val="003C0CA5"/>
    <w:rsid w:val="003C29FE"/>
    <w:rsid w:val="003C4B68"/>
    <w:rsid w:val="003D2572"/>
    <w:rsid w:val="003D3581"/>
    <w:rsid w:val="003D4259"/>
    <w:rsid w:val="003D6238"/>
    <w:rsid w:val="003D6418"/>
    <w:rsid w:val="003E1773"/>
    <w:rsid w:val="003E17A0"/>
    <w:rsid w:val="003F48E7"/>
    <w:rsid w:val="003F48F6"/>
    <w:rsid w:val="003F49D0"/>
    <w:rsid w:val="004008FB"/>
    <w:rsid w:val="00406D94"/>
    <w:rsid w:val="004075D8"/>
    <w:rsid w:val="004129D9"/>
    <w:rsid w:val="00412F05"/>
    <w:rsid w:val="00413659"/>
    <w:rsid w:val="00414B0D"/>
    <w:rsid w:val="004249C1"/>
    <w:rsid w:val="00425E2F"/>
    <w:rsid w:val="00431136"/>
    <w:rsid w:val="00431624"/>
    <w:rsid w:val="004320FA"/>
    <w:rsid w:val="004379D1"/>
    <w:rsid w:val="00443148"/>
    <w:rsid w:val="00444016"/>
    <w:rsid w:val="00446874"/>
    <w:rsid w:val="00447F80"/>
    <w:rsid w:val="00450828"/>
    <w:rsid w:val="0046133D"/>
    <w:rsid w:val="00472807"/>
    <w:rsid w:val="004728A8"/>
    <w:rsid w:val="00473F48"/>
    <w:rsid w:val="00481E5B"/>
    <w:rsid w:val="00482AF2"/>
    <w:rsid w:val="004839AB"/>
    <w:rsid w:val="004871F8"/>
    <w:rsid w:val="00490148"/>
    <w:rsid w:val="00496724"/>
    <w:rsid w:val="004A6711"/>
    <w:rsid w:val="004B1E8A"/>
    <w:rsid w:val="004B474E"/>
    <w:rsid w:val="004B4FC1"/>
    <w:rsid w:val="004B7D0A"/>
    <w:rsid w:val="004C146F"/>
    <w:rsid w:val="004C655E"/>
    <w:rsid w:val="004C6A9E"/>
    <w:rsid w:val="004D1A81"/>
    <w:rsid w:val="004D39D4"/>
    <w:rsid w:val="004D7D4F"/>
    <w:rsid w:val="004D7E22"/>
    <w:rsid w:val="004E2031"/>
    <w:rsid w:val="004E71A5"/>
    <w:rsid w:val="00500651"/>
    <w:rsid w:val="005010C7"/>
    <w:rsid w:val="005031DF"/>
    <w:rsid w:val="00507045"/>
    <w:rsid w:val="005072A7"/>
    <w:rsid w:val="00510210"/>
    <w:rsid w:val="00513061"/>
    <w:rsid w:val="00515A13"/>
    <w:rsid w:val="0052029A"/>
    <w:rsid w:val="00521931"/>
    <w:rsid w:val="00522AC5"/>
    <w:rsid w:val="00525D15"/>
    <w:rsid w:val="00534DD8"/>
    <w:rsid w:val="0054572E"/>
    <w:rsid w:val="005464D3"/>
    <w:rsid w:val="005546B4"/>
    <w:rsid w:val="0056073E"/>
    <w:rsid w:val="0056380F"/>
    <w:rsid w:val="005648B6"/>
    <w:rsid w:val="0058264E"/>
    <w:rsid w:val="00582BE8"/>
    <w:rsid w:val="00583DB8"/>
    <w:rsid w:val="00587D21"/>
    <w:rsid w:val="00593D14"/>
    <w:rsid w:val="005943C4"/>
    <w:rsid w:val="00594560"/>
    <w:rsid w:val="0059609B"/>
    <w:rsid w:val="00596C82"/>
    <w:rsid w:val="005A03EA"/>
    <w:rsid w:val="005A3C83"/>
    <w:rsid w:val="005A57A7"/>
    <w:rsid w:val="005A7C5F"/>
    <w:rsid w:val="005A7CEB"/>
    <w:rsid w:val="005B13EC"/>
    <w:rsid w:val="005B65D7"/>
    <w:rsid w:val="005B666A"/>
    <w:rsid w:val="005B7EBF"/>
    <w:rsid w:val="005C13DC"/>
    <w:rsid w:val="005C30A7"/>
    <w:rsid w:val="005C5BB1"/>
    <w:rsid w:val="005C60C5"/>
    <w:rsid w:val="005D228A"/>
    <w:rsid w:val="005D6014"/>
    <w:rsid w:val="005E1660"/>
    <w:rsid w:val="005E29F3"/>
    <w:rsid w:val="005E35AA"/>
    <w:rsid w:val="005F62AF"/>
    <w:rsid w:val="005F7BF3"/>
    <w:rsid w:val="00601B80"/>
    <w:rsid w:val="00607C9B"/>
    <w:rsid w:val="00610993"/>
    <w:rsid w:val="00612297"/>
    <w:rsid w:val="00612C10"/>
    <w:rsid w:val="00620EC8"/>
    <w:rsid w:val="0062473C"/>
    <w:rsid w:val="00630D29"/>
    <w:rsid w:val="006311E3"/>
    <w:rsid w:val="00631C2D"/>
    <w:rsid w:val="00631F91"/>
    <w:rsid w:val="00632148"/>
    <w:rsid w:val="00646EB0"/>
    <w:rsid w:val="00650D6A"/>
    <w:rsid w:val="00650F3B"/>
    <w:rsid w:val="00650FF7"/>
    <w:rsid w:val="00653E04"/>
    <w:rsid w:val="006568D0"/>
    <w:rsid w:val="0065730E"/>
    <w:rsid w:val="00661F32"/>
    <w:rsid w:val="00662F55"/>
    <w:rsid w:val="00665BB1"/>
    <w:rsid w:val="006669AB"/>
    <w:rsid w:val="006718DD"/>
    <w:rsid w:val="006764B0"/>
    <w:rsid w:val="00682367"/>
    <w:rsid w:val="00685CE9"/>
    <w:rsid w:val="00687CDA"/>
    <w:rsid w:val="00690865"/>
    <w:rsid w:val="006908A7"/>
    <w:rsid w:val="0069156F"/>
    <w:rsid w:val="00695A55"/>
    <w:rsid w:val="00697B36"/>
    <w:rsid w:val="006A18C4"/>
    <w:rsid w:val="006A506A"/>
    <w:rsid w:val="006A57E1"/>
    <w:rsid w:val="006A6C55"/>
    <w:rsid w:val="006B2B47"/>
    <w:rsid w:val="006B30F7"/>
    <w:rsid w:val="006B4ADD"/>
    <w:rsid w:val="006B4BBB"/>
    <w:rsid w:val="006B6250"/>
    <w:rsid w:val="006B6E22"/>
    <w:rsid w:val="006B7BC6"/>
    <w:rsid w:val="006C1487"/>
    <w:rsid w:val="006C17B5"/>
    <w:rsid w:val="006C7580"/>
    <w:rsid w:val="006C796C"/>
    <w:rsid w:val="006D1C0B"/>
    <w:rsid w:val="006D5CEE"/>
    <w:rsid w:val="006E04E4"/>
    <w:rsid w:val="006E4E49"/>
    <w:rsid w:val="006E74A6"/>
    <w:rsid w:val="00700182"/>
    <w:rsid w:val="0070035C"/>
    <w:rsid w:val="0070197B"/>
    <w:rsid w:val="00702D83"/>
    <w:rsid w:val="0070459B"/>
    <w:rsid w:val="00714D67"/>
    <w:rsid w:val="00716F56"/>
    <w:rsid w:val="007170D5"/>
    <w:rsid w:val="00721C35"/>
    <w:rsid w:val="007226D4"/>
    <w:rsid w:val="00726214"/>
    <w:rsid w:val="007263DC"/>
    <w:rsid w:val="00726D60"/>
    <w:rsid w:val="00731BA4"/>
    <w:rsid w:val="00731C11"/>
    <w:rsid w:val="0073501C"/>
    <w:rsid w:val="00735448"/>
    <w:rsid w:val="007364D1"/>
    <w:rsid w:val="007366F1"/>
    <w:rsid w:val="0074037E"/>
    <w:rsid w:val="007472A9"/>
    <w:rsid w:val="00751ED2"/>
    <w:rsid w:val="007579C5"/>
    <w:rsid w:val="0076254A"/>
    <w:rsid w:val="00771E88"/>
    <w:rsid w:val="00774399"/>
    <w:rsid w:val="00781AEE"/>
    <w:rsid w:val="0078232E"/>
    <w:rsid w:val="0078327F"/>
    <w:rsid w:val="00790B2F"/>
    <w:rsid w:val="00793DA1"/>
    <w:rsid w:val="007A0BD3"/>
    <w:rsid w:val="007A26A1"/>
    <w:rsid w:val="007A74EA"/>
    <w:rsid w:val="007B5D0F"/>
    <w:rsid w:val="007C16DB"/>
    <w:rsid w:val="007C296D"/>
    <w:rsid w:val="007C6A0F"/>
    <w:rsid w:val="007D087E"/>
    <w:rsid w:val="007D1307"/>
    <w:rsid w:val="007D2B15"/>
    <w:rsid w:val="007E2486"/>
    <w:rsid w:val="007E29CA"/>
    <w:rsid w:val="007E685A"/>
    <w:rsid w:val="007F412F"/>
    <w:rsid w:val="0080027A"/>
    <w:rsid w:val="00803151"/>
    <w:rsid w:val="00803F2E"/>
    <w:rsid w:val="00816281"/>
    <w:rsid w:val="00816AC2"/>
    <w:rsid w:val="00816D10"/>
    <w:rsid w:val="008333AD"/>
    <w:rsid w:val="00834F33"/>
    <w:rsid w:val="00836557"/>
    <w:rsid w:val="00843654"/>
    <w:rsid w:val="00844A27"/>
    <w:rsid w:val="00851F33"/>
    <w:rsid w:val="00852830"/>
    <w:rsid w:val="00852BC6"/>
    <w:rsid w:val="0085684C"/>
    <w:rsid w:val="00870614"/>
    <w:rsid w:val="00871255"/>
    <w:rsid w:val="0087361D"/>
    <w:rsid w:val="00887969"/>
    <w:rsid w:val="00890C5E"/>
    <w:rsid w:val="00892AFF"/>
    <w:rsid w:val="00893DE4"/>
    <w:rsid w:val="008A3A2C"/>
    <w:rsid w:val="008A4159"/>
    <w:rsid w:val="008A5979"/>
    <w:rsid w:val="008A7D90"/>
    <w:rsid w:val="008B6185"/>
    <w:rsid w:val="008C0AEA"/>
    <w:rsid w:val="008C4303"/>
    <w:rsid w:val="008D5C64"/>
    <w:rsid w:val="008D5E45"/>
    <w:rsid w:val="008D70AD"/>
    <w:rsid w:val="008E0B3E"/>
    <w:rsid w:val="008E2CE3"/>
    <w:rsid w:val="008E3096"/>
    <w:rsid w:val="008E3C43"/>
    <w:rsid w:val="008E7F18"/>
    <w:rsid w:val="008F1792"/>
    <w:rsid w:val="008F242F"/>
    <w:rsid w:val="00910E9A"/>
    <w:rsid w:val="0091159B"/>
    <w:rsid w:val="00911E9C"/>
    <w:rsid w:val="009129DF"/>
    <w:rsid w:val="009215D1"/>
    <w:rsid w:val="009303AF"/>
    <w:rsid w:val="00930EF6"/>
    <w:rsid w:val="00942C8E"/>
    <w:rsid w:val="00942D8A"/>
    <w:rsid w:val="00943839"/>
    <w:rsid w:val="00943F0E"/>
    <w:rsid w:val="00943F9D"/>
    <w:rsid w:val="009502B1"/>
    <w:rsid w:val="009572B2"/>
    <w:rsid w:val="009573E8"/>
    <w:rsid w:val="00965699"/>
    <w:rsid w:val="00966212"/>
    <w:rsid w:val="00970250"/>
    <w:rsid w:val="00971E47"/>
    <w:rsid w:val="0097724A"/>
    <w:rsid w:val="0097754D"/>
    <w:rsid w:val="00982890"/>
    <w:rsid w:val="00984BB0"/>
    <w:rsid w:val="00992FB2"/>
    <w:rsid w:val="00995781"/>
    <w:rsid w:val="00996599"/>
    <w:rsid w:val="009A03AB"/>
    <w:rsid w:val="009A2234"/>
    <w:rsid w:val="009B42B0"/>
    <w:rsid w:val="009B4780"/>
    <w:rsid w:val="009B50AB"/>
    <w:rsid w:val="009C16FE"/>
    <w:rsid w:val="009C522C"/>
    <w:rsid w:val="009C52FC"/>
    <w:rsid w:val="009D0277"/>
    <w:rsid w:val="009D44B4"/>
    <w:rsid w:val="009D51BD"/>
    <w:rsid w:val="009D7DDC"/>
    <w:rsid w:val="009E2703"/>
    <w:rsid w:val="009E7AEE"/>
    <w:rsid w:val="009F50E2"/>
    <w:rsid w:val="009F788E"/>
    <w:rsid w:val="00A05C23"/>
    <w:rsid w:val="00A10ABB"/>
    <w:rsid w:val="00A1123A"/>
    <w:rsid w:val="00A166EC"/>
    <w:rsid w:val="00A21911"/>
    <w:rsid w:val="00A24312"/>
    <w:rsid w:val="00A318A8"/>
    <w:rsid w:val="00A3504A"/>
    <w:rsid w:val="00A36480"/>
    <w:rsid w:val="00A36A1F"/>
    <w:rsid w:val="00A370FF"/>
    <w:rsid w:val="00A40C51"/>
    <w:rsid w:val="00A417CF"/>
    <w:rsid w:val="00A53F64"/>
    <w:rsid w:val="00A54E77"/>
    <w:rsid w:val="00A61F5B"/>
    <w:rsid w:val="00A63708"/>
    <w:rsid w:val="00A76D59"/>
    <w:rsid w:val="00A8179D"/>
    <w:rsid w:val="00A823B5"/>
    <w:rsid w:val="00A82E29"/>
    <w:rsid w:val="00A851E5"/>
    <w:rsid w:val="00A92057"/>
    <w:rsid w:val="00A92A09"/>
    <w:rsid w:val="00A93B67"/>
    <w:rsid w:val="00A951B5"/>
    <w:rsid w:val="00AB0068"/>
    <w:rsid w:val="00AB0DCE"/>
    <w:rsid w:val="00AB1753"/>
    <w:rsid w:val="00AB193F"/>
    <w:rsid w:val="00AC0291"/>
    <w:rsid w:val="00AC126A"/>
    <w:rsid w:val="00AC3F8A"/>
    <w:rsid w:val="00AC725A"/>
    <w:rsid w:val="00AC7FDD"/>
    <w:rsid w:val="00AD20EC"/>
    <w:rsid w:val="00AD3C2C"/>
    <w:rsid w:val="00AD5EA8"/>
    <w:rsid w:val="00AD7946"/>
    <w:rsid w:val="00AD7C5F"/>
    <w:rsid w:val="00AF5735"/>
    <w:rsid w:val="00B05C84"/>
    <w:rsid w:val="00B05F36"/>
    <w:rsid w:val="00B16B8D"/>
    <w:rsid w:val="00B37E24"/>
    <w:rsid w:val="00B42CB6"/>
    <w:rsid w:val="00B43DE6"/>
    <w:rsid w:val="00B46252"/>
    <w:rsid w:val="00B47853"/>
    <w:rsid w:val="00B505D8"/>
    <w:rsid w:val="00B50E14"/>
    <w:rsid w:val="00B5137B"/>
    <w:rsid w:val="00B53079"/>
    <w:rsid w:val="00B55573"/>
    <w:rsid w:val="00B5571A"/>
    <w:rsid w:val="00B560AD"/>
    <w:rsid w:val="00B57EC5"/>
    <w:rsid w:val="00B615D3"/>
    <w:rsid w:val="00B62C1F"/>
    <w:rsid w:val="00B62F29"/>
    <w:rsid w:val="00B6385E"/>
    <w:rsid w:val="00B65273"/>
    <w:rsid w:val="00B66944"/>
    <w:rsid w:val="00B67C40"/>
    <w:rsid w:val="00B7278F"/>
    <w:rsid w:val="00B74586"/>
    <w:rsid w:val="00B802B3"/>
    <w:rsid w:val="00B81567"/>
    <w:rsid w:val="00B824CC"/>
    <w:rsid w:val="00B8315A"/>
    <w:rsid w:val="00B84A9E"/>
    <w:rsid w:val="00B953E6"/>
    <w:rsid w:val="00B95D3F"/>
    <w:rsid w:val="00B971D4"/>
    <w:rsid w:val="00BA3560"/>
    <w:rsid w:val="00BA45D0"/>
    <w:rsid w:val="00BA7F90"/>
    <w:rsid w:val="00BB28B1"/>
    <w:rsid w:val="00BB5AE4"/>
    <w:rsid w:val="00BC1B93"/>
    <w:rsid w:val="00BC4143"/>
    <w:rsid w:val="00BC5F96"/>
    <w:rsid w:val="00BC5FA6"/>
    <w:rsid w:val="00BD2B89"/>
    <w:rsid w:val="00BD58D0"/>
    <w:rsid w:val="00BE1C34"/>
    <w:rsid w:val="00BE1F72"/>
    <w:rsid w:val="00BE234D"/>
    <w:rsid w:val="00BF146E"/>
    <w:rsid w:val="00BF15E5"/>
    <w:rsid w:val="00BF7225"/>
    <w:rsid w:val="00BF7522"/>
    <w:rsid w:val="00C01189"/>
    <w:rsid w:val="00C01C3D"/>
    <w:rsid w:val="00C14AAC"/>
    <w:rsid w:val="00C16563"/>
    <w:rsid w:val="00C16B1D"/>
    <w:rsid w:val="00C17A5C"/>
    <w:rsid w:val="00C2255B"/>
    <w:rsid w:val="00C25B00"/>
    <w:rsid w:val="00C27C48"/>
    <w:rsid w:val="00C31893"/>
    <w:rsid w:val="00C32512"/>
    <w:rsid w:val="00C35021"/>
    <w:rsid w:val="00C436D4"/>
    <w:rsid w:val="00C43834"/>
    <w:rsid w:val="00C43BE0"/>
    <w:rsid w:val="00C45295"/>
    <w:rsid w:val="00C45697"/>
    <w:rsid w:val="00C45A7C"/>
    <w:rsid w:val="00C469AF"/>
    <w:rsid w:val="00C47966"/>
    <w:rsid w:val="00C525C1"/>
    <w:rsid w:val="00C533E2"/>
    <w:rsid w:val="00C56029"/>
    <w:rsid w:val="00C57673"/>
    <w:rsid w:val="00C57E63"/>
    <w:rsid w:val="00C630D6"/>
    <w:rsid w:val="00C64D3A"/>
    <w:rsid w:val="00C64F4C"/>
    <w:rsid w:val="00C67934"/>
    <w:rsid w:val="00C75075"/>
    <w:rsid w:val="00C75939"/>
    <w:rsid w:val="00C76142"/>
    <w:rsid w:val="00C86BE7"/>
    <w:rsid w:val="00C933E8"/>
    <w:rsid w:val="00C939DD"/>
    <w:rsid w:val="00CA0BA1"/>
    <w:rsid w:val="00CB053B"/>
    <w:rsid w:val="00CC12BE"/>
    <w:rsid w:val="00CC3BC8"/>
    <w:rsid w:val="00CC5E76"/>
    <w:rsid w:val="00CD2BE1"/>
    <w:rsid w:val="00CD59E4"/>
    <w:rsid w:val="00CD6DDB"/>
    <w:rsid w:val="00CD7539"/>
    <w:rsid w:val="00CE0B95"/>
    <w:rsid w:val="00CE0CF6"/>
    <w:rsid w:val="00CE16E3"/>
    <w:rsid w:val="00CE49C4"/>
    <w:rsid w:val="00CE5652"/>
    <w:rsid w:val="00CE5CFA"/>
    <w:rsid w:val="00CE6C46"/>
    <w:rsid w:val="00CF2916"/>
    <w:rsid w:val="00CF3C98"/>
    <w:rsid w:val="00D0123A"/>
    <w:rsid w:val="00D02018"/>
    <w:rsid w:val="00D02240"/>
    <w:rsid w:val="00D057B8"/>
    <w:rsid w:val="00D05E66"/>
    <w:rsid w:val="00D11549"/>
    <w:rsid w:val="00D1348C"/>
    <w:rsid w:val="00D161F4"/>
    <w:rsid w:val="00D330F8"/>
    <w:rsid w:val="00D33F3A"/>
    <w:rsid w:val="00D403D0"/>
    <w:rsid w:val="00D41C2B"/>
    <w:rsid w:val="00D476FD"/>
    <w:rsid w:val="00D50861"/>
    <w:rsid w:val="00D51F9E"/>
    <w:rsid w:val="00D52C77"/>
    <w:rsid w:val="00D5678B"/>
    <w:rsid w:val="00D60AD0"/>
    <w:rsid w:val="00D65293"/>
    <w:rsid w:val="00D717DA"/>
    <w:rsid w:val="00D72111"/>
    <w:rsid w:val="00D74EBA"/>
    <w:rsid w:val="00D75810"/>
    <w:rsid w:val="00D86500"/>
    <w:rsid w:val="00DA04CD"/>
    <w:rsid w:val="00DA385E"/>
    <w:rsid w:val="00DA5BDB"/>
    <w:rsid w:val="00DB0572"/>
    <w:rsid w:val="00DB16DD"/>
    <w:rsid w:val="00DB52F0"/>
    <w:rsid w:val="00DB6D05"/>
    <w:rsid w:val="00DB7308"/>
    <w:rsid w:val="00DC34E6"/>
    <w:rsid w:val="00DC45DF"/>
    <w:rsid w:val="00DC6E6E"/>
    <w:rsid w:val="00DC7C29"/>
    <w:rsid w:val="00DC7E7A"/>
    <w:rsid w:val="00DD0204"/>
    <w:rsid w:val="00DD346C"/>
    <w:rsid w:val="00DE0544"/>
    <w:rsid w:val="00DE0854"/>
    <w:rsid w:val="00DE0A43"/>
    <w:rsid w:val="00DE365A"/>
    <w:rsid w:val="00DE7EA1"/>
    <w:rsid w:val="00DF1707"/>
    <w:rsid w:val="00DF1A46"/>
    <w:rsid w:val="00DF5EC8"/>
    <w:rsid w:val="00DF6FF4"/>
    <w:rsid w:val="00E026CF"/>
    <w:rsid w:val="00E11367"/>
    <w:rsid w:val="00E17BF0"/>
    <w:rsid w:val="00E232CB"/>
    <w:rsid w:val="00E25ABA"/>
    <w:rsid w:val="00E26BF8"/>
    <w:rsid w:val="00E26FCD"/>
    <w:rsid w:val="00E3076F"/>
    <w:rsid w:val="00E332D2"/>
    <w:rsid w:val="00E43C30"/>
    <w:rsid w:val="00E450C0"/>
    <w:rsid w:val="00E46774"/>
    <w:rsid w:val="00E47777"/>
    <w:rsid w:val="00E51CC4"/>
    <w:rsid w:val="00E53CB6"/>
    <w:rsid w:val="00E54A78"/>
    <w:rsid w:val="00E54F2E"/>
    <w:rsid w:val="00E61C32"/>
    <w:rsid w:val="00E6386C"/>
    <w:rsid w:val="00E655A3"/>
    <w:rsid w:val="00E67AEF"/>
    <w:rsid w:val="00E71AF3"/>
    <w:rsid w:val="00E72D3F"/>
    <w:rsid w:val="00E73957"/>
    <w:rsid w:val="00E77615"/>
    <w:rsid w:val="00E814FE"/>
    <w:rsid w:val="00E83953"/>
    <w:rsid w:val="00E84E56"/>
    <w:rsid w:val="00E8541C"/>
    <w:rsid w:val="00E90B42"/>
    <w:rsid w:val="00E90F8D"/>
    <w:rsid w:val="00E920C9"/>
    <w:rsid w:val="00E9398A"/>
    <w:rsid w:val="00EA3308"/>
    <w:rsid w:val="00EA5817"/>
    <w:rsid w:val="00EA6594"/>
    <w:rsid w:val="00EC35A8"/>
    <w:rsid w:val="00EC3F1B"/>
    <w:rsid w:val="00ED68A4"/>
    <w:rsid w:val="00ED68BC"/>
    <w:rsid w:val="00EE33AA"/>
    <w:rsid w:val="00EE3468"/>
    <w:rsid w:val="00EE52BF"/>
    <w:rsid w:val="00EF4023"/>
    <w:rsid w:val="00EF6FFC"/>
    <w:rsid w:val="00F02F17"/>
    <w:rsid w:val="00F06262"/>
    <w:rsid w:val="00F075A2"/>
    <w:rsid w:val="00F10D3E"/>
    <w:rsid w:val="00F232C2"/>
    <w:rsid w:val="00F23B89"/>
    <w:rsid w:val="00F317B9"/>
    <w:rsid w:val="00F4241C"/>
    <w:rsid w:val="00F43D9D"/>
    <w:rsid w:val="00F46204"/>
    <w:rsid w:val="00F477F9"/>
    <w:rsid w:val="00F50B17"/>
    <w:rsid w:val="00F54BA3"/>
    <w:rsid w:val="00F5516F"/>
    <w:rsid w:val="00F56173"/>
    <w:rsid w:val="00F57098"/>
    <w:rsid w:val="00F61AD2"/>
    <w:rsid w:val="00F62DCE"/>
    <w:rsid w:val="00F63C93"/>
    <w:rsid w:val="00F648C3"/>
    <w:rsid w:val="00F65360"/>
    <w:rsid w:val="00F70383"/>
    <w:rsid w:val="00F72FBE"/>
    <w:rsid w:val="00F75B29"/>
    <w:rsid w:val="00F80003"/>
    <w:rsid w:val="00F80B26"/>
    <w:rsid w:val="00F81616"/>
    <w:rsid w:val="00F84772"/>
    <w:rsid w:val="00F86207"/>
    <w:rsid w:val="00F97049"/>
    <w:rsid w:val="00FA0E6E"/>
    <w:rsid w:val="00FA1D07"/>
    <w:rsid w:val="00FA73B9"/>
    <w:rsid w:val="00FB171E"/>
    <w:rsid w:val="00FB2FD0"/>
    <w:rsid w:val="00FC3F04"/>
    <w:rsid w:val="00FD282A"/>
    <w:rsid w:val="00FD6CAA"/>
    <w:rsid w:val="00FE7046"/>
    <w:rsid w:val="00FE7A41"/>
    <w:rsid w:val="00FF15AC"/>
    <w:rsid w:val="00FF21D1"/>
    <w:rsid w:val="00FF3F15"/>
    <w:rsid w:val="00FF5F0F"/>
    <w:rsid w:val="00FF7DD3"/>
    <w:rsid w:val="01092E43"/>
    <w:rsid w:val="01562181"/>
    <w:rsid w:val="018840DD"/>
    <w:rsid w:val="02855F1B"/>
    <w:rsid w:val="03BF0F92"/>
    <w:rsid w:val="04715BC6"/>
    <w:rsid w:val="052C7B1C"/>
    <w:rsid w:val="05D83A93"/>
    <w:rsid w:val="07625DAD"/>
    <w:rsid w:val="082D7BC9"/>
    <w:rsid w:val="083C7AEE"/>
    <w:rsid w:val="0990506B"/>
    <w:rsid w:val="09F45650"/>
    <w:rsid w:val="0A78273B"/>
    <w:rsid w:val="0D085207"/>
    <w:rsid w:val="0D08631A"/>
    <w:rsid w:val="0E0D1489"/>
    <w:rsid w:val="0F3F16D7"/>
    <w:rsid w:val="10041D0D"/>
    <w:rsid w:val="10660D86"/>
    <w:rsid w:val="107D6C1D"/>
    <w:rsid w:val="11115E0C"/>
    <w:rsid w:val="12990546"/>
    <w:rsid w:val="1477561E"/>
    <w:rsid w:val="15DC3066"/>
    <w:rsid w:val="161F0A04"/>
    <w:rsid w:val="16FA3363"/>
    <w:rsid w:val="17D97371"/>
    <w:rsid w:val="17F51B4B"/>
    <w:rsid w:val="18D22A91"/>
    <w:rsid w:val="192D190E"/>
    <w:rsid w:val="1C8221FA"/>
    <w:rsid w:val="1D1739AB"/>
    <w:rsid w:val="1DC35A98"/>
    <w:rsid w:val="1F5A3284"/>
    <w:rsid w:val="200D0CA3"/>
    <w:rsid w:val="204C4971"/>
    <w:rsid w:val="21222F83"/>
    <w:rsid w:val="22EC4658"/>
    <w:rsid w:val="233859E5"/>
    <w:rsid w:val="24A82ED7"/>
    <w:rsid w:val="2577073E"/>
    <w:rsid w:val="26190AB2"/>
    <w:rsid w:val="264D60EA"/>
    <w:rsid w:val="26950EC2"/>
    <w:rsid w:val="26F92377"/>
    <w:rsid w:val="2718688A"/>
    <w:rsid w:val="271D1D19"/>
    <w:rsid w:val="2800289A"/>
    <w:rsid w:val="28441F9E"/>
    <w:rsid w:val="28A53FC5"/>
    <w:rsid w:val="2986589B"/>
    <w:rsid w:val="2AFE0F74"/>
    <w:rsid w:val="2B8601B1"/>
    <w:rsid w:val="2C5D6C30"/>
    <w:rsid w:val="2C7C1865"/>
    <w:rsid w:val="2C891469"/>
    <w:rsid w:val="2D512467"/>
    <w:rsid w:val="2D9737C6"/>
    <w:rsid w:val="2DE04159"/>
    <w:rsid w:val="2DFF781A"/>
    <w:rsid w:val="2E5D3088"/>
    <w:rsid w:val="2E74318E"/>
    <w:rsid w:val="2F787934"/>
    <w:rsid w:val="2F7931BD"/>
    <w:rsid w:val="31767F76"/>
    <w:rsid w:val="323F05A8"/>
    <w:rsid w:val="32A2146E"/>
    <w:rsid w:val="33C33478"/>
    <w:rsid w:val="356A72DC"/>
    <w:rsid w:val="35C12624"/>
    <w:rsid w:val="35CA39A8"/>
    <w:rsid w:val="360F5597"/>
    <w:rsid w:val="36DF7741"/>
    <w:rsid w:val="37621FD4"/>
    <w:rsid w:val="3919713F"/>
    <w:rsid w:val="39C75357"/>
    <w:rsid w:val="3A875F10"/>
    <w:rsid w:val="3AE02E34"/>
    <w:rsid w:val="3BED2ADE"/>
    <w:rsid w:val="3D104B16"/>
    <w:rsid w:val="3DC92189"/>
    <w:rsid w:val="3ED37AFC"/>
    <w:rsid w:val="3EE1519C"/>
    <w:rsid w:val="3F3A064A"/>
    <w:rsid w:val="3F6A4EB8"/>
    <w:rsid w:val="405672D8"/>
    <w:rsid w:val="40BB265E"/>
    <w:rsid w:val="41491C23"/>
    <w:rsid w:val="427C6C46"/>
    <w:rsid w:val="43F44459"/>
    <w:rsid w:val="440F7160"/>
    <w:rsid w:val="44A607AE"/>
    <w:rsid w:val="44CB2CF0"/>
    <w:rsid w:val="44CC5A01"/>
    <w:rsid w:val="45500A5C"/>
    <w:rsid w:val="45644985"/>
    <w:rsid w:val="460E22E8"/>
    <w:rsid w:val="46161889"/>
    <w:rsid w:val="46A45C75"/>
    <w:rsid w:val="471F262E"/>
    <w:rsid w:val="488F2A4B"/>
    <w:rsid w:val="48C12AEC"/>
    <w:rsid w:val="49C23FB5"/>
    <w:rsid w:val="4A9C6E04"/>
    <w:rsid w:val="4AC44647"/>
    <w:rsid w:val="4BC73CC1"/>
    <w:rsid w:val="4CCA11C5"/>
    <w:rsid w:val="4D2A4344"/>
    <w:rsid w:val="4E361ACE"/>
    <w:rsid w:val="4E757915"/>
    <w:rsid w:val="4EA41B7C"/>
    <w:rsid w:val="4EC67819"/>
    <w:rsid w:val="4EFE52D8"/>
    <w:rsid w:val="504B5DAC"/>
    <w:rsid w:val="51380B44"/>
    <w:rsid w:val="52212D7A"/>
    <w:rsid w:val="52863A53"/>
    <w:rsid w:val="5373373A"/>
    <w:rsid w:val="53943405"/>
    <w:rsid w:val="53A97E6B"/>
    <w:rsid w:val="53F25E36"/>
    <w:rsid w:val="54C31280"/>
    <w:rsid w:val="55846967"/>
    <w:rsid w:val="560E2226"/>
    <w:rsid w:val="56874FFF"/>
    <w:rsid w:val="5738678B"/>
    <w:rsid w:val="57747608"/>
    <w:rsid w:val="579851B4"/>
    <w:rsid w:val="587742CD"/>
    <w:rsid w:val="59CC26EC"/>
    <w:rsid w:val="5AA05E1D"/>
    <w:rsid w:val="5F7D492F"/>
    <w:rsid w:val="60377D1B"/>
    <w:rsid w:val="605F743D"/>
    <w:rsid w:val="60D37E8C"/>
    <w:rsid w:val="61763262"/>
    <w:rsid w:val="62342C2C"/>
    <w:rsid w:val="6317037E"/>
    <w:rsid w:val="632869CE"/>
    <w:rsid w:val="642D6045"/>
    <w:rsid w:val="64BA3922"/>
    <w:rsid w:val="66810096"/>
    <w:rsid w:val="67DD25C5"/>
    <w:rsid w:val="686E3183"/>
    <w:rsid w:val="68E456A2"/>
    <w:rsid w:val="690547FF"/>
    <w:rsid w:val="694B0B83"/>
    <w:rsid w:val="69D367F4"/>
    <w:rsid w:val="6A284CC5"/>
    <w:rsid w:val="6AE72590"/>
    <w:rsid w:val="6B0F06EA"/>
    <w:rsid w:val="6BA46451"/>
    <w:rsid w:val="6C6A1CE4"/>
    <w:rsid w:val="6D4E3707"/>
    <w:rsid w:val="6FF10461"/>
    <w:rsid w:val="6FF867DE"/>
    <w:rsid w:val="70700140"/>
    <w:rsid w:val="709B5CCA"/>
    <w:rsid w:val="710D3D59"/>
    <w:rsid w:val="71D54720"/>
    <w:rsid w:val="71ED4919"/>
    <w:rsid w:val="72264EB2"/>
    <w:rsid w:val="724A0B18"/>
    <w:rsid w:val="75666D62"/>
    <w:rsid w:val="7568340A"/>
    <w:rsid w:val="75B85DA8"/>
    <w:rsid w:val="761902FB"/>
    <w:rsid w:val="76DB74C3"/>
    <w:rsid w:val="774833AA"/>
    <w:rsid w:val="78FE4314"/>
    <w:rsid w:val="7ACA30F5"/>
    <w:rsid w:val="7ADA0BCD"/>
    <w:rsid w:val="7BBA6B93"/>
    <w:rsid w:val="7D412A8D"/>
    <w:rsid w:val="7E7E41B2"/>
    <w:rsid w:val="7ECB2EFD"/>
    <w:rsid w:val="7F732D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5">
    <w:name w:val="heading 5"/>
    <w:basedOn w:val="a"/>
    <w:next w:val="a"/>
    <w:qFormat/>
    <w:pPr>
      <w:spacing w:before="100" w:beforeAutospacing="1" w:after="100" w:afterAutospacing="1"/>
      <w:jc w:val="left"/>
      <w:outlineLvl w:val="4"/>
    </w:pPr>
    <w:rPr>
      <w:rFonts w:ascii="宋体" w:hAnsi="宋体" w:hint="eastAsia"/>
      <w:b/>
      <w:bCs/>
      <w:kern w:val="0"/>
      <w:sz w:val="20"/>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snapToGrid w:val="0"/>
      <w:spacing w:line="360" w:lineRule="auto"/>
      <w:ind w:firstLine="420"/>
    </w:pPr>
    <w:rPr>
      <w:sz w:val="28"/>
      <w:szCs w:val="20"/>
    </w:rPr>
  </w:style>
  <w:style w:type="paragraph" w:styleId="a4">
    <w:name w:val="annotation text"/>
    <w:basedOn w:val="a"/>
    <w:link w:val="Char"/>
    <w:pPr>
      <w:jc w:val="left"/>
    </w:pPr>
  </w:style>
  <w:style w:type="character" w:customStyle="1" w:styleId="Char">
    <w:name w:val="批注文字 Char"/>
    <w:link w:val="a4"/>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widowControl/>
      <w:spacing w:before="100" w:beforeAutospacing="1" w:after="100" w:afterAutospacing="1" w:line="270" w:lineRule="atLeast"/>
      <w:jc w:val="left"/>
    </w:pPr>
    <w:rPr>
      <w:rFonts w:ascii="Arial" w:hAnsi="Arial" w:cs="Arial"/>
      <w:color w:val="5E5E5E"/>
      <w:kern w:val="0"/>
      <w:sz w:val="18"/>
      <w:szCs w:val="18"/>
    </w:rPr>
  </w:style>
  <w:style w:type="paragraph" w:styleId="a9">
    <w:name w:val="annotation subject"/>
    <w:basedOn w:val="a4"/>
    <w:next w:val="a4"/>
    <w:link w:val="Char0"/>
    <w:rPr>
      <w:b/>
      <w:bCs/>
    </w:rPr>
  </w:style>
  <w:style w:type="character" w:customStyle="1" w:styleId="Char0">
    <w:name w:val="批注主题 Char"/>
    <w:link w:val="a9"/>
    <w:rPr>
      <w:b/>
      <w:bCs/>
      <w:kern w:val="2"/>
      <w:sz w:val="21"/>
      <w:szCs w:val="24"/>
    </w:rPr>
  </w:style>
  <w:style w:type="table" w:styleId="a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Pr>
      <w:b/>
      <w:bCs/>
    </w:rPr>
  </w:style>
  <w:style w:type="character" w:styleId="ac">
    <w:name w:val="page number"/>
  </w:style>
  <w:style w:type="character" w:styleId="ad">
    <w:name w:val="Hyperlink"/>
    <w:rPr>
      <w:color w:val="0000FF"/>
      <w:u w:val="single"/>
    </w:rPr>
  </w:style>
  <w:style w:type="character" w:styleId="ae">
    <w:name w:val="annotation reference"/>
    <w:rPr>
      <w:sz w:val="21"/>
      <w:szCs w:val="21"/>
    </w:rPr>
  </w:style>
  <w:style w:type="paragraph" w:customStyle="1" w:styleId="080318">
    <w:name w:val="产品方案正文080318"/>
    <w:basedOn w:val="a"/>
    <w:pPr>
      <w:autoSpaceDE w:val="0"/>
      <w:autoSpaceDN w:val="0"/>
      <w:adjustRightInd w:val="0"/>
      <w:snapToGrid w:val="0"/>
      <w:spacing w:line="360" w:lineRule="auto"/>
      <w:ind w:firstLineChars="200" w:firstLine="200"/>
    </w:pPr>
    <w:rPr>
      <w:rFonts w:ascii="宋体"/>
      <w:szCs w:val="20"/>
      <w:lang w:val="zh-CN"/>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1798</Characters>
  <Application>Microsoft Office Word</Application>
  <DocSecurity>4</DocSecurity>
  <Lines>14</Lines>
  <Paragraphs>4</Paragraphs>
  <ScaleCrop>false</ScaleCrop>
  <Company>Microsoft</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lism</dc:creator>
  <cp:keywords/>
  <cp:lastModifiedBy>ZHONGM</cp:lastModifiedBy>
  <cp:revision>2</cp:revision>
  <cp:lastPrinted>2021-10-28T09:29:00Z</cp:lastPrinted>
  <dcterms:created xsi:type="dcterms:W3CDTF">2025-05-28T16:01:00Z</dcterms:created>
  <dcterms:modified xsi:type="dcterms:W3CDTF">2025-05-28T16:01:00Z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20E19A4E25584A5BBC285A108153929B</vt:lpwstr>
  </property>
</Properties>
</file>