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682" w:rsidRDefault="003D32D0" w:rsidP="003D32D0">
      <w:pPr>
        <w:jc w:val="center"/>
        <w:rPr>
          <w:rFonts w:hAnsi="宋体"/>
          <w:b/>
          <w:sz w:val="48"/>
          <w:szCs w:val="48"/>
        </w:rPr>
      </w:pPr>
      <w:r w:rsidRPr="00652304">
        <w:rPr>
          <w:rFonts w:hAnsi="宋体"/>
          <w:b/>
          <w:sz w:val="48"/>
          <w:szCs w:val="48"/>
        </w:rPr>
        <w:t>兴华安裕利率债债券型证券投资基金暂停大额申购、转换转入、定期定额投资</w:t>
      </w:r>
    </w:p>
    <w:p w:rsidR="003D32D0" w:rsidRDefault="003D32D0" w:rsidP="003D32D0">
      <w:pPr>
        <w:jc w:val="center"/>
        <w:rPr>
          <w:rFonts w:hAnsi="宋体"/>
          <w:b/>
          <w:sz w:val="48"/>
          <w:szCs w:val="48"/>
        </w:rPr>
      </w:pPr>
      <w:r w:rsidRPr="00652304">
        <w:rPr>
          <w:rFonts w:hAnsi="宋体"/>
          <w:b/>
          <w:sz w:val="48"/>
          <w:szCs w:val="48"/>
        </w:rPr>
        <w:t>业务的公告</w:t>
      </w:r>
    </w:p>
    <w:p w:rsidR="0028618B" w:rsidRPr="00FE5DC5" w:rsidRDefault="0028618B" w:rsidP="0028618B">
      <w:pPr>
        <w:spacing w:line="720" w:lineRule="auto"/>
        <w:jc w:val="center"/>
        <w:rPr>
          <w:rFonts w:hAnsi="宋体"/>
          <w:b/>
          <w:sz w:val="28"/>
          <w:szCs w:val="28"/>
        </w:rPr>
      </w:pPr>
      <w:bookmarkStart w:id="0" w:name="m_1"/>
      <w:r w:rsidRPr="00FE5DC5">
        <w:rPr>
          <w:rFonts w:hAnsi="宋体"/>
          <w:b/>
          <w:sz w:val="28"/>
          <w:szCs w:val="28"/>
        </w:rPr>
        <w:t>公告送出日期：</w:t>
      </w:r>
      <w:r>
        <w:rPr>
          <w:rFonts w:hAnsi="宋体"/>
          <w:b/>
          <w:sz w:val="28"/>
          <w:szCs w:val="28"/>
        </w:rPr>
        <w:t>2025年</w:t>
      </w:r>
      <w:r w:rsidR="00B6615E">
        <w:rPr>
          <w:rFonts w:hAnsi="宋体" w:hint="eastAsia"/>
          <w:b/>
          <w:sz w:val="28"/>
          <w:szCs w:val="28"/>
        </w:rPr>
        <w:t>5</w:t>
      </w:r>
      <w:r>
        <w:rPr>
          <w:rFonts w:hAnsi="宋体"/>
          <w:b/>
          <w:sz w:val="28"/>
          <w:szCs w:val="28"/>
        </w:rPr>
        <w:t>月2</w:t>
      </w:r>
      <w:r w:rsidR="00B6615E">
        <w:rPr>
          <w:rFonts w:hAnsi="宋体" w:hint="eastAsia"/>
          <w:b/>
          <w:sz w:val="28"/>
          <w:szCs w:val="28"/>
        </w:rPr>
        <w:t>9</w:t>
      </w:r>
      <w:r>
        <w:rPr>
          <w:rFonts w:hAnsi="宋体"/>
          <w:b/>
          <w:sz w:val="28"/>
          <w:szCs w:val="28"/>
        </w:rPr>
        <w:t>日</w:t>
      </w:r>
      <w:bookmarkEnd w:id="0"/>
    </w:p>
    <w:p w:rsidR="00DA2749" w:rsidRDefault="00426411" w:rsidP="00AC607B">
      <w:pPr>
        <w:pStyle w:val="1"/>
        <w:spacing w:before="156" w:after="156"/>
      </w:pPr>
      <w:r>
        <w:rPr>
          <w:rFonts w:hint="eastAsia"/>
        </w:rPr>
        <w:t>公告基本信息</w:t>
      </w:r>
    </w:p>
    <w:tbl>
      <w:tblPr>
        <w:tblStyle w:val="aa"/>
        <w:tblW w:w="9072" w:type="dxa"/>
        <w:jc w:val="center"/>
        <w:tblLook w:val="04A0"/>
      </w:tblPr>
      <w:tblGrid>
        <w:gridCol w:w="1172"/>
        <w:gridCol w:w="3168"/>
        <w:gridCol w:w="4732"/>
      </w:tblGrid>
      <w:tr w:rsidR="00CA5203" w:rsidTr="00117CAA">
        <w:trPr>
          <w:jc w:val="center"/>
        </w:trPr>
        <w:tc>
          <w:tcPr>
            <w:tcW w:w="4340" w:type="dxa"/>
            <w:gridSpan w:val="2"/>
            <w:tcMar>
              <w:left w:w="85" w:type="dxa"/>
              <w:right w:w="85" w:type="dxa"/>
            </w:tcMar>
            <w:vAlign w:val="center"/>
          </w:tcPr>
          <w:p w:rsidR="00CA5203" w:rsidRPr="00DF5907" w:rsidRDefault="00CA5203" w:rsidP="00CA5203">
            <w:r w:rsidRPr="00DF5907">
              <w:rPr>
                <w:rFonts w:hint="eastAsia"/>
              </w:rPr>
              <w:t>基金名称</w:t>
            </w:r>
          </w:p>
        </w:tc>
        <w:tc>
          <w:tcPr>
            <w:tcW w:w="4732" w:type="dxa"/>
            <w:tcMar>
              <w:left w:w="85" w:type="dxa"/>
              <w:right w:w="85" w:type="dxa"/>
            </w:tcMar>
            <w:vAlign w:val="center"/>
          </w:tcPr>
          <w:p w:rsidR="00CA5203" w:rsidRPr="0080708F" w:rsidRDefault="00CA5203" w:rsidP="00CA5203">
            <w:r w:rsidRPr="0080708F">
              <w:rPr>
                <w:rFonts w:hint="eastAsia"/>
              </w:rPr>
              <w:t>兴华安裕利率债债券型证券投资基金</w:t>
            </w:r>
          </w:p>
        </w:tc>
      </w:tr>
      <w:tr w:rsidR="00CA5203" w:rsidTr="00117CAA">
        <w:trPr>
          <w:jc w:val="center"/>
        </w:trPr>
        <w:tc>
          <w:tcPr>
            <w:tcW w:w="4340" w:type="dxa"/>
            <w:gridSpan w:val="2"/>
            <w:tcMar>
              <w:left w:w="85" w:type="dxa"/>
              <w:right w:w="85" w:type="dxa"/>
            </w:tcMar>
            <w:vAlign w:val="center"/>
          </w:tcPr>
          <w:p w:rsidR="00CA5203" w:rsidRPr="00DF5907" w:rsidRDefault="00CA5203" w:rsidP="00CA5203">
            <w:r w:rsidRPr="00DF5907">
              <w:rPr>
                <w:rFonts w:hint="eastAsia"/>
              </w:rPr>
              <w:t>基金简称</w:t>
            </w:r>
          </w:p>
        </w:tc>
        <w:tc>
          <w:tcPr>
            <w:tcW w:w="4732" w:type="dxa"/>
            <w:tcMar>
              <w:left w:w="85" w:type="dxa"/>
              <w:right w:w="85" w:type="dxa"/>
            </w:tcMar>
            <w:vAlign w:val="center"/>
          </w:tcPr>
          <w:p w:rsidR="00CA5203" w:rsidRPr="0080708F" w:rsidRDefault="00CA5203" w:rsidP="00CA5203">
            <w:r w:rsidRPr="0080708F">
              <w:rPr>
                <w:rFonts w:hint="eastAsia"/>
              </w:rPr>
              <w:t>兴华安裕利率债</w:t>
            </w:r>
          </w:p>
        </w:tc>
      </w:tr>
      <w:tr w:rsidR="00CA5203" w:rsidTr="00117CAA">
        <w:trPr>
          <w:jc w:val="center"/>
        </w:trPr>
        <w:tc>
          <w:tcPr>
            <w:tcW w:w="4340" w:type="dxa"/>
            <w:gridSpan w:val="2"/>
            <w:tcMar>
              <w:left w:w="85" w:type="dxa"/>
              <w:right w:w="85" w:type="dxa"/>
            </w:tcMar>
            <w:vAlign w:val="center"/>
          </w:tcPr>
          <w:p w:rsidR="00CA5203" w:rsidRPr="00DF5907" w:rsidRDefault="00CA5203" w:rsidP="00CA5203">
            <w:r w:rsidRPr="00DF5907">
              <w:rPr>
                <w:rFonts w:hint="eastAsia"/>
              </w:rPr>
              <w:t>基金主代码</w:t>
            </w:r>
          </w:p>
        </w:tc>
        <w:tc>
          <w:tcPr>
            <w:tcW w:w="4732" w:type="dxa"/>
            <w:tcMar>
              <w:left w:w="85" w:type="dxa"/>
              <w:right w:w="85" w:type="dxa"/>
            </w:tcMar>
            <w:vAlign w:val="center"/>
          </w:tcPr>
          <w:p w:rsidR="00CA5203" w:rsidRPr="0080708F" w:rsidRDefault="00CA5203" w:rsidP="00CA5203">
            <w:r w:rsidRPr="0080708F">
              <w:rPr>
                <w:rFonts w:hint="eastAsia"/>
              </w:rPr>
              <w:t>016658</w:t>
            </w:r>
          </w:p>
        </w:tc>
      </w:tr>
      <w:tr w:rsidR="00CA5203" w:rsidTr="00117CAA">
        <w:trPr>
          <w:jc w:val="center"/>
        </w:trPr>
        <w:tc>
          <w:tcPr>
            <w:tcW w:w="4340" w:type="dxa"/>
            <w:gridSpan w:val="2"/>
            <w:tcMar>
              <w:left w:w="85" w:type="dxa"/>
              <w:right w:w="85" w:type="dxa"/>
            </w:tcMar>
            <w:vAlign w:val="center"/>
          </w:tcPr>
          <w:p w:rsidR="00CA5203" w:rsidRPr="00DF5907" w:rsidRDefault="00CA5203" w:rsidP="00CA5203">
            <w:r w:rsidRPr="00DF5907">
              <w:rPr>
                <w:rFonts w:hint="eastAsia"/>
              </w:rPr>
              <w:t>基金管理人名称</w:t>
            </w:r>
          </w:p>
        </w:tc>
        <w:tc>
          <w:tcPr>
            <w:tcW w:w="4732" w:type="dxa"/>
            <w:tcMar>
              <w:left w:w="85" w:type="dxa"/>
              <w:right w:w="85" w:type="dxa"/>
            </w:tcMar>
            <w:vAlign w:val="center"/>
          </w:tcPr>
          <w:p w:rsidR="00CA5203" w:rsidRPr="0080708F" w:rsidRDefault="00CA5203" w:rsidP="00CA5203">
            <w:r w:rsidRPr="0080708F">
              <w:rPr>
                <w:rFonts w:hint="eastAsia"/>
              </w:rPr>
              <w:t>兴华基金管理有限公司</w:t>
            </w:r>
          </w:p>
        </w:tc>
      </w:tr>
      <w:tr w:rsidR="00CA5203" w:rsidTr="00117CAA">
        <w:trPr>
          <w:jc w:val="center"/>
        </w:trPr>
        <w:tc>
          <w:tcPr>
            <w:tcW w:w="4340" w:type="dxa"/>
            <w:gridSpan w:val="2"/>
            <w:tcMar>
              <w:left w:w="85" w:type="dxa"/>
              <w:right w:w="85" w:type="dxa"/>
            </w:tcMar>
            <w:vAlign w:val="center"/>
          </w:tcPr>
          <w:p w:rsidR="00CA5203" w:rsidRDefault="00CA5203" w:rsidP="00CA5203">
            <w:r w:rsidRPr="00DF5907">
              <w:rPr>
                <w:rFonts w:hint="eastAsia"/>
              </w:rPr>
              <w:t>公告依据</w:t>
            </w:r>
          </w:p>
        </w:tc>
        <w:tc>
          <w:tcPr>
            <w:tcW w:w="4732" w:type="dxa"/>
            <w:tcMar>
              <w:left w:w="85" w:type="dxa"/>
              <w:right w:w="85" w:type="dxa"/>
            </w:tcMar>
            <w:vAlign w:val="center"/>
          </w:tcPr>
          <w:p w:rsidR="00CA5203" w:rsidRDefault="00CA5203" w:rsidP="00CA5203">
            <w:r w:rsidRPr="0080708F">
              <w:rPr>
                <w:rFonts w:hint="eastAsia"/>
              </w:rPr>
              <w:t>根据《公开募集证券投资基金信息披露管理办法》《兴华安裕利率债债券型证券投资基金基金合同》和《兴华安裕利率债债券型证券投资基金招募说明书》</w:t>
            </w:r>
            <w:r w:rsidR="006854F6">
              <w:rPr>
                <w:rFonts w:hint="eastAsia"/>
              </w:rPr>
              <w:t>及其更新</w:t>
            </w:r>
            <w:r w:rsidRPr="0080708F">
              <w:rPr>
                <w:rFonts w:hint="eastAsia"/>
              </w:rPr>
              <w:t>的相关规定。</w:t>
            </w:r>
          </w:p>
        </w:tc>
      </w:tr>
      <w:tr w:rsidR="00117CAA" w:rsidTr="00117CAA">
        <w:trPr>
          <w:jc w:val="center"/>
        </w:trPr>
        <w:tc>
          <w:tcPr>
            <w:tcW w:w="1172" w:type="dxa"/>
            <w:vMerge w:val="restart"/>
            <w:tcMar>
              <w:left w:w="85" w:type="dxa"/>
              <w:right w:w="85" w:type="dxa"/>
            </w:tcMar>
            <w:vAlign w:val="center"/>
          </w:tcPr>
          <w:p w:rsidR="00117CAA" w:rsidRDefault="00117CAA" w:rsidP="00CA0D96">
            <w:pPr>
              <w:jc w:val="both"/>
            </w:pPr>
            <w:r w:rsidRPr="00CA5203">
              <w:rPr>
                <w:rFonts w:hint="eastAsia"/>
              </w:rPr>
              <w:t>暂停相关业务的起始日、金额及原因说明</w:t>
            </w:r>
          </w:p>
        </w:tc>
        <w:tc>
          <w:tcPr>
            <w:tcW w:w="3168" w:type="dxa"/>
            <w:tcMar>
              <w:left w:w="85" w:type="dxa"/>
              <w:right w:w="85" w:type="dxa"/>
            </w:tcMar>
            <w:vAlign w:val="center"/>
          </w:tcPr>
          <w:p w:rsidR="00117CAA" w:rsidRPr="00EB764E" w:rsidRDefault="00117CAA" w:rsidP="00CA5203">
            <w:r w:rsidRPr="00EB764E">
              <w:rPr>
                <w:rFonts w:hint="eastAsia"/>
              </w:rPr>
              <w:t>暂停大额申购起始日</w:t>
            </w:r>
          </w:p>
        </w:tc>
        <w:tc>
          <w:tcPr>
            <w:tcW w:w="4732" w:type="dxa"/>
            <w:tcMar>
              <w:left w:w="85" w:type="dxa"/>
              <w:right w:w="85" w:type="dxa"/>
            </w:tcMar>
            <w:vAlign w:val="center"/>
          </w:tcPr>
          <w:p w:rsidR="00117CAA" w:rsidRPr="00403B4B" w:rsidRDefault="00117CAA" w:rsidP="00CA5203">
            <w:r w:rsidRPr="00403B4B">
              <w:rPr>
                <w:rFonts w:hint="eastAsia"/>
              </w:rPr>
              <w:t>2025年</w:t>
            </w:r>
            <w:r w:rsidR="00B6615E">
              <w:rPr>
                <w:rFonts w:hint="eastAsia"/>
              </w:rPr>
              <w:t>5</w:t>
            </w:r>
            <w:r w:rsidRPr="00403B4B">
              <w:rPr>
                <w:rFonts w:hint="eastAsia"/>
              </w:rPr>
              <w:t>月</w:t>
            </w:r>
            <w:r w:rsidR="00B6615E">
              <w:rPr>
                <w:rFonts w:hint="eastAsia"/>
              </w:rPr>
              <w:t>29</w:t>
            </w:r>
            <w:r w:rsidRPr="00403B4B">
              <w:rPr>
                <w:rFonts w:hint="eastAsia"/>
              </w:rPr>
              <w:t>日</w:t>
            </w:r>
          </w:p>
        </w:tc>
      </w:tr>
      <w:tr w:rsidR="00117CAA" w:rsidTr="00117CAA">
        <w:trPr>
          <w:jc w:val="center"/>
        </w:trPr>
        <w:tc>
          <w:tcPr>
            <w:tcW w:w="1172" w:type="dxa"/>
            <w:vMerge/>
            <w:tcMar>
              <w:left w:w="85" w:type="dxa"/>
              <w:right w:w="85" w:type="dxa"/>
            </w:tcMar>
            <w:vAlign w:val="center"/>
          </w:tcPr>
          <w:p w:rsidR="00117CAA" w:rsidRDefault="00117CAA" w:rsidP="00CA5203"/>
        </w:tc>
        <w:tc>
          <w:tcPr>
            <w:tcW w:w="3168" w:type="dxa"/>
            <w:tcMar>
              <w:left w:w="85" w:type="dxa"/>
              <w:right w:w="85" w:type="dxa"/>
            </w:tcMar>
            <w:vAlign w:val="center"/>
          </w:tcPr>
          <w:p w:rsidR="00117CAA" w:rsidRPr="00EB764E" w:rsidRDefault="00117CAA" w:rsidP="00CA5203">
            <w:r w:rsidRPr="00EB764E">
              <w:rPr>
                <w:rFonts w:hint="eastAsia"/>
              </w:rPr>
              <w:t>暂停大额转换转入起始日</w:t>
            </w:r>
          </w:p>
        </w:tc>
        <w:tc>
          <w:tcPr>
            <w:tcW w:w="4732" w:type="dxa"/>
            <w:tcMar>
              <w:left w:w="85" w:type="dxa"/>
              <w:right w:w="85" w:type="dxa"/>
            </w:tcMar>
            <w:vAlign w:val="center"/>
          </w:tcPr>
          <w:p w:rsidR="00117CAA" w:rsidRPr="00403B4B" w:rsidRDefault="00117CAA" w:rsidP="00CA5203">
            <w:r w:rsidRPr="00403B4B">
              <w:rPr>
                <w:rFonts w:hint="eastAsia"/>
              </w:rPr>
              <w:t>2025年</w:t>
            </w:r>
            <w:r w:rsidR="00B6615E">
              <w:rPr>
                <w:rFonts w:hint="eastAsia"/>
              </w:rPr>
              <w:t>5</w:t>
            </w:r>
            <w:r w:rsidRPr="00403B4B">
              <w:rPr>
                <w:rFonts w:hint="eastAsia"/>
              </w:rPr>
              <w:t>月</w:t>
            </w:r>
            <w:r w:rsidR="00B6615E">
              <w:rPr>
                <w:rFonts w:hint="eastAsia"/>
              </w:rPr>
              <w:t>29</w:t>
            </w:r>
            <w:r w:rsidRPr="00403B4B">
              <w:rPr>
                <w:rFonts w:hint="eastAsia"/>
              </w:rPr>
              <w:t>日</w:t>
            </w:r>
          </w:p>
        </w:tc>
      </w:tr>
      <w:tr w:rsidR="00117CAA" w:rsidTr="00117CAA">
        <w:trPr>
          <w:jc w:val="center"/>
        </w:trPr>
        <w:tc>
          <w:tcPr>
            <w:tcW w:w="1172" w:type="dxa"/>
            <w:vMerge/>
            <w:tcMar>
              <w:left w:w="85" w:type="dxa"/>
              <w:right w:w="85" w:type="dxa"/>
            </w:tcMar>
            <w:vAlign w:val="center"/>
          </w:tcPr>
          <w:p w:rsidR="00117CAA" w:rsidRDefault="00117CAA" w:rsidP="00CA5203"/>
        </w:tc>
        <w:tc>
          <w:tcPr>
            <w:tcW w:w="3168" w:type="dxa"/>
            <w:tcMar>
              <w:left w:w="85" w:type="dxa"/>
              <w:right w:w="85" w:type="dxa"/>
            </w:tcMar>
            <w:vAlign w:val="center"/>
          </w:tcPr>
          <w:p w:rsidR="00117CAA" w:rsidRPr="00EB764E" w:rsidRDefault="00117CAA" w:rsidP="00CA5203">
            <w:r w:rsidRPr="00EB764E">
              <w:rPr>
                <w:rFonts w:hint="eastAsia"/>
              </w:rPr>
              <w:t>暂停定期定额投资起始日</w:t>
            </w:r>
          </w:p>
        </w:tc>
        <w:tc>
          <w:tcPr>
            <w:tcW w:w="4732" w:type="dxa"/>
            <w:tcMar>
              <w:left w:w="85" w:type="dxa"/>
              <w:right w:w="85" w:type="dxa"/>
            </w:tcMar>
            <w:vAlign w:val="center"/>
          </w:tcPr>
          <w:p w:rsidR="00117CAA" w:rsidRPr="00403B4B" w:rsidRDefault="00117CAA" w:rsidP="00CA5203">
            <w:r w:rsidRPr="00403B4B">
              <w:rPr>
                <w:rFonts w:hint="eastAsia"/>
              </w:rPr>
              <w:t>2025年</w:t>
            </w:r>
            <w:r w:rsidR="00B6615E">
              <w:rPr>
                <w:rFonts w:hint="eastAsia"/>
              </w:rPr>
              <w:t>5</w:t>
            </w:r>
            <w:r w:rsidRPr="00403B4B">
              <w:rPr>
                <w:rFonts w:hint="eastAsia"/>
              </w:rPr>
              <w:t>月</w:t>
            </w:r>
            <w:r w:rsidR="00B6615E">
              <w:rPr>
                <w:rFonts w:hint="eastAsia"/>
              </w:rPr>
              <w:t>29</w:t>
            </w:r>
            <w:r w:rsidRPr="00403B4B">
              <w:rPr>
                <w:rFonts w:hint="eastAsia"/>
              </w:rPr>
              <w:t>日</w:t>
            </w:r>
          </w:p>
        </w:tc>
      </w:tr>
      <w:tr w:rsidR="00117CAA" w:rsidTr="00117CAA">
        <w:trPr>
          <w:jc w:val="center"/>
        </w:trPr>
        <w:tc>
          <w:tcPr>
            <w:tcW w:w="1172" w:type="dxa"/>
            <w:vMerge/>
            <w:tcMar>
              <w:left w:w="85" w:type="dxa"/>
              <w:right w:w="85" w:type="dxa"/>
            </w:tcMar>
            <w:vAlign w:val="center"/>
          </w:tcPr>
          <w:p w:rsidR="00117CAA" w:rsidRDefault="00117CAA" w:rsidP="00CA5203"/>
        </w:tc>
        <w:tc>
          <w:tcPr>
            <w:tcW w:w="3168" w:type="dxa"/>
            <w:tcMar>
              <w:left w:w="85" w:type="dxa"/>
              <w:right w:w="85" w:type="dxa"/>
            </w:tcMar>
            <w:vAlign w:val="center"/>
          </w:tcPr>
          <w:p w:rsidR="00117CAA" w:rsidRPr="00EB764E" w:rsidRDefault="00117CAA" w:rsidP="00CA5203">
            <w:r w:rsidRPr="00EB764E">
              <w:rPr>
                <w:rFonts w:hint="eastAsia"/>
              </w:rPr>
              <w:t>限制申购金额（单位：人民币元）</w:t>
            </w:r>
          </w:p>
        </w:tc>
        <w:tc>
          <w:tcPr>
            <w:tcW w:w="4732" w:type="dxa"/>
            <w:tcMar>
              <w:left w:w="85" w:type="dxa"/>
              <w:right w:w="85" w:type="dxa"/>
            </w:tcMar>
            <w:vAlign w:val="center"/>
          </w:tcPr>
          <w:p w:rsidR="00117CAA" w:rsidRPr="00403B4B" w:rsidRDefault="00117CAA" w:rsidP="00CA5203">
            <w:r w:rsidRPr="000C7A08">
              <w:rPr>
                <w:rFonts w:hint="eastAsia"/>
              </w:rPr>
              <w:t>10,000,000.00</w:t>
            </w:r>
          </w:p>
        </w:tc>
      </w:tr>
      <w:tr w:rsidR="00117CAA" w:rsidTr="00117CAA">
        <w:trPr>
          <w:jc w:val="center"/>
        </w:trPr>
        <w:tc>
          <w:tcPr>
            <w:tcW w:w="1172" w:type="dxa"/>
            <w:vMerge/>
            <w:tcMar>
              <w:left w:w="85" w:type="dxa"/>
              <w:right w:w="85" w:type="dxa"/>
            </w:tcMar>
            <w:vAlign w:val="center"/>
          </w:tcPr>
          <w:p w:rsidR="00117CAA" w:rsidRDefault="00117CAA" w:rsidP="00CA5203"/>
        </w:tc>
        <w:tc>
          <w:tcPr>
            <w:tcW w:w="3168" w:type="dxa"/>
            <w:tcMar>
              <w:left w:w="85" w:type="dxa"/>
              <w:right w:w="85" w:type="dxa"/>
            </w:tcMar>
            <w:vAlign w:val="center"/>
          </w:tcPr>
          <w:p w:rsidR="00117CAA" w:rsidRPr="00EB764E" w:rsidRDefault="00117CAA" w:rsidP="00CA5203">
            <w:r w:rsidRPr="00EB764E">
              <w:rPr>
                <w:rFonts w:hint="eastAsia"/>
              </w:rPr>
              <w:t>限制转换转入金额（单位：人民币元）</w:t>
            </w:r>
          </w:p>
        </w:tc>
        <w:tc>
          <w:tcPr>
            <w:tcW w:w="4732" w:type="dxa"/>
            <w:tcMar>
              <w:left w:w="85" w:type="dxa"/>
              <w:right w:w="85" w:type="dxa"/>
            </w:tcMar>
            <w:vAlign w:val="center"/>
          </w:tcPr>
          <w:p w:rsidR="00117CAA" w:rsidRPr="00403B4B" w:rsidRDefault="00117CAA" w:rsidP="00CA5203">
            <w:r w:rsidRPr="000C7A08">
              <w:rPr>
                <w:rFonts w:hint="eastAsia"/>
              </w:rPr>
              <w:t>10,000,000.00</w:t>
            </w:r>
          </w:p>
        </w:tc>
      </w:tr>
      <w:tr w:rsidR="00117CAA" w:rsidTr="00117CAA">
        <w:trPr>
          <w:jc w:val="center"/>
        </w:trPr>
        <w:tc>
          <w:tcPr>
            <w:tcW w:w="1172" w:type="dxa"/>
            <w:vMerge/>
            <w:tcMar>
              <w:left w:w="85" w:type="dxa"/>
              <w:right w:w="85" w:type="dxa"/>
            </w:tcMar>
            <w:vAlign w:val="center"/>
          </w:tcPr>
          <w:p w:rsidR="00117CAA" w:rsidRDefault="00117CAA" w:rsidP="00CA5203"/>
        </w:tc>
        <w:tc>
          <w:tcPr>
            <w:tcW w:w="3168" w:type="dxa"/>
            <w:tcMar>
              <w:left w:w="85" w:type="dxa"/>
              <w:right w:w="85" w:type="dxa"/>
            </w:tcMar>
            <w:vAlign w:val="center"/>
          </w:tcPr>
          <w:p w:rsidR="00117CAA" w:rsidRPr="00EB764E" w:rsidRDefault="00117CAA" w:rsidP="00CA5203">
            <w:r w:rsidRPr="00EB764E">
              <w:rPr>
                <w:rFonts w:hint="eastAsia"/>
              </w:rPr>
              <w:t>限制定期定额投资金额（单位：人民币元）</w:t>
            </w:r>
          </w:p>
        </w:tc>
        <w:tc>
          <w:tcPr>
            <w:tcW w:w="4732" w:type="dxa"/>
            <w:tcMar>
              <w:left w:w="85" w:type="dxa"/>
              <w:right w:w="85" w:type="dxa"/>
            </w:tcMar>
            <w:vAlign w:val="center"/>
          </w:tcPr>
          <w:p w:rsidR="00117CAA" w:rsidRPr="00403B4B" w:rsidRDefault="00117CAA" w:rsidP="00CA5203">
            <w:r w:rsidRPr="000C7A08">
              <w:rPr>
                <w:rFonts w:hint="eastAsia"/>
              </w:rPr>
              <w:t>10,000,000.00</w:t>
            </w:r>
          </w:p>
        </w:tc>
      </w:tr>
      <w:tr w:rsidR="00117CAA" w:rsidTr="00117CAA">
        <w:trPr>
          <w:jc w:val="center"/>
        </w:trPr>
        <w:tc>
          <w:tcPr>
            <w:tcW w:w="1172" w:type="dxa"/>
            <w:vMerge/>
            <w:tcMar>
              <w:left w:w="85" w:type="dxa"/>
              <w:right w:w="85" w:type="dxa"/>
            </w:tcMar>
            <w:vAlign w:val="center"/>
          </w:tcPr>
          <w:p w:rsidR="00117CAA" w:rsidRDefault="00117CAA" w:rsidP="00CA5203"/>
        </w:tc>
        <w:tc>
          <w:tcPr>
            <w:tcW w:w="3168" w:type="dxa"/>
            <w:tcMar>
              <w:left w:w="85" w:type="dxa"/>
              <w:right w:w="85" w:type="dxa"/>
            </w:tcMar>
            <w:vAlign w:val="center"/>
          </w:tcPr>
          <w:p w:rsidR="00117CAA" w:rsidRPr="00EB764E" w:rsidRDefault="00117CAA" w:rsidP="00CA5203">
            <w:r w:rsidRPr="00EB764E">
              <w:rPr>
                <w:rFonts w:hint="eastAsia"/>
              </w:rPr>
              <w:t>暂停大额申购</w:t>
            </w:r>
            <w:r w:rsidR="006854F6">
              <w:rPr>
                <w:rFonts w:hint="eastAsia"/>
              </w:rPr>
              <w:t>、</w:t>
            </w:r>
            <w:r w:rsidRPr="00EB764E">
              <w:rPr>
                <w:rFonts w:hint="eastAsia"/>
              </w:rPr>
              <w:t>转换转入、定期定额投资的原因说明</w:t>
            </w:r>
          </w:p>
        </w:tc>
        <w:tc>
          <w:tcPr>
            <w:tcW w:w="4732" w:type="dxa"/>
            <w:tcMar>
              <w:left w:w="85" w:type="dxa"/>
              <w:right w:w="85" w:type="dxa"/>
            </w:tcMar>
            <w:vAlign w:val="center"/>
          </w:tcPr>
          <w:p w:rsidR="00117CAA" w:rsidRDefault="00117CAA" w:rsidP="00CA5203">
            <w:r w:rsidRPr="000C7A08">
              <w:rPr>
                <w:rFonts w:hint="eastAsia"/>
              </w:rPr>
              <w:t>为保护现有基金份额持有人利益，保障基金平稳运作。</w:t>
            </w:r>
          </w:p>
        </w:tc>
      </w:tr>
    </w:tbl>
    <w:tbl>
      <w:tblPr>
        <w:tblStyle w:val="aa"/>
        <w:tblpPr w:leftFromText="180" w:rightFromText="180" w:vertAnchor="text" w:tblpXSpec="center" w:tblpY="1"/>
        <w:tblOverlap w:val="never"/>
        <w:tblW w:w="9072" w:type="dxa"/>
        <w:jc w:val="center"/>
        <w:tblBorders>
          <w:top w:val="none" w:sz="0" w:space="0" w:color="auto"/>
        </w:tblBorders>
        <w:tblLayout w:type="fixed"/>
        <w:tblLook w:val="04A0"/>
      </w:tblPr>
      <w:tblGrid>
        <w:gridCol w:w="3948"/>
        <w:gridCol w:w="2562"/>
        <w:gridCol w:w="2562"/>
      </w:tblGrid>
      <w:tr w:rsidR="00117CAA" w:rsidTr="00117CAA">
        <w:trPr>
          <w:jc w:val="center"/>
        </w:trPr>
        <w:tc>
          <w:tcPr>
            <w:tcW w:w="3948" w:type="dxa"/>
            <w:tcMar>
              <w:left w:w="85" w:type="dxa"/>
              <w:right w:w="85" w:type="dxa"/>
            </w:tcMar>
            <w:vAlign w:val="center"/>
          </w:tcPr>
          <w:p w:rsidR="00281DD4" w:rsidRPr="00946FD3" w:rsidRDefault="00281DD4" w:rsidP="00281DD4">
            <w:r w:rsidRPr="00946FD3">
              <w:rPr>
                <w:rFonts w:hint="eastAsia"/>
              </w:rPr>
              <w:t>下属分类基金的基金简称</w:t>
            </w:r>
          </w:p>
        </w:tc>
        <w:tc>
          <w:tcPr>
            <w:tcW w:w="2562" w:type="dxa"/>
            <w:tcMar>
              <w:left w:w="85" w:type="dxa"/>
              <w:right w:w="85" w:type="dxa"/>
            </w:tcMar>
            <w:vAlign w:val="center"/>
          </w:tcPr>
          <w:p w:rsidR="00281DD4" w:rsidRPr="00690B12" w:rsidRDefault="00281DD4" w:rsidP="00281DD4">
            <w:r w:rsidRPr="00690B12">
              <w:rPr>
                <w:rFonts w:hint="eastAsia"/>
              </w:rPr>
              <w:t>兴华安裕利率债A</w:t>
            </w:r>
          </w:p>
        </w:tc>
        <w:tc>
          <w:tcPr>
            <w:tcW w:w="2562" w:type="dxa"/>
            <w:tcMar>
              <w:left w:w="85" w:type="dxa"/>
              <w:right w:w="85" w:type="dxa"/>
            </w:tcMar>
            <w:vAlign w:val="center"/>
          </w:tcPr>
          <w:p w:rsidR="00281DD4" w:rsidRPr="00690B12" w:rsidRDefault="00281DD4" w:rsidP="00281DD4">
            <w:r w:rsidRPr="00690B12">
              <w:rPr>
                <w:rFonts w:hint="eastAsia"/>
              </w:rPr>
              <w:t>兴华安裕利率债C</w:t>
            </w:r>
          </w:p>
        </w:tc>
      </w:tr>
      <w:tr w:rsidR="00117CAA" w:rsidTr="00117CAA">
        <w:trPr>
          <w:jc w:val="center"/>
        </w:trPr>
        <w:tc>
          <w:tcPr>
            <w:tcW w:w="3948" w:type="dxa"/>
            <w:tcMar>
              <w:left w:w="85" w:type="dxa"/>
              <w:right w:w="85" w:type="dxa"/>
            </w:tcMar>
            <w:vAlign w:val="center"/>
          </w:tcPr>
          <w:p w:rsidR="00281DD4" w:rsidRPr="00946FD3" w:rsidRDefault="00281DD4" w:rsidP="00281DD4">
            <w:r w:rsidRPr="00946FD3">
              <w:rPr>
                <w:rFonts w:hint="eastAsia"/>
              </w:rPr>
              <w:t>下属分类基金的交易代码</w:t>
            </w:r>
          </w:p>
        </w:tc>
        <w:tc>
          <w:tcPr>
            <w:tcW w:w="2562" w:type="dxa"/>
            <w:tcMar>
              <w:left w:w="85" w:type="dxa"/>
              <w:right w:w="85" w:type="dxa"/>
            </w:tcMar>
            <w:vAlign w:val="center"/>
          </w:tcPr>
          <w:p w:rsidR="00281DD4" w:rsidRPr="00690B12" w:rsidRDefault="00281DD4" w:rsidP="00281DD4">
            <w:r w:rsidRPr="00690B12">
              <w:rPr>
                <w:rFonts w:hint="eastAsia"/>
              </w:rPr>
              <w:t>016658</w:t>
            </w:r>
          </w:p>
        </w:tc>
        <w:tc>
          <w:tcPr>
            <w:tcW w:w="2562" w:type="dxa"/>
            <w:tcMar>
              <w:left w:w="85" w:type="dxa"/>
              <w:right w:w="85" w:type="dxa"/>
            </w:tcMar>
            <w:vAlign w:val="center"/>
          </w:tcPr>
          <w:p w:rsidR="00281DD4" w:rsidRPr="00690B12" w:rsidRDefault="00281DD4" w:rsidP="00281DD4">
            <w:r w:rsidRPr="00690B12">
              <w:rPr>
                <w:rFonts w:hint="eastAsia"/>
              </w:rPr>
              <w:t>016659</w:t>
            </w:r>
          </w:p>
        </w:tc>
      </w:tr>
      <w:tr w:rsidR="00117CAA" w:rsidTr="00117CAA">
        <w:trPr>
          <w:jc w:val="center"/>
        </w:trPr>
        <w:tc>
          <w:tcPr>
            <w:tcW w:w="3948" w:type="dxa"/>
            <w:tcMar>
              <w:left w:w="85" w:type="dxa"/>
              <w:right w:w="85" w:type="dxa"/>
            </w:tcMar>
            <w:vAlign w:val="center"/>
          </w:tcPr>
          <w:p w:rsidR="00281DD4" w:rsidRPr="00946FD3" w:rsidRDefault="00281DD4" w:rsidP="00281DD4">
            <w:pPr>
              <w:jc w:val="both"/>
            </w:pPr>
            <w:r w:rsidRPr="00946FD3">
              <w:rPr>
                <w:rFonts w:hint="eastAsia"/>
              </w:rPr>
              <w:t>该分类基金是否暂停大额申购</w:t>
            </w:r>
            <w:r w:rsidR="00344ACC">
              <w:rPr>
                <w:rFonts w:hint="eastAsia"/>
              </w:rPr>
              <w:t>、</w:t>
            </w:r>
            <w:r w:rsidRPr="00946FD3">
              <w:rPr>
                <w:rFonts w:hint="eastAsia"/>
              </w:rPr>
              <w:t>转换转入、定期定额投资</w:t>
            </w:r>
          </w:p>
        </w:tc>
        <w:tc>
          <w:tcPr>
            <w:tcW w:w="2562" w:type="dxa"/>
            <w:tcMar>
              <w:left w:w="85" w:type="dxa"/>
              <w:right w:w="85" w:type="dxa"/>
            </w:tcMar>
            <w:vAlign w:val="center"/>
          </w:tcPr>
          <w:p w:rsidR="00281DD4" w:rsidRPr="00690B12" w:rsidRDefault="00281DD4" w:rsidP="00281DD4">
            <w:r w:rsidRPr="00690B12">
              <w:rPr>
                <w:rFonts w:hint="eastAsia"/>
              </w:rPr>
              <w:t>是</w:t>
            </w:r>
          </w:p>
        </w:tc>
        <w:tc>
          <w:tcPr>
            <w:tcW w:w="2562" w:type="dxa"/>
            <w:tcMar>
              <w:left w:w="85" w:type="dxa"/>
              <w:right w:w="85" w:type="dxa"/>
            </w:tcMar>
            <w:vAlign w:val="center"/>
          </w:tcPr>
          <w:p w:rsidR="00281DD4" w:rsidRPr="00690B12" w:rsidRDefault="00281DD4" w:rsidP="00281DD4">
            <w:r w:rsidRPr="00690B12">
              <w:rPr>
                <w:rFonts w:hint="eastAsia"/>
              </w:rPr>
              <w:t>是</w:t>
            </w:r>
          </w:p>
        </w:tc>
      </w:tr>
    </w:tbl>
    <w:p w:rsidR="00975E72" w:rsidRPr="005D2061" w:rsidRDefault="00975E72" w:rsidP="005D2061">
      <w:pPr>
        <w:ind w:firstLineChars="200" w:firstLine="420"/>
        <w:rPr>
          <w:szCs w:val="22"/>
        </w:rPr>
      </w:pPr>
    </w:p>
    <w:p w:rsidR="00426411" w:rsidRDefault="00426411" w:rsidP="00AC607B">
      <w:pPr>
        <w:pStyle w:val="1"/>
        <w:spacing w:before="156" w:after="156"/>
      </w:pPr>
      <w:r w:rsidRPr="00426411">
        <w:rPr>
          <w:rFonts w:hint="eastAsia"/>
        </w:rPr>
        <w:t>其他需要提示的事项</w:t>
      </w:r>
    </w:p>
    <w:p w:rsidR="00426411" w:rsidRDefault="00426411" w:rsidP="002C6682">
      <w:pPr>
        <w:pStyle w:val="a8"/>
        <w:ind w:firstLine="420"/>
        <w:jc w:val="both"/>
      </w:pPr>
      <w:r w:rsidRPr="0068729B">
        <w:t>(1)为更好地保证兴华安裕利率债债券型证券投资基金(以下简称</w:t>
      </w:r>
      <w:r w:rsidRPr="0068729B">
        <w:t>“</w:t>
      </w:r>
      <w:r w:rsidRPr="0068729B">
        <w:t>本基金</w:t>
      </w:r>
      <w:r w:rsidRPr="0068729B">
        <w:t>”</w:t>
      </w:r>
      <w:r w:rsidRPr="0068729B">
        <w:t>)的平稳运作，保护基金份额持有人利益，根据法律法规及本基金基金合同的相关规定，兴华基金管理有限公司(以下简称</w:t>
      </w:r>
      <w:r w:rsidRPr="0068729B">
        <w:t>“</w:t>
      </w:r>
      <w:r w:rsidRPr="0068729B">
        <w:t>本公司</w:t>
      </w:r>
      <w:r w:rsidRPr="0068729B">
        <w:t>”</w:t>
      </w:r>
      <w:r w:rsidRPr="0068729B">
        <w:t>)决定自</w:t>
      </w:r>
      <w:r w:rsidR="00B6615E">
        <w:t>2025年5月29日</w:t>
      </w:r>
      <w:r w:rsidRPr="0068729B">
        <w:t>起限制本基金申购、转换转入、定期定额投资业务的金额，即如单日单个基金账户单笔申购、转换转入、定期定额投资本基金的金额合计超过10,000,000.00元（不</w:t>
      </w:r>
      <w:r w:rsidRPr="0068729B">
        <w:lastRenderedPageBreak/>
        <w:t>含），或者单日单个基金账户多笔累计申购、转换转入、定期定额投资本基金的金额合计超过10,000,000.00元（不含），本基金管理人有权对超过限制金额的申请予以部分或者全部拒绝。</w:t>
      </w:r>
      <w:r w:rsidRPr="0068729B">
        <w:br/>
        <w:t xml:space="preserve">    (2)在上述业务暂停期间，本基金的其他业务仍照常办理。自2025年</w:t>
      </w:r>
      <w:r w:rsidR="00B6615E">
        <w:rPr>
          <w:rFonts w:hint="eastAsia"/>
        </w:rPr>
        <w:t>6</w:t>
      </w:r>
      <w:r w:rsidRPr="0068729B">
        <w:t>月</w:t>
      </w:r>
      <w:r w:rsidR="00B6615E">
        <w:rPr>
          <w:rFonts w:hint="eastAsia"/>
        </w:rPr>
        <w:t>3</w:t>
      </w:r>
      <w:r w:rsidRPr="0068729B">
        <w:t>日起，本基金将</w:t>
      </w:r>
      <w:r w:rsidR="002F5AD1">
        <w:rPr>
          <w:rFonts w:hint="eastAsia"/>
        </w:rPr>
        <w:t>在全部销售渠道（包括直销及代销渠道）</w:t>
      </w:r>
      <w:r w:rsidRPr="0068729B">
        <w:t>恢复办理大额申购、大额转换转入、大额定期定额投资业务，届时将不再另行公告。</w:t>
      </w:r>
      <w:r w:rsidRPr="0068729B">
        <w:br/>
        <w:t xml:space="preserve">    (3)如有疑问，可以登录本基金管理人网站(www.xinghuafund.com.cn)或拨打本公司客户服务电话(400-067-8815)垂询相关事宜。</w:t>
      </w:r>
      <w:r w:rsidRPr="0068729B">
        <w:br/>
        <w:t xml:space="preserve">    风险提示：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w:t>
      </w:r>
      <w:r w:rsidRPr="0068729B">
        <w:br/>
        <w:t xml:space="preserve">    特此公告。</w:t>
      </w:r>
    </w:p>
    <w:p w:rsidR="00912507" w:rsidRDefault="00912507" w:rsidP="002C6682">
      <w:pPr>
        <w:pStyle w:val="a8"/>
        <w:ind w:firstLine="420"/>
        <w:jc w:val="both"/>
      </w:pPr>
    </w:p>
    <w:p w:rsidR="00912507" w:rsidRDefault="00912507" w:rsidP="00652304">
      <w:pPr>
        <w:pStyle w:val="a8"/>
        <w:ind w:firstLine="420"/>
      </w:pPr>
    </w:p>
    <w:p w:rsidR="00912507" w:rsidRPr="00B47407" w:rsidRDefault="00912507" w:rsidP="009B1F6A">
      <w:pPr>
        <w:pStyle w:val="a8"/>
        <w:ind w:firstLine="420"/>
        <w:jc w:val="right"/>
      </w:pPr>
      <w:r w:rsidRPr="00B47407">
        <w:rPr>
          <w:rFonts w:hint="eastAsia"/>
        </w:rPr>
        <w:t>兴华基金管理有限公司</w:t>
      </w:r>
    </w:p>
    <w:p w:rsidR="00912507" w:rsidRPr="00B47407" w:rsidRDefault="00912507" w:rsidP="009B1F6A">
      <w:pPr>
        <w:pStyle w:val="a8"/>
        <w:ind w:firstLine="420"/>
        <w:jc w:val="right"/>
      </w:pPr>
      <w:r w:rsidRPr="00B47407">
        <w:rPr>
          <w:rFonts w:hint="eastAsia"/>
        </w:rPr>
        <w:t>2025年</w:t>
      </w:r>
      <w:r w:rsidR="00B6615E">
        <w:rPr>
          <w:rFonts w:hint="eastAsia"/>
        </w:rPr>
        <w:t>5</w:t>
      </w:r>
      <w:r w:rsidRPr="00B47407">
        <w:rPr>
          <w:rFonts w:hint="eastAsia"/>
        </w:rPr>
        <w:t>月2</w:t>
      </w:r>
      <w:r w:rsidR="00B6615E">
        <w:rPr>
          <w:rFonts w:hint="eastAsia"/>
        </w:rPr>
        <w:t>9</w:t>
      </w:r>
      <w:r w:rsidRPr="00B47407">
        <w:rPr>
          <w:rFonts w:hint="eastAsia"/>
        </w:rPr>
        <w:t>日</w:t>
      </w:r>
    </w:p>
    <w:sectPr w:rsidR="00912507" w:rsidRPr="00B47407" w:rsidSect="008C09CC">
      <w:headerReference w:type="default" r:id="rId8"/>
      <w:footerReference w:type="default" r:id="rId9"/>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6BA" w:rsidRDefault="00C016BA" w:rsidP="00426411">
      <w:r>
        <w:separator/>
      </w:r>
    </w:p>
  </w:endnote>
  <w:endnote w:type="continuationSeparator" w:id="0">
    <w:p w:rsidR="00C016BA" w:rsidRDefault="00C016BA" w:rsidP="004264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507" w:rsidRDefault="00912507" w:rsidP="00912507">
    <w:pPr>
      <w:pStyle w:val="a4"/>
      <w:jc w:val="center"/>
    </w:pPr>
    <w:r w:rsidRPr="00912507">
      <w:rPr>
        <w:rFonts w:hint="eastAsia"/>
      </w:rPr>
      <w:t>第</w:t>
    </w:r>
    <w:r w:rsidR="00E73F56">
      <w:fldChar w:fldCharType="begin"/>
    </w:r>
    <w:r>
      <w:instrText xml:space="preserve"> </w:instrText>
    </w:r>
    <w:r>
      <w:rPr>
        <w:rFonts w:hint="eastAsia"/>
      </w:rPr>
      <w:instrText>PAGE   \* MERGEFORMAT</w:instrText>
    </w:r>
    <w:r>
      <w:instrText xml:space="preserve"> </w:instrText>
    </w:r>
    <w:r w:rsidR="00E73F56">
      <w:fldChar w:fldCharType="separate"/>
    </w:r>
    <w:r w:rsidR="00AC607B">
      <w:rPr>
        <w:noProof/>
      </w:rPr>
      <w:t>1</w:t>
    </w:r>
    <w:r w:rsidR="00E73F56">
      <w:fldChar w:fldCharType="end"/>
    </w:r>
    <w:r w:rsidRPr="00912507">
      <w:rPr>
        <w:rFonts w:hint="eastAsia"/>
      </w:rPr>
      <w:t>页 共</w:t>
    </w:r>
    <w:fldSimple w:instr=" NUMPAGES   \* MERGEFORMAT ">
      <w:r w:rsidR="00AC607B">
        <w:rPr>
          <w:noProof/>
        </w:rPr>
        <w:t>2</w:t>
      </w:r>
    </w:fldSimple>
    <w:r w:rsidRPr="00912507">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6BA" w:rsidRDefault="00C016BA" w:rsidP="00426411">
      <w:r>
        <w:separator/>
      </w:r>
    </w:p>
  </w:footnote>
  <w:footnote w:type="continuationSeparator" w:id="0">
    <w:p w:rsidR="00C016BA" w:rsidRDefault="00C016BA" w:rsidP="004264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940" w:rsidRDefault="003F6AC2">
    <w:pPr>
      <w:pBdr>
        <w:between w:val="single" w:sz="3" w:space="0" w:color="000000"/>
      </w:pBdr>
      <w:jc w:val="right"/>
    </w:pPr>
    <w:r>
      <w:rPr>
        <w:rFonts w:hAnsi="宋体" w:hint="eastAsia"/>
        <w:bCs/>
        <w:color w:val="000000"/>
        <w:sz w:val="18"/>
        <w:szCs w:val="18"/>
      </w:rPr>
      <w:t>兴华安裕利率债债券型证券投资基金暂停大额申购、转换转入、定期定额投资业务的公告</w:t>
    </w:r>
  </w:p>
  <w:p w:rsidR="007E0940" w:rsidRDefault="007E0940">
    <w:pPr>
      <w:pBdr>
        <w:between w:val="single" w:sz="3" w:space="0" w:color="000000"/>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C29A3"/>
    <w:multiLevelType w:val="hybridMultilevel"/>
    <w:tmpl w:val="881AD150"/>
    <w:lvl w:ilvl="0" w:tplc="0409000F">
      <w:start w:val="1"/>
      <w:numFmt w:val="decimal"/>
      <w:pStyle w:val="1"/>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EB2AD6"/>
    <w:multiLevelType w:val="multilevel"/>
    <w:tmpl w:val="37AE69BA"/>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536714E"/>
    <w:multiLevelType w:val="hybridMultilevel"/>
    <w:tmpl w:val="2898C116"/>
    <w:lvl w:ilvl="0" w:tplc="9156F364">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568A"/>
    <w:rsid w:val="000332B8"/>
    <w:rsid w:val="000465BE"/>
    <w:rsid w:val="00070D6F"/>
    <w:rsid w:val="00096EE0"/>
    <w:rsid w:val="000A1F7F"/>
    <w:rsid w:val="000C4EB0"/>
    <w:rsid w:val="000F2376"/>
    <w:rsid w:val="000F646B"/>
    <w:rsid w:val="00104940"/>
    <w:rsid w:val="00117CAA"/>
    <w:rsid w:val="001574B1"/>
    <w:rsid w:val="00166BB5"/>
    <w:rsid w:val="001954E5"/>
    <w:rsid w:val="001A03C2"/>
    <w:rsid w:val="001B68FF"/>
    <w:rsid w:val="001D1FEC"/>
    <w:rsid w:val="001F2C13"/>
    <w:rsid w:val="00204B9E"/>
    <w:rsid w:val="00253457"/>
    <w:rsid w:val="00261960"/>
    <w:rsid w:val="002666B8"/>
    <w:rsid w:val="002764F5"/>
    <w:rsid w:val="00281DD4"/>
    <w:rsid w:val="0028618B"/>
    <w:rsid w:val="002B0D3B"/>
    <w:rsid w:val="002B1E2C"/>
    <w:rsid w:val="002C40DA"/>
    <w:rsid w:val="002C6682"/>
    <w:rsid w:val="002F5AD1"/>
    <w:rsid w:val="003009B4"/>
    <w:rsid w:val="00306628"/>
    <w:rsid w:val="0031074A"/>
    <w:rsid w:val="00313E88"/>
    <w:rsid w:val="00314B2B"/>
    <w:rsid w:val="00322605"/>
    <w:rsid w:val="003271AC"/>
    <w:rsid w:val="0033746E"/>
    <w:rsid w:val="00341DD8"/>
    <w:rsid w:val="00344ACC"/>
    <w:rsid w:val="0035715B"/>
    <w:rsid w:val="00374702"/>
    <w:rsid w:val="00381509"/>
    <w:rsid w:val="003A4F3C"/>
    <w:rsid w:val="003D32D0"/>
    <w:rsid w:val="003D3527"/>
    <w:rsid w:val="003E57BF"/>
    <w:rsid w:val="003F6AC2"/>
    <w:rsid w:val="004016B8"/>
    <w:rsid w:val="00426411"/>
    <w:rsid w:val="00455466"/>
    <w:rsid w:val="00460244"/>
    <w:rsid w:val="0054420B"/>
    <w:rsid w:val="005C6647"/>
    <w:rsid w:val="005D2061"/>
    <w:rsid w:val="006103F2"/>
    <w:rsid w:val="006206AB"/>
    <w:rsid w:val="00637698"/>
    <w:rsid w:val="00646F6A"/>
    <w:rsid w:val="00652304"/>
    <w:rsid w:val="006854F6"/>
    <w:rsid w:val="0068568A"/>
    <w:rsid w:val="0068729B"/>
    <w:rsid w:val="006A1852"/>
    <w:rsid w:val="006C5D21"/>
    <w:rsid w:val="006F54B7"/>
    <w:rsid w:val="00731677"/>
    <w:rsid w:val="00775677"/>
    <w:rsid w:val="007D565D"/>
    <w:rsid w:val="007E0940"/>
    <w:rsid w:val="007E74F8"/>
    <w:rsid w:val="008160FC"/>
    <w:rsid w:val="00831B52"/>
    <w:rsid w:val="00855E4C"/>
    <w:rsid w:val="00862EFB"/>
    <w:rsid w:val="008839B3"/>
    <w:rsid w:val="00887C00"/>
    <w:rsid w:val="008C09CC"/>
    <w:rsid w:val="008C57FA"/>
    <w:rsid w:val="008D4E8A"/>
    <w:rsid w:val="00912507"/>
    <w:rsid w:val="00920E7E"/>
    <w:rsid w:val="0092537F"/>
    <w:rsid w:val="0094280C"/>
    <w:rsid w:val="00945239"/>
    <w:rsid w:val="00955A97"/>
    <w:rsid w:val="00974789"/>
    <w:rsid w:val="00975E72"/>
    <w:rsid w:val="00985DF3"/>
    <w:rsid w:val="00996E7E"/>
    <w:rsid w:val="009A44A6"/>
    <w:rsid w:val="009B1F6A"/>
    <w:rsid w:val="009B3F09"/>
    <w:rsid w:val="009E1D40"/>
    <w:rsid w:val="009F6D07"/>
    <w:rsid w:val="00A15FEE"/>
    <w:rsid w:val="00A703AC"/>
    <w:rsid w:val="00A83FD6"/>
    <w:rsid w:val="00A95ECD"/>
    <w:rsid w:val="00AC607B"/>
    <w:rsid w:val="00AF4104"/>
    <w:rsid w:val="00B01AA3"/>
    <w:rsid w:val="00B02B1A"/>
    <w:rsid w:val="00B10305"/>
    <w:rsid w:val="00B11A3B"/>
    <w:rsid w:val="00B3567E"/>
    <w:rsid w:val="00B37589"/>
    <w:rsid w:val="00B40980"/>
    <w:rsid w:val="00B47407"/>
    <w:rsid w:val="00B626AD"/>
    <w:rsid w:val="00B6615E"/>
    <w:rsid w:val="00BA418C"/>
    <w:rsid w:val="00BA42EC"/>
    <w:rsid w:val="00BC08F7"/>
    <w:rsid w:val="00BE3CB9"/>
    <w:rsid w:val="00BF004D"/>
    <w:rsid w:val="00BF50CE"/>
    <w:rsid w:val="00C016BA"/>
    <w:rsid w:val="00C70D9F"/>
    <w:rsid w:val="00C72A34"/>
    <w:rsid w:val="00C77B84"/>
    <w:rsid w:val="00C9178C"/>
    <w:rsid w:val="00C93522"/>
    <w:rsid w:val="00CA0D96"/>
    <w:rsid w:val="00CA5203"/>
    <w:rsid w:val="00CA7993"/>
    <w:rsid w:val="00CD7EED"/>
    <w:rsid w:val="00CF3DDC"/>
    <w:rsid w:val="00CF66D9"/>
    <w:rsid w:val="00D45412"/>
    <w:rsid w:val="00D651DB"/>
    <w:rsid w:val="00D76F58"/>
    <w:rsid w:val="00DA2749"/>
    <w:rsid w:val="00DB1081"/>
    <w:rsid w:val="00DE43C5"/>
    <w:rsid w:val="00E01C9B"/>
    <w:rsid w:val="00E23DDB"/>
    <w:rsid w:val="00E33A18"/>
    <w:rsid w:val="00E40B6D"/>
    <w:rsid w:val="00E73F56"/>
    <w:rsid w:val="00E942A7"/>
    <w:rsid w:val="00EB53C0"/>
    <w:rsid w:val="00EC222A"/>
    <w:rsid w:val="00EF3257"/>
    <w:rsid w:val="00F018F1"/>
    <w:rsid w:val="00F12D93"/>
    <w:rsid w:val="00F24A63"/>
    <w:rsid w:val="00F37F37"/>
    <w:rsid w:val="00F55506"/>
    <w:rsid w:val="00FC57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qFormat/>
    <w:rsid w:val="00912507"/>
    <w:pPr>
      <w:widowControl w:val="0"/>
    </w:pPr>
    <w:rPr>
      <w:rFonts w:ascii="宋体" w:eastAsia="宋体"/>
    </w:rPr>
  </w:style>
  <w:style w:type="paragraph" w:styleId="1">
    <w:name w:val="heading 1"/>
    <w:next w:val="a"/>
    <w:link w:val="1Char"/>
    <w:uiPriority w:val="9"/>
    <w:qFormat/>
    <w:rsid w:val="00912507"/>
    <w:pPr>
      <w:keepNext/>
      <w:keepLines/>
      <w:numPr>
        <w:numId w:val="2"/>
      </w:numPr>
      <w:spacing w:beforeLines="50" w:afterLines="50"/>
      <w:outlineLvl w:val="0"/>
    </w:pPr>
    <w:rPr>
      <w:rFonts w:ascii="宋体" w:eastAsia="宋体" w:hAnsi="宋体" w:cs="宋体"/>
      <w:b/>
      <w:kern w:val="44"/>
      <w:sz w:val="28"/>
      <w:szCs w:val="44"/>
    </w:rPr>
  </w:style>
  <w:style w:type="paragraph" w:styleId="2">
    <w:name w:val="heading 2"/>
    <w:basedOn w:val="a"/>
    <w:next w:val="a"/>
    <w:link w:val="2Char"/>
    <w:autoRedefine/>
    <w:uiPriority w:val="9"/>
    <w:unhideWhenUsed/>
    <w:rsid w:val="007E74F8"/>
    <w:pPr>
      <w:keepNext/>
      <w:keepLines/>
      <w:numPr>
        <w:numId w:val="3"/>
      </w:numPr>
      <w:spacing w:before="260" w:after="260" w:line="416" w:lineRule="auto"/>
      <w:ind w:left="420" w:hanging="420"/>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E74F8"/>
    <w:rPr>
      <w:rFonts w:asciiTheme="majorHAnsi" w:eastAsiaTheme="majorEastAsia" w:hAnsiTheme="majorHAnsi" w:cstheme="majorBidi"/>
      <w:b/>
      <w:bCs/>
      <w:sz w:val="32"/>
      <w:szCs w:val="32"/>
    </w:rPr>
  </w:style>
  <w:style w:type="paragraph" w:styleId="a3">
    <w:name w:val="header"/>
    <w:basedOn w:val="a"/>
    <w:link w:val="Char"/>
    <w:uiPriority w:val="99"/>
    <w:unhideWhenUsed/>
    <w:rsid w:val="00426411"/>
    <w:pPr>
      <w:pBdr>
        <w:bottom w:val="single" w:sz="6" w:space="1" w:color="auto"/>
      </w:pBdr>
      <w:tabs>
        <w:tab w:val="center" w:pos="4153"/>
        <w:tab w:val="right" w:pos="8306"/>
      </w:tabs>
      <w:snapToGrid w:val="0"/>
      <w:jc w:val="center"/>
    </w:pPr>
    <w:rPr>
      <w:szCs w:val="18"/>
    </w:rPr>
  </w:style>
  <w:style w:type="character" w:customStyle="1" w:styleId="Char">
    <w:name w:val="页眉 Char"/>
    <w:basedOn w:val="a0"/>
    <w:link w:val="a3"/>
    <w:uiPriority w:val="99"/>
    <w:rsid w:val="00426411"/>
    <w:rPr>
      <w:sz w:val="18"/>
      <w:szCs w:val="18"/>
    </w:rPr>
  </w:style>
  <w:style w:type="paragraph" w:styleId="a4">
    <w:name w:val="footer"/>
    <w:basedOn w:val="a"/>
    <w:link w:val="Char0"/>
    <w:uiPriority w:val="99"/>
    <w:unhideWhenUsed/>
    <w:rsid w:val="00426411"/>
    <w:pPr>
      <w:tabs>
        <w:tab w:val="center" w:pos="4153"/>
        <w:tab w:val="right" w:pos="8306"/>
      </w:tabs>
      <w:snapToGrid w:val="0"/>
    </w:pPr>
    <w:rPr>
      <w:szCs w:val="18"/>
    </w:rPr>
  </w:style>
  <w:style w:type="character" w:customStyle="1" w:styleId="Char0">
    <w:name w:val="页脚 Char"/>
    <w:basedOn w:val="a0"/>
    <w:link w:val="a4"/>
    <w:uiPriority w:val="99"/>
    <w:rsid w:val="00426411"/>
    <w:rPr>
      <w:sz w:val="18"/>
      <w:szCs w:val="18"/>
    </w:rPr>
  </w:style>
  <w:style w:type="character" w:customStyle="1" w:styleId="1Char">
    <w:name w:val="标题 1 Char"/>
    <w:basedOn w:val="a0"/>
    <w:link w:val="1"/>
    <w:uiPriority w:val="9"/>
    <w:rsid w:val="00912507"/>
    <w:rPr>
      <w:rFonts w:ascii="宋体" w:eastAsia="宋体" w:hAnsi="宋体" w:cs="宋体"/>
      <w:b/>
      <w:kern w:val="44"/>
      <w:sz w:val="28"/>
      <w:szCs w:val="44"/>
    </w:rPr>
  </w:style>
  <w:style w:type="character" w:styleId="a5">
    <w:name w:val="footnote reference"/>
    <w:rsid w:val="00426411"/>
    <w:rPr>
      <w:vertAlign w:val="superscript"/>
    </w:rPr>
  </w:style>
  <w:style w:type="paragraph" w:styleId="a6">
    <w:name w:val="footnote text"/>
    <w:basedOn w:val="a"/>
    <w:link w:val="Char1"/>
    <w:rsid w:val="00426411"/>
    <w:pPr>
      <w:snapToGrid w:val="0"/>
    </w:pPr>
  </w:style>
  <w:style w:type="character" w:customStyle="1" w:styleId="Char1">
    <w:name w:val="脚注文本 Char"/>
    <w:basedOn w:val="a0"/>
    <w:link w:val="a6"/>
    <w:rsid w:val="00426411"/>
    <w:rPr>
      <w:rFonts w:ascii="Times New Roman" w:eastAsia="宋体" w:hAnsi="Times New Roman" w:cs="Times New Roman"/>
      <w:sz w:val="18"/>
      <w:szCs w:val="20"/>
    </w:rPr>
  </w:style>
  <w:style w:type="paragraph" w:styleId="TOC">
    <w:name w:val="TOC Heading"/>
    <w:basedOn w:val="1"/>
    <w:next w:val="a"/>
    <w:uiPriority w:val="39"/>
    <w:unhideWhenUsed/>
    <w:rsid w:val="00C77B84"/>
    <w:pPr>
      <w:numPr>
        <w:numId w:val="0"/>
      </w:numPr>
      <w:spacing w:before="240" w:line="259" w:lineRule="auto"/>
      <w:outlineLvl w:val="9"/>
    </w:pPr>
    <w:rPr>
      <w:rFonts w:asciiTheme="majorHAnsi" w:eastAsiaTheme="majorEastAsia" w:hAnsiTheme="majorHAnsi" w:cstheme="majorBidi"/>
      <w:b w:val="0"/>
      <w:bCs/>
      <w:color w:val="2E74B5" w:themeColor="accent1" w:themeShade="BF"/>
      <w:kern w:val="0"/>
      <w:sz w:val="32"/>
      <w:szCs w:val="32"/>
    </w:rPr>
  </w:style>
  <w:style w:type="paragraph" w:styleId="10">
    <w:name w:val="toc 1"/>
    <w:basedOn w:val="a"/>
    <w:next w:val="a"/>
    <w:autoRedefine/>
    <w:uiPriority w:val="39"/>
    <w:unhideWhenUsed/>
    <w:rsid w:val="00C77B84"/>
  </w:style>
  <w:style w:type="character" w:styleId="a7">
    <w:name w:val="Hyperlink"/>
    <w:basedOn w:val="a0"/>
    <w:uiPriority w:val="99"/>
    <w:unhideWhenUsed/>
    <w:rsid w:val="00C77B84"/>
    <w:rPr>
      <w:color w:val="0563C1" w:themeColor="hyperlink"/>
      <w:u w:val="single"/>
    </w:rPr>
  </w:style>
  <w:style w:type="paragraph" w:customStyle="1" w:styleId="11">
    <w:name w:val="主标题1"/>
    <w:basedOn w:val="a"/>
    <w:next w:val="a"/>
    <w:link w:val="1Char0"/>
    <w:rsid w:val="0068729B"/>
    <w:pPr>
      <w:adjustRightInd w:val="0"/>
      <w:snapToGrid w:val="0"/>
      <w:jc w:val="center"/>
    </w:pPr>
    <w:rPr>
      <w:rFonts w:hAnsi="宋体" w:cs="宋体"/>
      <w:bCs/>
      <w:sz w:val="44"/>
      <w:szCs w:val="24"/>
    </w:rPr>
  </w:style>
  <w:style w:type="character" w:customStyle="1" w:styleId="1Char0">
    <w:name w:val="主标题1 Char"/>
    <w:basedOn w:val="a0"/>
    <w:link w:val="11"/>
    <w:rsid w:val="0068729B"/>
    <w:rPr>
      <w:rFonts w:ascii="宋体" w:eastAsia="宋体" w:hAnsi="宋体" w:cs="宋体"/>
      <w:bCs/>
      <w:sz w:val="44"/>
      <w:szCs w:val="24"/>
    </w:rPr>
  </w:style>
  <w:style w:type="paragraph" w:customStyle="1" w:styleId="12">
    <w:name w:val="副标题1"/>
    <w:basedOn w:val="a"/>
    <w:next w:val="a"/>
    <w:link w:val="1Char1"/>
    <w:rsid w:val="0068729B"/>
    <w:pPr>
      <w:adjustRightInd w:val="0"/>
      <w:snapToGrid w:val="0"/>
      <w:spacing w:line="400" w:lineRule="exact"/>
      <w:jc w:val="center"/>
    </w:pPr>
    <w:rPr>
      <w:rFonts w:hAnsi="宋体" w:cs="宋体"/>
      <w:bCs/>
      <w:sz w:val="32"/>
      <w:szCs w:val="24"/>
    </w:rPr>
  </w:style>
  <w:style w:type="character" w:customStyle="1" w:styleId="1Char1">
    <w:name w:val="副标题1 Char"/>
    <w:basedOn w:val="a0"/>
    <w:link w:val="12"/>
    <w:rsid w:val="0068729B"/>
    <w:rPr>
      <w:rFonts w:ascii="宋体" w:eastAsia="宋体" w:hAnsi="宋体" w:cs="宋体"/>
      <w:bCs/>
      <w:sz w:val="32"/>
      <w:szCs w:val="24"/>
    </w:rPr>
  </w:style>
  <w:style w:type="paragraph" w:styleId="a8">
    <w:name w:val="Normal Indent"/>
    <w:qFormat/>
    <w:rsid w:val="00652304"/>
    <w:pPr>
      <w:spacing w:line="360" w:lineRule="auto"/>
      <w:ind w:firstLineChars="200" w:firstLine="200"/>
    </w:pPr>
    <w:rPr>
      <w:rFonts w:ascii="宋体" w:eastAsia="宋体"/>
    </w:rPr>
  </w:style>
  <w:style w:type="paragraph" w:styleId="a9">
    <w:name w:val="Balloon Text"/>
    <w:basedOn w:val="a"/>
    <w:link w:val="Char2"/>
    <w:uiPriority w:val="99"/>
    <w:semiHidden/>
    <w:unhideWhenUsed/>
    <w:rsid w:val="00261960"/>
    <w:rPr>
      <w:sz w:val="18"/>
      <w:szCs w:val="18"/>
    </w:rPr>
  </w:style>
  <w:style w:type="character" w:customStyle="1" w:styleId="Char2">
    <w:name w:val="批注框文本 Char"/>
    <w:basedOn w:val="a0"/>
    <w:link w:val="a9"/>
    <w:uiPriority w:val="99"/>
    <w:semiHidden/>
    <w:rsid w:val="00261960"/>
    <w:rPr>
      <w:rFonts w:ascii="宋体" w:eastAsia="宋体"/>
      <w:sz w:val="18"/>
      <w:szCs w:val="18"/>
    </w:rPr>
  </w:style>
  <w:style w:type="table" w:styleId="aa">
    <w:name w:val="Table Grid"/>
    <w:basedOn w:val="a1"/>
    <w:uiPriority w:val="39"/>
    <w:rsid w:val="00CA5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6854F6"/>
    <w:rPr>
      <w:rFonts w:ascii="宋体" w:eastAsia="宋体"/>
    </w:rPr>
  </w:style>
  <w:style w:type="character" w:styleId="ac">
    <w:name w:val="annotation reference"/>
    <w:basedOn w:val="a0"/>
    <w:uiPriority w:val="99"/>
    <w:semiHidden/>
    <w:unhideWhenUsed/>
    <w:rsid w:val="00344ACC"/>
    <w:rPr>
      <w:sz w:val="21"/>
      <w:szCs w:val="21"/>
    </w:rPr>
  </w:style>
  <w:style w:type="paragraph" w:styleId="ad">
    <w:name w:val="annotation text"/>
    <w:basedOn w:val="a"/>
    <w:link w:val="Char3"/>
    <w:uiPriority w:val="99"/>
    <w:unhideWhenUsed/>
    <w:rsid w:val="00344ACC"/>
  </w:style>
  <w:style w:type="character" w:customStyle="1" w:styleId="Char3">
    <w:name w:val="批注文字 Char"/>
    <w:basedOn w:val="a0"/>
    <w:link w:val="ad"/>
    <w:uiPriority w:val="99"/>
    <w:rsid w:val="00344ACC"/>
    <w:rPr>
      <w:rFonts w:ascii="宋体" w:eastAsia="宋体"/>
    </w:rPr>
  </w:style>
  <w:style w:type="paragraph" w:styleId="ae">
    <w:name w:val="annotation subject"/>
    <w:basedOn w:val="ad"/>
    <w:next w:val="ad"/>
    <w:link w:val="Char4"/>
    <w:uiPriority w:val="99"/>
    <w:semiHidden/>
    <w:unhideWhenUsed/>
    <w:rsid w:val="00344ACC"/>
    <w:rPr>
      <w:b/>
      <w:bCs/>
    </w:rPr>
  </w:style>
  <w:style w:type="character" w:customStyle="1" w:styleId="Char4">
    <w:name w:val="批注主题 Char"/>
    <w:basedOn w:val="Char3"/>
    <w:link w:val="ae"/>
    <w:uiPriority w:val="99"/>
    <w:semiHidden/>
    <w:rsid w:val="00344ACC"/>
    <w:rPr>
      <w:rFonts w:ascii="宋体" w:eastAsia="宋体"/>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ADB0F486-2DB0-42E3-B69B-6075B5C07561}">
  <ds:schemaRefs>
    <ds:schemaRef ds:uri="http://schemas.openxmlformats.org/drawingml/2006/lockedCanvas"/>
    <ds:schemaRef ds:uri="http://schemas.openxmlformats.org/drawingml/2006/compatibility"/>
    <ds:schemaRef ds:uri="http://schemas.microsoft.com/office/word/2010/wordprocessingDrawing"/>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vml"/>
    <ds:schemaRef ds:uri="urn:schemas-microsoft-com:office:office"/>
    <ds:schemaRef ds:uri="urn:schemas-microsoft-com:office:exce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openxmlformats.org/drawingml/2006/main"/>
    <ds:schemaRef ds:uri="http://schemas.openxmlformats.org/drawingml/2006/wordprocessingDrawing"/>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1006</Characters>
  <Application>Microsoft Office Word</Application>
  <DocSecurity>4</DocSecurity>
  <Lines>8</Lines>
  <Paragraphs>2</Paragraphs>
  <ScaleCrop>false</ScaleCrop>
  <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dc:creator>
  <cp:keywords/>
  <dc:description/>
  <cp:lastModifiedBy>ZHONGM</cp:lastModifiedBy>
  <cp:revision>2</cp:revision>
  <cp:lastPrinted>2025-05-28T08:59:00Z</cp:lastPrinted>
  <dcterms:created xsi:type="dcterms:W3CDTF">2025-05-28T16:02:00Z</dcterms:created>
  <dcterms:modified xsi:type="dcterms:W3CDTF">2025-05-28T16:02:00Z</dcterms:modified>
</cp:coreProperties>
</file>