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B3A" w:rsidRDefault="00247B3A">
      <w:pPr>
        <w:spacing w:line="360" w:lineRule="auto"/>
        <w:jc w:val="center"/>
        <w:rPr>
          <w:rFonts w:ascii="宋体" w:hAnsi="宋体"/>
          <w:b/>
          <w:sz w:val="48"/>
          <w:szCs w:val="48"/>
        </w:rPr>
      </w:pPr>
      <w:bookmarkStart w:id="0" w:name="_GoBack"/>
      <w:bookmarkEnd w:id="0"/>
    </w:p>
    <w:p w:rsidR="00247B3A" w:rsidRDefault="00247B3A">
      <w:pPr>
        <w:spacing w:line="360" w:lineRule="auto"/>
        <w:jc w:val="center"/>
        <w:rPr>
          <w:rFonts w:ascii="宋体" w:hAnsi="宋体"/>
          <w:b/>
          <w:sz w:val="48"/>
          <w:szCs w:val="48"/>
        </w:rPr>
      </w:pPr>
    </w:p>
    <w:p w:rsidR="00247B3A" w:rsidRDefault="00EF6574">
      <w:pPr>
        <w:spacing w:line="360" w:lineRule="auto"/>
        <w:jc w:val="center"/>
        <w:rPr>
          <w:rFonts w:ascii="宋体" w:hAnsi="宋体"/>
          <w:b/>
          <w:sz w:val="48"/>
          <w:szCs w:val="48"/>
        </w:rPr>
      </w:pPr>
      <w:r>
        <w:rPr>
          <w:rFonts w:ascii="宋体" w:hAnsi="宋体" w:hint="eastAsia"/>
          <w:b/>
          <w:sz w:val="48"/>
          <w:szCs w:val="48"/>
        </w:rPr>
        <w:t>关于调整华泰紫金天天金交易型货币市场基金</w:t>
      </w:r>
      <w:r>
        <w:rPr>
          <w:rFonts w:ascii="宋体" w:hAnsi="宋体" w:hint="eastAsia"/>
          <w:b/>
          <w:sz w:val="48"/>
          <w:szCs w:val="48"/>
        </w:rPr>
        <w:t>B</w:t>
      </w:r>
      <w:r>
        <w:rPr>
          <w:rFonts w:ascii="宋体" w:hAnsi="宋体" w:hint="eastAsia"/>
          <w:b/>
          <w:sz w:val="48"/>
          <w:szCs w:val="48"/>
        </w:rPr>
        <w:t>份额部分代销渠道大额申购及大额转换转入等投资限额的公告</w:t>
      </w: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247B3A">
      <w:pPr>
        <w:spacing w:line="360" w:lineRule="auto"/>
        <w:jc w:val="center"/>
        <w:rPr>
          <w:rFonts w:ascii="宋体" w:hAnsi="宋体"/>
          <w:b/>
          <w:sz w:val="32"/>
          <w:szCs w:val="24"/>
        </w:rPr>
      </w:pPr>
    </w:p>
    <w:p w:rsidR="00247B3A" w:rsidRDefault="00EF6574">
      <w:pPr>
        <w:spacing w:line="360" w:lineRule="auto"/>
        <w:jc w:val="center"/>
        <w:rPr>
          <w:rFonts w:ascii="宋体" w:hAnsi="宋体"/>
          <w:sz w:val="24"/>
          <w:szCs w:val="24"/>
        </w:rPr>
      </w:pPr>
      <w:r>
        <w:rPr>
          <w:rFonts w:ascii="宋体" w:hAnsi="宋体" w:hint="eastAsia"/>
          <w:sz w:val="24"/>
          <w:szCs w:val="24"/>
        </w:rPr>
        <w:t>公告送出日期：</w:t>
      </w:r>
      <w:r>
        <w:rPr>
          <w:rFonts w:ascii="宋体" w:hAnsi="宋体" w:hint="eastAsia"/>
          <w:sz w:val="24"/>
          <w:szCs w:val="24"/>
        </w:rPr>
        <w:t>2</w:t>
      </w:r>
      <w:r>
        <w:rPr>
          <w:rFonts w:ascii="宋体" w:hAnsi="宋体"/>
          <w:sz w:val="24"/>
          <w:szCs w:val="24"/>
        </w:rPr>
        <w:t>025</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27</w:t>
      </w:r>
      <w:r>
        <w:rPr>
          <w:rFonts w:ascii="宋体" w:hAnsi="宋体" w:hint="eastAsia"/>
          <w:sz w:val="24"/>
          <w:szCs w:val="24"/>
        </w:rPr>
        <w:t>日</w:t>
      </w:r>
    </w:p>
    <w:p w:rsidR="00247B3A" w:rsidRDefault="00247B3A">
      <w:pPr>
        <w:spacing w:line="360" w:lineRule="auto"/>
        <w:jc w:val="center"/>
        <w:rPr>
          <w:rFonts w:ascii="宋体" w:hAnsi="宋体"/>
          <w:sz w:val="24"/>
          <w:szCs w:val="24"/>
        </w:rPr>
      </w:pPr>
    </w:p>
    <w:p w:rsidR="00247B3A" w:rsidRDefault="00247B3A">
      <w:pPr>
        <w:spacing w:line="360" w:lineRule="auto"/>
        <w:rPr>
          <w:rFonts w:ascii="宋体" w:hAnsi="宋体"/>
          <w:sz w:val="24"/>
          <w:szCs w:val="24"/>
        </w:rPr>
      </w:pPr>
    </w:p>
    <w:p w:rsidR="00247B3A" w:rsidRDefault="00EF6574">
      <w:pPr>
        <w:tabs>
          <w:tab w:val="left" w:pos="1170"/>
        </w:tabs>
        <w:spacing w:line="360" w:lineRule="auto"/>
        <w:rPr>
          <w:rFonts w:ascii="宋体" w:hAnsi="宋体"/>
          <w:b/>
          <w:sz w:val="24"/>
          <w:szCs w:val="24"/>
        </w:rPr>
      </w:pPr>
      <w:r>
        <w:rPr>
          <w:rFonts w:ascii="宋体" w:hAnsi="宋体" w:hint="eastAsia"/>
          <w:b/>
          <w:sz w:val="24"/>
          <w:szCs w:val="24"/>
        </w:rPr>
        <w:lastRenderedPageBreak/>
        <w:t>1</w:t>
      </w:r>
      <w:r>
        <w:rPr>
          <w:rFonts w:ascii="宋体" w:hAnsi="宋体" w:hint="eastAsia"/>
          <w:b/>
          <w:sz w:val="24"/>
          <w:szCs w:val="24"/>
        </w:rPr>
        <w:t>．公告基本信息</w:t>
      </w:r>
    </w:p>
    <w:tbl>
      <w:tblPr>
        <w:tblStyle w:val="af3"/>
        <w:tblOverlap w:val="never"/>
        <w:tblW w:w="10132" w:type="dxa"/>
        <w:jc w:val="center"/>
        <w:tblLook w:val="04A0"/>
      </w:tblPr>
      <w:tblGrid>
        <w:gridCol w:w="2126"/>
        <w:gridCol w:w="1850"/>
        <w:gridCol w:w="2052"/>
        <w:gridCol w:w="2052"/>
        <w:gridCol w:w="2052"/>
      </w:tblGrid>
      <w:tr w:rsidR="00247B3A">
        <w:trPr>
          <w:cnfStyle w:val="100000000000"/>
          <w:trHeight w:val="113"/>
          <w:jc w:val="center"/>
        </w:trPr>
        <w:tc>
          <w:tcPr>
            <w:cnfStyle w:val="001000000100"/>
            <w:tcW w:w="3976" w:type="dxa"/>
            <w:gridSpan w:val="2"/>
            <w:vAlign w:val="center"/>
          </w:tcPr>
          <w:p w:rsidR="00247B3A" w:rsidRDefault="00EF6574">
            <w:pPr>
              <w:spacing w:line="360" w:lineRule="auto"/>
              <w:rPr>
                <w:rFonts w:ascii="宋体" w:hAnsi="宋体"/>
                <w:sz w:val="24"/>
                <w:szCs w:val="24"/>
              </w:rPr>
            </w:pPr>
            <w:r>
              <w:rPr>
                <w:rFonts w:ascii="宋体" w:hAnsi="宋体" w:hint="eastAsia"/>
                <w:sz w:val="24"/>
                <w:szCs w:val="24"/>
              </w:rPr>
              <w:t>基金名称</w:t>
            </w:r>
          </w:p>
        </w:tc>
        <w:tc>
          <w:tcPr>
            <w:tcW w:w="0" w:type="auto"/>
            <w:gridSpan w:val="3"/>
            <w:vAlign w:val="center"/>
          </w:tcPr>
          <w:p w:rsidR="00247B3A" w:rsidRDefault="00EF6574">
            <w:pPr>
              <w:spacing w:line="360" w:lineRule="auto"/>
              <w:cnfStyle w:val="100000000000"/>
              <w:rPr>
                <w:rFonts w:ascii="宋体" w:hAnsi="宋体"/>
                <w:sz w:val="24"/>
                <w:szCs w:val="24"/>
              </w:rPr>
            </w:pPr>
            <w:r>
              <w:rPr>
                <w:rFonts w:ascii="宋体" w:hAnsi="宋体" w:hint="eastAsia"/>
                <w:sz w:val="24"/>
                <w:szCs w:val="24"/>
              </w:rPr>
              <w:t>华泰紫金天天金交易型货币市场基金</w:t>
            </w:r>
          </w:p>
        </w:tc>
      </w:tr>
      <w:tr w:rsidR="00247B3A">
        <w:trPr>
          <w:trHeight w:val="113"/>
          <w:jc w:val="center"/>
        </w:trPr>
        <w:tc>
          <w:tcPr>
            <w:cnfStyle w:val="001000000000"/>
            <w:tcW w:w="3976" w:type="dxa"/>
            <w:gridSpan w:val="2"/>
            <w:vAlign w:val="center"/>
          </w:tcPr>
          <w:p w:rsidR="00247B3A" w:rsidRDefault="00EF6574">
            <w:pPr>
              <w:spacing w:line="360" w:lineRule="auto"/>
              <w:rPr>
                <w:rFonts w:ascii="宋体" w:hAnsi="宋体"/>
                <w:sz w:val="24"/>
                <w:szCs w:val="24"/>
              </w:rPr>
            </w:pPr>
            <w:r>
              <w:rPr>
                <w:rFonts w:ascii="宋体" w:hAnsi="宋体" w:hint="eastAsia"/>
                <w:sz w:val="24"/>
                <w:szCs w:val="24"/>
              </w:rPr>
              <w:t>基金简称</w:t>
            </w:r>
          </w:p>
        </w:tc>
        <w:tc>
          <w:tcPr>
            <w:tcW w:w="0" w:type="auto"/>
            <w:gridSpan w:val="3"/>
            <w:vAlign w:val="center"/>
          </w:tcPr>
          <w:p w:rsidR="00247B3A" w:rsidRDefault="00EF6574">
            <w:pPr>
              <w:spacing w:line="360" w:lineRule="auto"/>
              <w:cnfStyle w:val="000000000000"/>
              <w:rPr>
                <w:rFonts w:ascii="宋体" w:hAnsi="宋体"/>
                <w:sz w:val="24"/>
                <w:szCs w:val="24"/>
              </w:rPr>
            </w:pPr>
            <w:r>
              <w:rPr>
                <w:rFonts w:ascii="宋体" w:hAnsi="宋体" w:hint="eastAsia"/>
                <w:sz w:val="24"/>
                <w:szCs w:val="24"/>
              </w:rPr>
              <w:t>华泰紫金天天金货币</w:t>
            </w:r>
            <w:r>
              <w:rPr>
                <w:rFonts w:ascii="宋体" w:hAnsi="宋体" w:hint="eastAsia"/>
                <w:sz w:val="24"/>
                <w:szCs w:val="24"/>
              </w:rPr>
              <w:t>E</w:t>
            </w:r>
            <w:r>
              <w:rPr>
                <w:rFonts w:ascii="宋体" w:hAnsi="宋体"/>
                <w:sz w:val="24"/>
                <w:szCs w:val="24"/>
              </w:rPr>
              <w:t>TF</w:t>
            </w:r>
          </w:p>
        </w:tc>
      </w:tr>
      <w:tr w:rsidR="00247B3A">
        <w:trPr>
          <w:trHeight w:val="113"/>
          <w:jc w:val="center"/>
        </w:trPr>
        <w:tc>
          <w:tcPr>
            <w:cnfStyle w:val="001000000000"/>
            <w:tcW w:w="3976" w:type="dxa"/>
            <w:gridSpan w:val="2"/>
            <w:vAlign w:val="center"/>
          </w:tcPr>
          <w:p w:rsidR="00247B3A" w:rsidRDefault="00EF6574">
            <w:pPr>
              <w:spacing w:line="360" w:lineRule="auto"/>
              <w:rPr>
                <w:rFonts w:ascii="宋体" w:hAnsi="宋体"/>
                <w:sz w:val="24"/>
                <w:szCs w:val="24"/>
              </w:rPr>
            </w:pPr>
            <w:r>
              <w:rPr>
                <w:rFonts w:ascii="宋体" w:hAnsi="宋体" w:hint="eastAsia"/>
                <w:sz w:val="24"/>
                <w:szCs w:val="24"/>
              </w:rPr>
              <w:t>基金主代码</w:t>
            </w:r>
          </w:p>
        </w:tc>
        <w:tc>
          <w:tcPr>
            <w:tcW w:w="0" w:type="auto"/>
            <w:gridSpan w:val="3"/>
            <w:vAlign w:val="center"/>
          </w:tcPr>
          <w:p w:rsidR="00247B3A" w:rsidRDefault="00EF6574">
            <w:pPr>
              <w:spacing w:line="360" w:lineRule="auto"/>
              <w:cnfStyle w:val="000000000000"/>
              <w:rPr>
                <w:rFonts w:ascii="宋体" w:hAnsi="宋体"/>
                <w:sz w:val="24"/>
                <w:szCs w:val="24"/>
              </w:rPr>
            </w:pPr>
            <w:r>
              <w:rPr>
                <w:rFonts w:ascii="宋体" w:hAnsi="宋体"/>
                <w:sz w:val="24"/>
                <w:szCs w:val="24"/>
              </w:rPr>
              <w:t>511670</w:t>
            </w:r>
          </w:p>
        </w:tc>
      </w:tr>
      <w:tr w:rsidR="00247B3A">
        <w:trPr>
          <w:trHeight w:val="113"/>
          <w:jc w:val="center"/>
        </w:trPr>
        <w:tc>
          <w:tcPr>
            <w:cnfStyle w:val="001000000000"/>
            <w:tcW w:w="3976" w:type="dxa"/>
            <w:gridSpan w:val="2"/>
            <w:vAlign w:val="center"/>
          </w:tcPr>
          <w:p w:rsidR="00247B3A" w:rsidRDefault="00EF6574">
            <w:pPr>
              <w:spacing w:line="360" w:lineRule="auto"/>
              <w:rPr>
                <w:rFonts w:ascii="宋体" w:hAnsi="宋体"/>
                <w:sz w:val="24"/>
                <w:szCs w:val="24"/>
              </w:rPr>
            </w:pPr>
            <w:r>
              <w:rPr>
                <w:rFonts w:ascii="宋体" w:hAnsi="宋体" w:hint="eastAsia"/>
                <w:sz w:val="24"/>
                <w:szCs w:val="24"/>
              </w:rPr>
              <w:t>基金管理人名称</w:t>
            </w:r>
          </w:p>
        </w:tc>
        <w:tc>
          <w:tcPr>
            <w:tcW w:w="0" w:type="auto"/>
            <w:gridSpan w:val="3"/>
            <w:vAlign w:val="center"/>
          </w:tcPr>
          <w:p w:rsidR="00247B3A" w:rsidRDefault="00EF6574">
            <w:pPr>
              <w:spacing w:line="360" w:lineRule="auto"/>
              <w:cnfStyle w:val="000000000000"/>
              <w:rPr>
                <w:rFonts w:ascii="宋体" w:hAnsi="宋体"/>
                <w:sz w:val="24"/>
                <w:szCs w:val="24"/>
              </w:rPr>
            </w:pPr>
            <w:r>
              <w:rPr>
                <w:rFonts w:ascii="宋体" w:hAnsi="宋体" w:hint="eastAsia"/>
                <w:sz w:val="24"/>
                <w:szCs w:val="24"/>
              </w:rPr>
              <w:t>华泰证券</w:t>
            </w:r>
            <w:r>
              <w:rPr>
                <w:rFonts w:ascii="宋体" w:hAnsi="宋体"/>
                <w:sz w:val="24"/>
                <w:szCs w:val="24"/>
              </w:rPr>
              <w:t>(</w:t>
            </w:r>
            <w:r>
              <w:rPr>
                <w:rFonts w:ascii="宋体" w:hAnsi="宋体"/>
                <w:sz w:val="24"/>
                <w:szCs w:val="24"/>
              </w:rPr>
              <w:t>上海</w:t>
            </w:r>
            <w:r>
              <w:rPr>
                <w:rFonts w:ascii="宋体" w:hAnsi="宋体"/>
                <w:sz w:val="24"/>
                <w:szCs w:val="24"/>
              </w:rPr>
              <w:t>)</w:t>
            </w:r>
            <w:r>
              <w:rPr>
                <w:rFonts w:ascii="宋体" w:hAnsi="宋体"/>
                <w:sz w:val="24"/>
                <w:szCs w:val="24"/>
              </w:rPr>
              <w:t>资产管理有限公司</w:t>
            </w:r>
          </w:p>
        </w:tc>
      </w:tr>
      <w:tr w:rsidR="00247B3A">
        <w:trPr>
          <w:trHeight w:val="113"/>
          <w:jc w:val="center"/>
        </w:trPr>
        <w:tc>
          <w:tcPr>
            <w:cnfStyle w:val="001000000000"/>
            <w:tcW w:w="3976" w:type="dxa"/>
            <w:gridSpan w:val="2"/>
            <w:vAlign w:val="center"/>
          </w:tcPr>
          <w:p w:rsidR="00247B3A" w:rsidRDefault="00EF6574">
            <w:pPr>
              <w:spacing w:line="360" w:lineRule="auto"/>
              <w:rPr>
                <w:rFonts w:ascii="宋体" w:hAnsi="宋体"/>
                <w:sz w:val="24"/>
                <w:szCs w:val="24"/>
              </w:rPr>
            </w:pPr>
            <w:r>
              <w:rPr>
                <w:rFonts w:ascii="宋体" w:hAnsi="宋体" w:hint="eastAsia"/>
                <w:sz w:val="24"/>
                <w:szCs w:val="24"/>
              </w:rPr>
              <w:t>公告依据</w:t>
            </w:r>
          </w:p>
        </w:tc>
        <w:tc>
          <w:tcPr>
            <w:tcW w:w="0" w:type="auto"/>
            <w:gridSpan w:val="3"/>
            <w:vAlign w:val="center"/>
          </w:tcPr>
          <w:p w:rsidR="00247B3A" w:rsidRDefault="00EF6574">
            <w:pPr>
              <w:spacing w:line="360" w:lineRule="auto"/>
              <w:cnfStyle w:val="000000000000"/>
              <w:rPr>
                <w:rFonts w:ascii="宋体" w:hAnsi="宋体"/>
                <w:sz w:val="24"/>
                <w:szCs w:val="24"/>
              </w:rPr>
            </w:pPr>
            <w:r>
              <w:rPr>
                <w:rFonts w:ascii="宋体" w:hAnsi="宋体" w:hint="eastAsia"/>
                <w:sz w:val="24"/>
                <w:szCs w:val="24"/>
              </w:rPr>
              <w:t>《中华人民共和国证券投资基金法》、《公开募集证券投资基金信息披露管理办法》、《华泰紫金天天金交易型货币市场基金基金合同》、《</w:t>
            </w:r>
            <w:r>
              <w:rPr>
                <w:rFonts w:ascii="宋体" w:hAnsi="宋体" w:hint="eastAsia"/>
                <w:sz w:val="24"/>
                <w:szCs w:val="24"/>
              </w:rPr>
              <w:t>华泰紫金天天金交易型货币市场基金招募说明书》等</w:t>
            </w:r>
          </w:p>
        </w:tc>
      </w:tr>
      <w:tr w:rsidR="00247B3A">
        <w:trPr>
          <w:trHeight w:val="113"/>
          <w:jc w:val="center"/>
        </w:trPr>
        <w:tc>
          <w:tcPr>
            <w:cnfStyle w:val="001000000000"/>
            <w:tcW w:w="2126" w:type="dxa"/>
            <w:vMerge w:val="restart"/>
            <w:vAlign w:val="center"/>
          </w:tcPr>
          <w:p w:rsidR="00247B3A" w:rsidRDefault="00EF6574">
            <w:pPr>
              <w:spacing w:line="360" w:lineRule="auto"/>
              <w:rPr>
                <w:rFonts w:ascii="宋体" w:hAnsi="宋体"/>
                <w:sz w:val="24"/>
                <w:szCs w:val="24"/>
              </w:rPr>
            </w:pPr>
            <w:r>
              <w:rPr>
                <w:rFonts w:ascii="宋体" w:hAnsi="宋体" w:hint="eastAsia"/>
                <w:sz w:val="24"/>
                <w:szCs w:val="24"/>
              </w:rPr>
              <w:t>暂停相关业务的起始日、金额及原因说明</w:t>
            </w:r>
          </w:p>
        </w:tc>
        <w:tc>
          <w:tcPr>
            <w:tcW w:w="1850" w:type="dxa"/>
            <w:vAlign w:val="center"/>
          </w:tcPr>
          <w:p w:rsidR="00247B3A" w:rsidRDefault="00EF6574">
            <w:pPr>
              <w:spacing w:line="360" w:lineRule="auto"/>
              <w:cnfStyle w:val="000000000000"/>
              <w:rPr>
                <w:rFonts w:ascii="宋体" w:hAnsi="宋体"/>
                <w:sz w:val="24"/>
                <w:szCs w:val="24"/>
              </w:rPr>
            </w:pPr>
            <w:r>
              <w:rPr>
                <w:rFonts w:ascii="宋体" w:hAnsi="宋体" w:hint="eastAsia"/>
                <w:sz w:val="24"/>
                <w:szCs w:val="24"/>
              </w:rPr>
              <w:t>暂停（大额）申购起始日</w:t>
            </w:r>
          </w:p>
        </w:tc>
        <w:tc>
          <w:tcPr>
            <w:tcW w:w="0" w:type="auto"/>
            <w:gridSpan w:val="3"/>
            <w:noWrap/>
            <w:vAlign w:val="center"/>
          </w:tcPr>
          <w:p w:rsidR="00247B3A" w:rsidRDefault="00EF6574">
            <w:pPr>
              <w:spacing w:line="360" w:lineRule="auto"/>
              <w:cnfStyle w:val="000000000000"/>
              <w:rPr>
                <w:rFonts w:ascii="宋体" w:hAnsi="宋体"/>
                <w:sz w:val="24"/>
                <w:szCs w:val="24"/>
              </w:rPr>
            </w:pPr>
            <w:r>
              <w:rPr>
                <w:rFonts w:ascii="宋体" w:hAnsi="宋体" w:hint="eastAsia"/>
                <w:sz w:val="24"/>
                <w:szCs w:val="24"/>
              </w:rPr>
              <w:t>2</w:t>
            </w:r>
            <w:r>
              <w:rPr>
                <w:rFonts w:ascii="宋体" w:hAnsi="宋体"/>
                <w:sz w:val="24"/>
                <w:szCs w:val="24"/>
              </w:rPr>
              <w:t>025</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28</w:t>
            </w:r>
            <w:r>
              <w:rPr>
                <w:rFonts w:ascii="宋体" w:hAnsi="宋体" w:hint="eastAsia"/>
                <w:sz w:val="24"/>
                <w:szCs w:val="24"/>
              </w:rPr>
              <w:t>日</w:t>
            </w:r>
          </w:p>
        </w:tc>
      </w:tr>
      <w:tr w:rsidR="00247B3A">
        <w:trPr>
          <w:trHeight w:val="113"/>
          <w:jc w:val="center"/>
        </w:trPr>
        <w:tc>
          <w:tcPr>
            <w:cnfStyle w:val="001000000000"/>
            <w:tcW w:w="2126" w:type="dxa"/>
            <w:vMerge/>
            <w:vAlign w:val="center"/>
          </w:tcPr>
          <w:p w:rsidR="00247B3A" w:rsidRDefault="00247B3A">
            <w:pPr>
              <w:spacing w:line="360" w:lineRule="auto"/>
              <w:rPr>
                <w:rFonts w:ascii="宋体" w:hAnsi="宋体"/>
                <w:sz w:val="24"/>
                <w:szCs w:val="24"/>
              </w:rPr>
            </w:pPr>
          </w:p>
        </w:tc>
        <w:tc>
          <w:tcPr>
            <w:tcW w:w="1850" w:type="dxa"/>
            <w:vAlign w:val="center"/>
          </w:tcPr>
          <w:p w:rsidR="00247B3A" w:rsidRDefault="00EF6574">
            <w:pPr>
              <w:spacing w:line="360" w:lineRule="auto"/>
              <w:cnfStyle w:val="000000000000"/>
              <w:rPr>
                <w:rFonts w:ascii="宋体" w:hAnsi="宋体"/>
                <w:sz w:val="24"/>
                <w:szCs w:val="24"/>
              </w:rPr>
            </w:pPr>
            <w:r>
              <w:rPr>
                <w:rFonts w:ascii="宋体" w:hAnsi="宋体" w:hint="eastAsia"/>
                <w:sz w:val="24"/>
                <w:szCs w:val="24"/>
              </w:rPr>
              <w:t>暂停（大额）转换转入起始日</w:t>
            </w:r>
          </w:p>
        </w:tc>
        <w:tc>
          <w:tcPr>
            <w:tcW w:w="0" w:type="auto"/>
            <w:gridSpan w:val="3"/>
            <w:vAlign w:val="center"/>
          </w:tcPr>
          <w:p w:rsidR="00247B3A" w:rsidRDefault="00EF6574">
            <w:pPr>
              <w:spacing w:line="360" w:lineRule="auto"/>
              <w:cnfStyle w:val="000000000000"/>
              <w:rPr>
                <w:rFonts w:ascii="宋体" w:hAnsi="宋体"/>
                <w:sz w:val="24"/>
                <w:szCs w:val="24"/>
              </w:rPr>
            </w:pPr>
            <w:r>
              <w:rPr>
                <w:rFonts w:ascii="宋体" w:hAnsi="宋体"/>
                <w:sz w:val="24"/>
                <w:szCs w:val="24"/>
              </w:rPr>
              <w:t>2025</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28</w:t>
            </w:r>
            <w:r>
              <w:rPr>
                <w:rFonts w:ascii="宋体" w:hAnsi="宋体" w:hint="eastAsia"/>
                <w:sz w:val="24"/>
                <w:szCs w:val="24"/>
              </w:rPr>
              <w:t>日</w:t>
            </w:r>
          </w:p>
        </w:tc>
      </w:tr>
      <w:tr w:rsidR="00247B3A">
        <w:trPr>
          <w:trHeight w:val="113"/>
          <w:jc w:val="center"/>
        </w:trPr>
        <w:tc>
          <w:tcPr>
            <w:cnfStyle w:val="001000000000"/>
            <w:tcW w:w="2126" w:type="dxa"/>
            <w:vMerge/>
            <w:vAlign w:val="center"/>
          </w:tcPr>
          <w:p w:rsidR="00247B3A" w:rsidRDefault="00247B3A">
            <w:pPr>
              <w:spacing w:line="360" w:lineRule="auto"/>
              <w:rPr>
                <w:rFonts w:ascii="宋体" w:hAnsi="宋体"/>
                <w:sz w:val="24"/>
                <w:szCs w:val="24"/>
              </w:rPr>
            </w:pPr>
          </w:p>
        </w:tc>
        <w:tc>
          <w:tcPr>
            <w:tcW w:w="1850" w:type="dxa"/>
            <w:vAlign w:val="center"/>
          </w:tcPr>
          <w:p w:rsidR="00247B3A" w:rsidRDefault="00EF6574">
            <w:pPr>
              <w:spacing w:line="360" w:lineRule="auto"/>
              <w:cnfStyle w:val="000000000000"/>
              <w:rPr>
                <w:rFonts w:ascii="宋体" w:hAnsi="宋体"/>
                <w:sz w:val="24"/>
                <w:szCs w:val="24"/>
              </w:rPr>
            </w:pPr>
            <w:r>
              <w:rPr>
                <w:rFonts w:ascii="宋体" w:hAnsi="宋体" w:hint="eastAsia"/>
                <w:sz w:val="24"/>
                <w:szCs w:val="24"/>
              </w:rPr>
              <w:t>暂停大额申购、转换转入的原因说明</w:t>
            </w:r>
          </w:p>
        </w:tc>
        <w:tc>
          <w:tcPr>
            <w:tcW w:w="0" w:type="auto"/>
            <w:gridSpan w:val="3"/>
            <w:vAlign w:val="center"/>
          </w:tcPr>
          <w:p w:rsidR="00247B3A" w:rsidRDefault="00EF6574">
            <w:pPr>
              <w:spacing w:line="360" w:lineRule="auto"/>
              <w:cnfStyle w:val="000000000000"/>
              <w:rPr>
                <w:rFonts w:ascii="宋体" w:hAnsi="宋体"/>
                <w:sz w:val="24"/>
                <w:szCs w:val="24"/>
              </w:rPr>
            </w:pPr>
            <w:r>
              <w:rPr>
                <w:rFonts w:ascii="宋体" w:hAnsi="宋体" w:hint="eastAsia"/>
                <w:sz w:val="24"/>
                <w:szCs w:val="24"/>
              </w:rPr>
              <w:t>为维护基金份额持有人的利益</w:t>
            </w:r>
          </w:p>
        </w:tc>
      </w:tr>
      <w:tr w:rsidR="00247B3A">
        <w:trPr>
          <w:trHeight w:val="113"/>
          <w:jc w:val="center"/>
        </w:trPr>
        <w:tc>
          <w:tcPr>
            <w:cnfStyle w:val="001000000000"/>
            <w:tcW w:w="3976" w:type="dxa"/>
            <w:gridSpan w:val="2"/>
            <w:vAlign w:val="center"/>
          </w:tcPr>
          <w:p w:rsidR="00247B3A" w:rsidRDefault="00EF6574">
            <w:pPr>
              <w:spacing w:line="360" w:lineRule="auto"/>
              <w:rPr>
                <w:rFonts w:ascii="宋体" w:hAnsi="宋体"/>
                <w:sz w:val="24"/>
                <w:szCs w:val="24"/>
              </w:rPr>
            </w:pPr>
            <w:r>
              <w:rPr>
                <w:rFonts w:ascii="宋体" w:hAnsi="宋体" w:hint="eastAsia"/>
                <w:sz w:val="24"/>
                <w:szCs w:val="24"/>
              </w:rPr>
              <w:t>下属分级基金的基金简称</w:t>
            </w:r>
          </w:p>
        </w:tc>
        <w:tc>
          <w:tcPr>
            <w:tcW w:w="0" w:type="auto"/>
            <w:vAlign w:val="center"/>
          </w:tcPr>
          <w:p w:rsidR="00247B3A" w:rsidRDefault="00EF6574">
            <w:pPr>
              <w:spacing w:line="360" w:lineRule="auto"/>
              <w:jc w:val="left"/>
              <w:cnfStyle w:val="000000000000"/>
              <w:rPr>
                <w:rFonts w:ascii="宋体" w:hAnsi="宋体"/>
                <w:sz w:val="24"/>
                <w:szCs w:val="24"/>
              </w:rPr>
            </w:pPr>
            <w:r>
              <w:rPr>
                <w:rFonts w:ascii="宋体" w:hAnsi="宋体" w:hint="eastAsia"/>
                <w:sz w:val="24"/>
                <w:szCs w:val="24"/>
              </w:rPr>
              <w:t>华泰紫金天天金货币</w:t>
            </w:r>
            <w:r>
              <w:rPr>
                <w:rFonts w:ascii="宋体" w:hAnsi="宋体"/>
                <w:sz w:val="24"/>
                <w:szCs w:val="24"/>
              </w:rPr>
              <w:t xml:space="preserve"> ETF A</w:t>
            </w:r>
          </w:p>
        </w:tc>
        <w:tc>
          <w:tcPr>
            <w:tcW w:w="0" w:type="auto"/>
            <w:vAlign w:val="center"/>
          </w:tcPr>
          <w:p w:rsidR="00247B3A" w:rsidRDefault="00EF6574">
            <w:pPr>
              <w:spacing w:line="360" w:lineRule="auto"/>
              <w:jc w:val="left"/>
              <w:cnfStyle w:val="000000000000"/>
              <w:rPr>
                <w:rFonts w:ascii="宋体" w:hAnsi="宋体"/>
                <w:sz w:val="24"/>
                <w:szCs w:val="24"/>
              </w:rPr>
            </w:pPr>
            <w:r>
              <w:rPr>
                <w:rFonts w:ascii="宋体" w:hAnsi="宋体" w:hint="eastAsia"/>
                <w:sz w:val="24"/>
                <w:szCs w:val="24"/>
              </w:rPr>
              <w:t>华泰紫金天天金货币</w:t>
            </w:r>
            <w:r>
              <w:rPr>
                <w:rFonts w:ascii="宋体" w:hAnsi="宋体"/>
                <w:sz w:val="24"/>
                <w:szCs w:val="24"/>
              </w:rPr>
              <w:t xml:space="preserve"> ETF B</w:t>
            </w:r>
          </w:p>
        </w:tc>
        <w:tc>
          <w:tcPr>
            <w:tcW w:w="0" w:type="auto"/>
            <w:vAlign w:val="center"/>
          </w:tcPr>
          <w:p w:rsidR="00247B3A" w:rsidRDefault="00EF6574">
            <w:pPr>
              <w:spacing w:line="360" w:lineRule="auto"/>
              <w:jc w:val="left"/>
              <w:cnfStyle w:val="000000000000"/>
              <w:rPr>
                <w:rFonts w:ascii="宋体" w:hAnsi="宋体"/>
                <w:sz w:val="24"/>
                <w:szCs w:val="24"/>
              </w:rPr>
            </w:pPr>
            <w:r>
              <w:rPr>
                <w:rFonts w:ascii="宋体" w:hAnsi="宋体" w:hint="eastAsia"/>
                <w:sz w:val="24"/>
                <w:szCs w:val="24"/>
              </w:rPr>
              <w:t>华泰紫金天天金货币</w:t>
            </w:r>
            <w:r>
              <w:rPr>
                <w:rFonts w:ascii="宋体" w:hAnsi="宋体"/>
                <w:sz w:val="24"/>
                <w:szCs w:val="24"/>
              </w:rPr>
              <w:t xml:space="preserve"> ETF E</w:t>
            </w:r>
          </w:p>
        </w:tc>
      </w:tr>
      <w:tr w:rsidR="00247B3A">
        <w:trPr>
          <w:trHeight w:val="113"/>
          <w:jc w:val="center"/>
        </w:trPr>
        <w:tc>
          <w:tcPr>
            <w:cnfStyle w:val="001000000000"/>
            <w:tcW w:w="3976" w:type="dxa"/>
            <w:gridSpan w:val="2"/>
            <w:vAlign w:val="center"/>
          </w:tcPr>
          <w:p w:rsidR="00247B3A" w:rsidRDefault="00EF6574">
            <w:pPr>
              <w:spacing w:line="360" w:lineRule="auto"/>
              <w:rPr>
                <w:rFonts w:ascii="宋体" w:hAnsi="宋体"/>
                <w:sz w:val="24"/>
                <w:szCs w:val="24"/>
              </w:rPr>
            </w:pPr>
            <w:r>
              <w:rPr>
                <w:rFonts w:ascii="宋体" w:hAnsi="宋体" w:hint="eastAsia"/>
                <w:sz w:val="24"/>
                <w:szCs w:val="24"/>
              </w:rPr>
              <w:t>下属分级基金的交易代码</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sz w:val="24"/>
                <w:szCs w:val="24"/>
              </w:rPr>
              <w:t>511670</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sz w:val="24"/>
                <w:szCs w:val="24"/>
              </w:rPr>
              <w:t>004749</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sz w:val="24"/>
                <w:szCs w:val="24"/>
              </w:rPr>
              <w:t>019567</w:t>
            </w:r>
          </w:p>
        </w:tc>
      </w:tr>
      <w:tr w:rsidR="00247B3A">
        <w:trPr>
          <w:trHeight w:val="113"/>
          <w:jc w:val="center"/>
        </w:trPr>
        <w:tc>
          <w:tcPr>
            <w:cnfStyle w:val="001000000000"/>
            <w:tcW w:w="3976" w:type="dxa"/>
            <w:gridSpan w:val="2"/>
            <w:vAlign w:val="center"/>
          </w:tcPr>
          <w:p w:rsidR="00247B3A" w:rsidRDefault="00EF6574">
            <w:pPr>
              <w:spacing w:line="360" w:lineRule="auto"/>
              <w:rPr>
                <w:rFonts w:ascii="宋体" w:hAnsi="宋体"/>
                <w:sz w:val="24"/>
                <w:szCs w:val="24"/>
              </w:rPr>
            </w:pPr>
            <w:r>
              <w:rPr>
                <w:rFonts w:ascii="宋体" w:hAnsi="宋体" w:hint="eastAsia"/>
                <w:sz w:val="24"/>
                <w:szCs w:val="24"/>
              </w:rPr>
              <w:t>下属分级基金的限制申购金额（单位：万元</w:t>
            </w:r>
            <w:r>
              <w:rPr>
                <w:rFonts w:ascii="宋体" w:hAnsi="宋体"/>
                <w:sz w:val="24"/>
                <w:szCs w:val="24"/>
              </w:rPr>
              <w:t>）</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hint="eastAsia"/>
                <w:sz w:val="24"/>
                <w:szCs w:val="24"/>
              </w:rPr>
              <w:t>-</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hint="eastAsia"/>
                <w:sz w:val="24"/>
                <w:szCs w:val="24"/>
              </w:rPr>
              <w:t>1</w:t>
            </w:r>
            <w:r>
              <w:rPr>
                <w:rFonts w:ascii="宋体" w:hAnsi="宋体"/>
                <w:sz w:val="24"/>
                <w:szCs w:val="24"/>
              </w:rPr>
              <w:t>.0</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hint="eastAsia"/>
                <w:sz w:val="24"/>
                <w:szCs w:val="24"/>
              </w:rPr>
              <w:t>-</w:t>
            </w:r>
          </w:p>
        </w:tc>
      </w:tr>
      <w:tr w:rsidR="00247B3A">
        <w:trPr>
          <w:trHeight w:val="113"/>
          <w:jc w:val="center"/>
        </w:trPr>
        <w:tc>
          <w:tcPr>
            <w:cnfStyle w:val="001000000000"/>
            <w:tcW w:w="3976" w:type="dxa"/>
            <w:gridSpan w:val="2"/>
            <w:vAlign w:val="center"/>
          </w:tcPr>
          <w:p w:rsidR="00247B3A" w:rsidRDefault="00EF6574">
            <w:pPr>
              <w:spacing w:line="360" w:lineRule="auto"/>
              <w:rPr>
                <w:rFonts w:ascii="宋体" w:hAnsi="宋体"/>
                <w:sz w:val="24"/>
                <w:szCs w:val="24"/>
              </w:rPr>
            </w:pPr>
            <w:r>
              <w:rPr>
                <w:rFonts w:ascii="宋体" w:hAnsi="宋体" w:hint="eastAsia"/>
                <w:sz w:val="24"/>
                <w:szCs w:val="24"/>
              </w:rPr>
              <w:t>下属分级基金的限制转入金额（单位：万元</w:t>
            </w:r>
            <w:r>
              <w:rPr>
                <w:rFonts w:ascii="宋体" w:hAnsi="宋体"/>
                <w:sz w:val="24"/>
                <w:szCs w:val="24"/>
              </w:rPr>
              <w:t>）</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hint="eastAsia"/>
                <w:sz w:val="24"/>
                <w:szCs w:val="24"/>
              </w:rPr>
              <w:t>-</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hint="eastAsia"/>
                <w:sz w:val="24"/>
                <w:szCs w:val="24"/>
              </w:rPr>
              <w:t>1</w:t>
            </w:r>
            <w:r>
              <w:rPr>
                <w:rFonts w:ascii="宋体" w:hAnsi="宋体"/>
                <w:sz w:val="24"/>
                <w:szCs w:val="24"/>
              </w:rPr>
              <w:t>.0</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hint="eastAsia"/>
                <w:sz w:val="24"/>
                <w:szCs w:val="24"/>
              </w:rPr>
              <w:t>-</w:t>
            </w:r>
          </w:p>
        </w:tc>
      </w:tr>
      <w:tr w:rsidR="00247B3A">
        <w:trPr>
          <w:trHeight w:val="113"/>
          <w:jc w:val="center"/>
        </w:trPr>
        <w:tc>
          <w:tcPr>
            <w:cnfStyle w:val="001000000000"/>
            <w:tcW w:w="3976" w:type="dxa"/>
            <w:gridSpan w:val="2"/>
            <w:vAlign w:val="center"/>
          </w:tcPr>
          <w:p w:rsidR="00247B3A" w:rsidRDefault="00EF6574">
            <w:pPr>
              <w:spacing w:line="360" w:lineRule="auto"/>
              <w:rPr>
                <w:rFonts w:ascii="宋体" w:hAnsi="宋体"/>
                <w:sz w:val="24"/>
                <w:szCs w:val="24"/>
              </w:rPr>
            </w:pPr>
            <w:r>
              <w:rPr>
                <w:rFonts w:ascii="宋体" w:hAnsi="宋体" w:hint="eastAsia"/>
                <w:sz w:val="24"/>
                <w:szCs w:val="24"/>
              </w:rPr>
              <w:t>该分级基金是否暂停</w:t>
            </w:r>
            <w:r>
              <w:rPr>
                <w:rFonts w:ascii="宋体" w:hAnsi="宋体"/>
                <w:sz w:val="24"/>
                <w:szCs w:val="24"/>
              </w:rPr>
              <w:t>/</w:t>
            </w:r>
            <w:r>
              <w:rPr>
                <w:rFonts w:ascii="宋体" w:hAnsi="宋体"/>
                <w:sz w:val="24"/>
                <w:szCs w:val="24"/>
              </w:rPr>
              <w:t>恢复（大额）申购（转换转入、赎回、转换转出、定期定额投资）</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hint="eastAsia"/>
                <w:sz w:val="24"/>
                <w:szCs w:val="24"/>
              </w:rPr>
              <w:t>-</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hint="eastAsia"/>
                <w:sz w:val="24"/>
                <w:szCs w:val="24"/>
              </w:rPr>
              <w:t>是</w:t>
            </w:r>
          </w:p>
        </w:tc>
        <w:tc>
          <w:tcPr>
            <w:tcW w:w="0" w:type="auto"/>
            <w:vAlign w:val="center"/>
          </w:tcPr>
          <w:p w:rsidR="00247B3A" w:rsidRDefault="00EF6574">
            <w:pPr>
              <w:spacing w:line="360" w:lineRule="auto"/>
              <w:jc w:val="center"/>
              <w:cnfStyle w:val="000000000000"/>
              <w:rPr>
                <w:rFonts w:ascii="宋体" w:hAnsi="宋体"/>
                <w:sz w:val="24"/>
                <w:szCs w:val="24"/>
              </w:rPr>
            </w:pPr>
            <w:r>
              <w:rPr>
                <w:rFonts w:ascii="宋体" w:hAnsi="宋体" w:hint="eastAsia"/>
                <w:sz w:val="24"/>
                <w:szCs w:val="24"/>
              </w:rPr>
              <w:t>-</w:t>
            </w:r>
          </w:p>
        </w:tc>
      </w:tr>
    </w:tbl>
    <w:p w:rsidR="00247B3A" w:rsidRDefault="00247B3A">
      <w:pPr>
        <w:spacing w:line="360" w:lineRule="auto"/>
        <w:rPr>
          <w:rFonts w:ascii="宋体" w:hAnsi="宋体"/>
          <w:sz w:val="24"/>
          <w:szCs w:val="24"/>
        </w:rPr>
      </w:pPr>
    </w:p>
    <w:p w:rsidR="00247B3A" w:rsidRDefault="00EF6574">
      <w:pPr>
        <w:spacing w:line="360" w:lineRule="auto"/>
        <w:rPr>
          <w:rFonts w:ascii="宋体" w:hAnsi="宋体"/>
          <w:sz w:val="24"/>
          <w:szCs w:val="24"/>
        </w:rPr>
      </w:pPr>
      <w:r>
        <w:rPr>
          <w:rFonts w:ascii="宋体" w:hAnsi="宋体" w:hint="eastAsia"/>
          <w:sz w:val="24"/>
          <w:szCs w:val="24"/>
        </w:rPr>
        <w:t>注：</w:t>
      </w:r>
    </w:p>
    <w:p w:rsidR="00247B3A" w:rsidRDefault="00EF6574">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、为维护基金份额持有人的利益，华泰紫金天天金交易型货币市场基金</w:t>
      </w:r>
      <w:r>
        <w:rPr>
          <w:rFonts w:ascii="宋体" w:hAnsi="宋体" w:hint="eastAsia"/>
          <w:sz w:val="24"/>
          <w:szCs w:val="24"/>
        </w:rPr>
        <w:t>B</w:t>
      </w:r>
      <w:r>
        <w:rPr>
          <w:rFonts w:ascii="宋体" w:hAnsi="宋体" w:hint="eastAsia"/>
          <w:sz w:val="24"/>
          <w:szCs w:val="24"/>
        </w:rPr>
        <w:t>份额限制中欧财富基金、同花顺基金、创金启富基金、苏宁基金、众禄基金、好买基金、京东肯特瑞基金、度小满基金、玄元保险、长量基金、盈米基金、利得基金、云湾基金、奕丰基金单一账户</w:t>
      </w:r>
      <w:r>
        <w:rPr>
          <w:rFonts w:ascii="宋体" w:hAnsi="宋体"/>
          <w:sz w:val="24"/>
          <w:szCs w:val="24"/>
        </w:rPr>
        <w:t>单日申购及转换转入的金额为不超过</w:t>
      </w:r>
      <w:r>
        <w:rPr>
          <w:rFonts w:ascii="宋体" w:hAnsi="宋体"/>
          <w:sz w:val="24"/>
          <w:szCs w:val="24"/>
        </w:rPr>
        <w:t>1</w:t>
      </w:r>
      <w:r>
        <w:rPr>
          <w:rFonts w:ascii="宋体" w:hAnsi="宋体"/>
          <w:sz w:val="24"/>
          <w:szCs w:val="24"/>
        </w:rPr>
        <w:t>万元</w:t>
      </w:r>
      <w:r>
        <w:rPr>
          <w:rFonts w:ascii="宋体" w:hAnsi="宋体" w:hint="eastAsia"/>
          <w:sz w:val="24"/>
          <w:szCs w:val="24"/>
        </w:rPr>
        <w:t>（含</w:t>
      </w:r>
      <w:r>
        <w:rPr>
          <w:rFonts w:ascii="宋体" w:hAnsi="宋体" w:hint="eastAsia"/>
          <w:sz w:val="24"/>
          <w:szCs w:val="24"/>
        </w:rPr>
        <w:t>1</w:t>
      </w:r>
      <w:r>
        <w:rPr>
          <w:rFonts w:ascii="宋体" w:hAnsi="宋体" w:hint="eastAsia"/>
          <w:sz w:val="24"/>
          <w:szCs w:val="24"/>
        </w:rPr>
        <w:t>万元）。</w:t>
      </w:r>
    </w:p>
    <w:p w:rsidR="00247B3A" w:rsidRDefault="00EF6574">
      <w:pPr>
        <w:spacing w:line="360" w:lineRule="auto"/>
        <w:ind w:firstLineChars="200" w:firstLine="480"/>
        <w:rPr>
          <w:rFonts w:ascii="宋体" w:hAnsi="宋体"/>
          <w:sz w:val="24"/>
          <w:szCs w:val="24"/>
        </w:rPr>
      </w:pPr>
      <w:r>
        <w:rPr>
          <w:rFonts w:ascii="宋体" w:hAnsi="宋体"/>
          <w:sz w:val="24"/>
          <w:szCs w:val="24"/>
        </w:rPr>
        <w:lastRenderedPageBreak/>
        <w:t>2</w:t>
      </w:r>
      <w:r>
        <w:rPr>
          <w:rFonts w:ascii="宋体" w:hAnsi="宋体" w:hint="eastAsia"/>
          <w:sz w:val="24"/>
          <w:szCs w:val="24"/>
        </w:rPr>
        <w:t>、本基金已于</w:t>
      </w:r>
      <w:r>
        <w:rPr>
          <w:rFonts w:ascii="宋体" w:hAnsi="宋体" w:hint="eastAsia"/>
          <w:sz w:val="24"/>
          <w:szCs w:val="24"/>
        </w:rPr>
        <w:t>2</w:t>
      </w:r>
      <w:r>
        <w:rPr>
          <w:rFonts w:ascii="宋体" w:hAnsi="宋体"/>
          <w:sz w:val="24"/>
          <w:szCs w:val="24"/>
        </w:rPr>
        <w:t>019</w:t>
      </w:r>
      <w:r>
        <w:rPr>
          <w:rFonts w:ascii="宋体" w:hAnsi="宋体" w:hint="eastAsia"/>
          <w:sz w:val="24"/>
          <w:szCs w:val="24"/>
        </w:rPr>
        <w:t>年</w:t>
      </w:r>
      <w:r>
        <w:rPr>
          <w:rFonts w:ascii="宋体" w:hAnsi="宋体"/>
          <w:sz w:val="24"/>
          <w:szCs w:val="24"/>
        </w:rPr>
        <w:t>3</w:t>
      </w:r>
      <w:r>
        <w:rPr>
          <w:rFonts w:ascii="宋体" w:hAnsi="宋体" w:hint="eastAsia"/>
          <w:sz w:val="24"/>
          <w:szCs w:val="24"/>
        </w:rPr>
        <w:t>月</w:t>
      </w:r>
      <w:r>
        <w:rPr>
          <w:rFonts w:ascii="宋体" w:hAnsi="宋体"/>
          <w:sz w:val="24"/>
          <w:szCs w:val="24"/>
        </w:rPr>
        <w:t>6</w:t>
      </w:r>
      <w:r>
        <w:rPr>
          <w:rFonts w:ascii="宋体" w:hAnsi="宋体" w:hint="eastAsia"/>
          <w:sz w:val="24"/>
          <w:szCs w:val="24"/>
        </w:rPr>
        <w:t>日暂停</w:t>
      </w:r>
      <w:r>
        <w:rPr>
          <w:rFonts w:ascii="宋体" w:hAnsi="宋体" w:hint="eastAsia"/>
          <w:sz w:val="24"/>
          <w:szCs w:val="24"/>
        </w:rPr>
        <w:t>B</w:t>
      </w:r>
      <w:r>
        <w:rPr>
          <w:rFonts w:ascii="宋体" w:hAnsi="宋体" w:hint="eastAsia"/>
          <w:sz w:val="24"/>
          <w:szCs w:val="24"/>
        </w:rPr>
        <w:t>类基金份额</w:t>
      </w:r>
      <w:r>
        <w:rPr>
          <w:rFonts w:ascii="宋体" w:hAnsi="宋体" w:hint="eastAsia"/>
          <w:sz w:val="24"/>
          <w:szCs w:val="24"/>
        </w:rPr>
        <w:t>大额申购业务，限制金额为不超过</w:t>
      </w:r>
      <w:r>
        <w:rPr>
          <w:rFonts w:ascii="宋体" w:hAnsi="宋体"/>
          <w:sz w:val="24"/>
          <w:szCs w:val="24"/>
        </w:rPr>
        <w:t>500</w:t>
      </w:r>
      <w:r>
        <w:rPr>
          <w:rFonts w:ascii="宋体" w:hAnsi="宋体" w:hint="eastAsia"/>
          <w:sz w:val="24"/>
          <w:szCs w:val="24"/>
        </w:rPr>
        <w:t>万元（含</w:t>
      </w:r>
      <w:r>
        <w:rPr>
          <w:rFonts w:ascii="宋体" w:hAnsi="宋体" w:hint="eastAsia"/>
          <w:sz w:val="24"/>
          <w:szCs w:val="24"/>
        </w:rPr>
        <w:t>5</w:t>
      </w:r>
      <w:r>
        <w:rPr>
          <w:rFonts w:ascii="宋体" w:hAnsi="宋体"/>
          <w:sz w:val="24"/>
          <w:szCs w:val="24"/>
        </w:rPr>
        <w:t>00</w:t>
      </w:r>
      <w:r>
        <w:rPr>
          <w:rFonts w:ascii="宋体" w:hAnsi="宋体" w:hint="eastAsia"/>
          <w:sz w:val="24"/>
          <w:szCs w:val="24"/>
        </w:rPr>
        <w:t>万元），本次公告仅调整上述部分代销渠道大额申购及大额转换转入。</w:t>
      </w:r>
    </w:p>
    <w:p w:rsidR="00247B3A" w:rsidRDefault="00EF6574">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、本基金恢复</w:t>
      </w:r>
      <w:r>
        <w:rPr>
          <w:rFonts w:ascii="宋体" w:hAnsi="宋体"/>
          <w:sz w:val="24"/>
          <w:szCs w:val="24"/>
        </w:rPr>
        <w:t>正常申购及转换转入业务的具体时间将另行公告。</w:t>
      </w:r>
    </w:p>
    <w:p w:rsidR="00247B3A" w:rsidRDefault="00EF6574">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、本公告的解释权归</w:t>
      </w:r>
      <w:r>
        <w:rPr>
          <w:rFonts w:ascii="宋体" w:hAnsi="宋体"/>
          <w:sz w:val="24"/>
          <w:szCs w:val="24"/>
        </w:rPr>
        <w:t>华泰证券</w:t>
      </w:r>
      <w:r>
        <w:rPr>
          <w:rFonts w:ascii="宋体" w:hAnsi="宋体" w:hint="eastAsia"/>
          <w:sz w:val="24"/>
          <w:szCs w:val="24"/>
        </w:rPr>
        <w:t>（</w:t>
      </w:r>
      <w:r>
        <w:rPr>
          <w:rFonts w:ascii="宋体" w:hAnsi="宋体"/>
          <w:sz w:val="24"/>
          <w:szCs w:val="24"/>
        </w:rPr>
        <w:t>上海</w:t>
      </w:r>
      <w:r>
        <w:rPr>
          <w:rFonts w:ascii="宋体" w:hAnsi="宋体" w:hint="eastAsia"/>
          <w:sz w:val="24"/>
          <w:szCs w:val="24"/>
        </w:rPr>
        <w:t>）</w:t>
      </w:r>
      <w:r>
        <w:rPr>
          <w:rFonts w:ascii="宋体" w:hAnsi="宋体"/>
          <w:sz w:val="24"/>
          <w:szCs w:val="24"/>
        </w:rPr>
        <w:t>资产管理有限公司</w:t>
      </w:r>
      <w:r>
        <w:rPr>
          <w:rFonts w:ascii="宋体" w:hAnsi="宋体" w:hint="eastAsia"/>
          <w:sz w:val="24"/>
          <w:szCs w:val="24"/>
        </w:rPr>
        <w:t>所有。</w:t>
      </w:r>
    </w:p>
    <w:p w:rsidR="00247B3A" w:rsidRDefault="00247B3A">
      <w:pPr>
        <w:spacing w:line="360" w:lineRule="auto"/>
        <w:rPr>
          <w:rFonts w:ascii="宋体" w:hAnsi="宋体"/>
          <w:sz w:val="24"/>
          <w:szCs w:val="24"/>
        </w:rPr>
      </w:pPr>
    </w:p>
    <w:p w:rsidR="00247B3A" w:rsidRDefault="00EF6574">
      <w:pPr>
        <w:spacing w:line="360" w:lineRule="auto"/>
        <w:rPr>
          <w:rFonts w:ascii="宋体" w:hAnsi="宋体"/>
          <w:b/>
          <w:sz w:val="24"/>
          <w:szCs w:val="24"/>
        </w:rPr>
      </w:pPr>
      <w:r>
        <w:rPr>
          <w:rFonts w:ascii="宋体" w:hAnsi="宋体" w:hint="eastAsia"/>
          <w:b/>
          <w:sz w:val="24"/>
          <w:szCs w:val="24"/>
        </w:rPr>
        <w:t>2</w:t>
      </w:r>
      <w:r>
        <w:rPr>
          <w:rFonts w:ascii="宋体" w:hAnsi="宋体"/>
          <w:b/>
          <w:sz w:val="24"/>
          <w:szCs w:val="24"/>
        </w:rPr>
        <w:t>.</w:t>
      </w:r>
      <w:r>
        <w:rPr>
          <w:rFonts w:ascii="宋体" w:hAnsi="宋体" w:hint="eastAsia"/>
          <w:b/>
          <w:sz w:val="24"/>
          <w:szCs w:val="24"/>
        </w:rPr>
        <w:t>其他需要提示的事项</w:t>
      </w:r>
    </w:p>
    <w:p w:rsidR="00247B3A" w:rsidRDefault="00EF6574">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投资人欲了解详细情况，可及时通过本基金销售网点、致电本公司的客户服务电话（</w:t>
      </w:r>
      <w:r>
        <w:rPr>
          <w:rFonts w:ascii="宋体" w:hAnsi="宋体"/>
          <w:sz w:val="24"/>
          <w:szCs w:val="24"/>
        </w:rPr>
        <w:t>400-889-5597</w:t>
      </w:r>
      <w:r>
        <w:rPr>
          <w:rFonts w:ascii="宋体" w:hAnsi="宋体"/>
          <w:sz w:val="24"/>
          <w:szCs w:val="24"/>
        </w:rPr>
        <w:t>）或登录本公司网站（</w:t>
      </w:r>
      <w:r>
        <w:rPr>
          <w:rFonts w:ascii="宋体" w:hAnsi="宋体"/>
          <w:sz w:val="24"/>
          <w:szCs w:val="24"/>
        </w:rPr>
        <w:t>https://htamc.htsc.com.cn/</w:t>
      </w:r>
      <w:r>
        <w:rPr>
          <w:rFonts w:ascii="宋体" w:hAnsi="宋体"/>
          <w:sz w:val="24"/>
          <w:szCs w:val="24"/>
        </w:rPr>
        <w:t>）咨询相关事宜</w:t>
      </w:r>
      <w:r>
        <w:rPr>
          <w:rFonts w:ascii="宋体" w:hAnsi="宋体" w:hint="eastAsia"/>
          <w:sz w:val="24"/>
          <w:szCs w:val="24"/>
        </w:rPr>
        <w:t>.</w:t>
      </w:r>
    </w:p>
    <w:p w:rsidR="00247B3A" w:rsidRDefault="00EF6574">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风险提示：本公司承诺以诚实信用、勤勉尽责的原则管理和运用基金资产，但不保证基金一定盈利，也不保证最低收益。基金的过往业绩及其净值高低并不预示其未来业绩表现。投资者购买货币市场基金并不等于将资金作为存款存放在银行或存款类金融机构。敬请投资者注意投资风险。投资者投资于本基金前应认真阅读基金的基金合同、更新的招募说明书及相关公告，并根据自身情况购买与本人风险承受能力相匹配的产品。</w:t>
      </w:r>
    </w:p>
    <w:p w:rsidR="00247B3A" w:rsidRDefault="00EF6574">
      <w:pPr>
        <w:spacing w:line="360" w:lineRule="auto"/>
        <w:ind w:firstLineChars="200" w:firstLine="480"/>
        <w:rPr>
          <w:rFonts w:ascii="宋体" w:hAnsi="宋体"/>
          <w:sz w:val="24"/>
          <w:szCs w:val="24"/>
        </w:rPr>
      </w:pPr>
      <w:r>
        <w:rPr>
          <w:rFonts w:ascii="宋体" w:hAnsi="宋体" w:hint="eastAsia"/>
          <w:sz w:val="24"/>
          <w:szCs w:val="24"/>
        </w:rPr>
        <w:t>特此公告。</w:t>
      </w:r>
    </w:p>
    <w:p w:rsidR="00247B3A" w:rsidRDefault="00247B3A">
      <w:pPr>
        <w:spacing w:line="360" w:lineRule="auto"/>
        <w:rPr>
          <w:rFonts w:ascii="宋体" w:hAnsi="宋体"/>
          <w:sz w:val="24"/>
          <w:szCs w:val="24"/>
        </w:rPr>
      </w:pPr>
    </w:p>
    <w:p w:rsidR="00247B3A" w:rsidRDefault="00247B3A">
      <w:pPr>
        <w:spacing w:line="360" w:lineRule="auto"/>
        <w:rPr>
          <w:rFonts w:ascii="宋体" w:hAnsi="宋体"/>
          <w:sz w:val="24"/>
          <w:szCs w:val="24"/>
        </w:rPr>
      </w:pPr>
    </w:p>
    <w:p w:rsidR="00247B3A" w:rsidRDefault="00247B3A">
      <w:pPr>
        <w:spacing w:line="360" w:lineRule="auto"/>
        <w:rPr>
          <w:rFonts w:ascii="宋体" w:hAnsi="宋体"/>
          <w:sz w:val="24"/>
          <w:szCs w:val="24"/>
        </w:rPr>
      </w:pPr>
    </w:p>
    <w:p w:rsidR="00247B3A" w:rsidRDefault="00EF6574">
      <w:pPr>
        <w:spacing w:line="360" w:lineRule="auto"/>
        <w:jc w:val="right"/>
        <w:rPr>
          <w:rFonts w:ascii="宋体" w:hAnsi="宋体"/>
          <w:sz w:val="24"/>
          <w:szCs w:val="24"/>
        </w:rPr>
      </w:pPr>
      <w:r>
        <w:rPr>
          <w:rFonts w:ascii="宋体" w:hAnsi="宋体"/>
          <w:sz w:val="24"/>
          <w:szCs w:val="24"/>
        </w:rPr>
        <w:t>华泰证券</w:t>
      </w:r>
      <w:r>
        <w:rPr>
          <w:rFonts w:ascii="宋体" w:hAnsi="宋体" w:hint="eastAsia"/>
          <w:sz w:val="24"/>
          <w:szCs w:val="24"/>
        </w:rPr>
        <w:t>（</w:t>
      </w:r>
      <w:r>
        <w:rPr>
          <w:rFonts w:ascii="宋体" w:hAnsi="宋体"/>
          <w:sz w:val="24"/>
          <w:szCs w:val="24"/>
        </w:rPr>
        <w:t>上海</w:t>
      </w:r>
      <w:r>
        <w:rPr>
          <w:rFonts w:ascii="宋体" w:hAnsi="宋体" w:hint="eastAsia"/>
          <w:sz w:val="24"/>
          <w:szCs w:val="24"/>
        </w:rPr>
        <w:t>）</w:t>
      </w:r>
      <w:r>
        <w:rPr>
          <w:rFonts w:ascii="宋体" w:hAnsi="宋体"/>
          <w:sz w:val="24"/>
          <w:szCs w:val="24"/>
        </w:rPr>
        <w:t>资产管理有限公司</w:t>
      </w:r>
    </w:p>
    <w:p w:rsidR="00247B3A" w:rsidRDefault="00EF6574">
      <w:pPr>
        <w:spacing w:line="360" w:lineRule="auto"/>
        <w:jc w:val="right"/>
        <w:rPr>
          <w:rFonts w:ascii="宋体" w:hAnsi="宋体"/>
          <w:sz w:val="24"/>
          <w:szCs w:val="24"/>
        </w:rPr>
      </w:pPr>
      <w:r>
        <w:rPr>
          <w:rFonts w:ascii="宋体" w:hAnsi="宋体"/>
          <w:sz w:val="24"/>
          <w:szCs w:val="24"/>
        </w:rPr>
        <w:t>2025</w:t>
      </w:r>
      <w:r>
        <w:rPr>
          <w:rFonts w:ascii="宋体" w:hAnsi="宋体"/>
          <w:sz w:val="24"/>
          <w:szCs w:val="24"/>
        </w:rPr>
        <w:t>年</w:t>
      </w:r>
      <w:r>
        <w:rPr>
          <w:rFonts w:ascii="宋体" w:hAnsi="宋体"/>
          <w:sz w:val="24"/>
          <w:szCs w:val="24"/>
        </w:rPr>
        <w:t>5</w:t>
      </w:r>
      <w:r>
        <w:rPr>
          <w:rFonts w:ascii="宋体" w:hAnsi="宋体"/>
          <w:sz w:val="24"/>
          <w:szCs w:val="24"/>
        </w:rPr>
        <w:t>月</w:t>
      </w:r>
      <w:r>
        <w:rPr>
          <w:rFonts w:ascii="宋体" w:hAnsi="宋体"/>
          <w:sz w:val="24"/>
          <w:szCs w:val="24"/>
        </w:rPr>
        <w:t>27</w:t>
      </w:r>
      <w:r>
        <w:rPr>
          <w:rFonts w:ascii="宋体" w:hAnsi="宋体"/>
          <w:sz w:val="24"/>
          <w:szCs w:val="24"/>
        </w:rPr>
        <w:t>日</w:t>
      </w:r>
    </w:p>
    <w:p w:rsidR="00247B3A" w:rsidRDefault="00247B3A">
      <w:pPr>
        <w:spacing w:line="360" w:lineRule="auto"/>
        <w:jc w:val="right"/>
        <w:rPr>
          <w:rFonts w:ascii="宋体" w:hAnsi="宋体"/>
          <w:sz w:val="24"/>
          <w:szCs w:val="24"/>
        </w:rPr>
      </w:pPr>
    </w:p>
    <w:sectPr w:rsidR="00247B3A" w:rsidSect="00247B3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B3A" w:rsidRDefault="00EF6574">
      <w:pPr>
        <w:rPr>
          <w:rFonts w:hint="eastAsia"/>
        </w:rPr>
      </w:pPr>
      <w:r>
        <w:separator/>
      </w:r>
    </w:p>
  </w:endnote>
  <w:endnote w:type="continuationSeparator" w:id="0">
    <w:p w:rsidR="00247B3A" w:rsidRDefault="00EF6574">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等线">
    <w:charset w:val="00"/>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B3A" w:rsidRDefault="00EF6574">
      <w:pPr>
        <w:rPr>
          <w:rFonts w:hint="eastAsia"/>
        </w:rPr>
      </w:pPr>
      <w:r>
        <w:separator/>
      </w:r>
    </w:p>
  </w:footnote>
  <w:footnote w:type="continuationSeparator" w:id="0">
    <w:p w:rsidR="00247B3A" w:rsidRDefault="00EF6574">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247B3A"/>
    <w:rsid w:val="00247B3A"/>
    <w:rsid w:val="00EF65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宋体" w:hAnsi="等线" w:cs="等线"/>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3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247B3A"/>
    <w:rPr>
      <w:rFonts w:ascii="Arial" w:eastAsia="Arial" w:hAnsi="Arial" w:cs="Arial"/>
      <w:sz w:val="40"/>
      <w:szCs w:val="40"/>
    </w:rPr>
  </w:style>
  <w:style w:type="character" w:customStyle="1" w:styleId="Heading2Char">
    <w:name w:val="Heading 2 Char"/>
    <w:basedOn w:val="a0"/>
    <w:link w:val="Heading2"/>
    <w:uiPriority w:val="9"/>
    <w:rsid w:val="00247B3A"/>
    <w:rPr>
      <w:rFonts w:ascii="Arial" w:eastAsia="Arial" w:hAnsi="Arial" w:cs="Arial"/>
      <w:sz w:val="34"/>
    </w:rPr>
  </w:style>
  <w:style w:type="paragraph" w:customStyle="1" w:styleId="Heading3">
    <w:name w:val="Heading 3"/>
    <w:basedOn w:val="a"/>
    <w:next w:val="a"/>
    <w:link w:val="Heading3Char"/>
    <w:uiPriority w:val="9"/>
    <w:unhideWhenUsed/>
    <w:qFormat/>
    <w:rsid w:val="00247B3A"/>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247B3A"/>
    <w:rPr>
      <w:rFonts w:ascii="Arial" w:eastAsia="Arial" w:hAnsi="Arial" w:cs="Arial"/>
      <w:sz w:val="30"/>
      <w:szCs w:val="30"/>
    </w:rPr>
  </w:style>
  <w:style w:type="paragraph" w:customStyle="1" w:styleId="Heading4">
    <w:name w:val="Heading 4"/>
    <w:basedOn w:val="a"/>
    <w:next w:val="a"/>
    <w:link w:val="Heading4Char"/>
    <w:uiPriority w:val="9"/>
    <w:unhideWhenUsed/>
    <w:qFormat/>
    <w:rsid w:val="00247B3A"/>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247B3A"/>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247B3A"/>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247B3A"/>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247B3A"/>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Heading6"/>
    <w:uiPriority w:val="9"/>
    <w:rsid w:val="00247B3A"/>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247B3A"/>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Heading7"/>
    <w:uiPriority w:val="9"/>
    <w:rsid w:val="00247B3A"/>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247B3A"/>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Heading8"/>
    <w:uiPriority w:val="9"/>
    <w:rsid w:val="00247B3A"/>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247B3A"/>
    <w:pPr>
      <w:keepNext/>
      <w:keepLines/>
      <w:spacing w:before="320" w:after="200"/>
      <w:outlineLvl w:val="8"/>
    </w:pPr>
    <w:rPr>
      <w:rFonts w:ascii="Arial" w:eastAsia="Arial" w:hAnsi="Arial" w:cs="Arial"/>
      <w:i/>
      <w:iCs/>
      <w:szCs w:val="21"/>
    </w:rPr>
  </w:style>
  <w:style w:type="character" w:customStyle="1" w:styleId="Heading9Char">
    <w:name w:val="Heading 9 Char"/>
    <w:basedOn w:val="a0"/>
    <w:link w:val="Heading9"/>
    <w:uiPriority w:val="9"/>
    <w:rsid w:val="00247B3A"/>
    <w:rPr>
      <w:rFonts w:ascii="Arial" w:eastAsia="Arial" w:hAnsi="Arial" w:cs="Arial"/>
      <w:i/>
      <w:iCs/>
      <w:sz w:val="21"/>
      <w:szCs w:val="21"/>
    </w:rPr>
  </w:style>
  <w:style w:type="paragraph" w:styleId="a3">
    <w:name w:val="No Spacing"/>
    <w:uiPriority w:val="1"/>
    <w:qFormat/>
    <w:rsid w:val="00247B3A"/>
  </w:style>
  <w:style w:type="paragraph" w:styleId="a4">
    <w:name w:val="Title"/>
    <w:basedOn w:val="a"/>
    <w:next w:val="a"/>
    <w:link w:val="Char"/>
    <w:uiPriority w:val="10"/>
    <w:qFormat/>
    <w:rsid w:val="00247B3A"/>
    <w:pPr>
      <w:spacing w:before="300" w:after="200"/>
      <w:contextualSpacing/>
    </w:pPr>
    <w:rPr>
      <w:sz w:val="48"/>
      <w:szCs w:val="48"/>
    </w:rPr>
  </w:style>
  <w:style w:type="character" w:customStyle="1" w:styleId="Char">
    <w:name w:val="标题 Char"/>
    <w:basedOn w:val="a0"/>
    <w:link w:val="a4"/>
    <w:uiPriority w:val="10"/>
    <w:rsid w:val="00247B3A"/>
    <w:rPr>
      <w:sz w:val="48"/>
      <w:szCs w:val="48"/>
    </w:rPr>
  </w:style>
  <w:style w:type="paragraph" w:styleId="a5">
    <w:name w:val="Subtitle"/>
    <w:basedOn w:val="a"/>
    <w:next w:val="a"/>
    <w:link w:val="Char0"/>
    <w:uiPriority w:val="11"/>
    <w:qFormat/>
    <w:rsid w:val="00247B3A"/>
    <w:pPr>
      <w:spacing w:before="200" w:after="200"/>
    </w:pPr>
    <w:rPr>
      <w:sz w:val="24"/>
      <w:szCs w:val="24"/>
    </w:rPr>
  </w:style>
  <w:style w:type="character" w:customStyle="1" w:styleId="Char0">
    <w:name w:val="副标题 Char"/>
    <w:basedOn w:val="a0"/>
    <w:link w:val="a5"/>
    <w:uiPriority w:val="11"/>
    <w:rsid w:val="00247B3A"/>
    <w:rPr>
      <w:sz w:val="24"/>
      <w:szCs w:val="24"/>
    </w:rPr>
  </w:style>
  <w:style w:type="paragraph" w:styleId="a6">
    <w:name w:val="Quote"/>
    <w:basedOn w:val="a"/>
    <w:next w:val="a"/>
    <w:link w:val="Char1"/>
    <w:uiPriority w:val="29"/>
    <w:qFormat/>
    <w:rsid w:val="00247B3A"/>
    <w:pPr>
      <w:ind w:left="720" w:right="720"/>
    </w:pPr>
    <w:rPr>
      <w:i/>
    </w:rPr>
  </w:style>
  <w:style w:type="character" w:customStyle="1" w:styleId="Char1">
    <w:name w:val="引用 Char"/>
    <w:link w:val="a6"/>
    <w:uiPriority w:val="29"/>
    <w:rsid w:val="00247B3A"/>
    <w:rPr>
      <w:i/>
    </w:rPr>
  </w:style>
  <w:style w:type="paragraph" w:styleId="a7">
    <w:name w:val="Intense Quote"/>
    <w:basedOn w:val="a"/>
    <w:next w:val="a"/>
    <w:link w:val="Char2"/>
    <w:uiPriority w:val="30"/>
    <w:qFormat/>
    <w:rsid w:val="00247B3A"/>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247B3A"/>
    <w:rPr>
      <w:i/>
    </w:rPr>
  </w:style>
  <w:style w:type="character" w:customStyle="1" w:styleId="HeaderChar">
    <w:name w:val="Header Char"/>
    <w:basedOn w:val="a0"/>
    <w:link w:val="Header"/>
    <w:uiPriority w:val="99"/>
    <w:rsid w:val="00247B3A"/>
  </w:style>
  <w:style w:type="character" w:customStyle="1" w:styleId="FooterChar">
    <w:name w:val="Footer Char"/>
    <w:basedOn w:val="a0"/>
    <w:link w:val="Footer"/>
    <w:uiPriority w:val="99"/>
    <w:rsid w:val="00247B3A"/>
  </w:style>
  <w:style w:type="paragraph" w:customStyle="1" w:styleId="Caption">
    <w:name w:val="Caption"/>
    <w:basedOn w:val="a"/>
    <w:next w:val="a"/>
    <w:uiPriority w:val="35"/>
    <w:semiHidden/>
    <w:unhideWhenUsed/>
    <w:qFormat/>
    <w:rsid w:val="00247B3A"/>
    <w:pPr>
      <w:spacing w:line="276" w:lineRule="auto"/>
    </w:pPr>
    <w:rPr>
      <w:b/>
      <w:bCs/>
      <w:color w:val="5B9BD5" w:themeColor="accent1"/>
      <w:sz w:val="18"/>
      <w:szCs w:val="18"/>
    </w:rPr>
  </w:style>
  <w:style w:type="character" w:customStyle="1" w:styleId="CaptionChar">
    <w:name w:val="Caption Char"/>
    <w:link w:val="Footer"/>
    <w:uiPriority w:val="99"/>
    <w:rsid w:val="00247B3A"/>
  </w:style>
  <w:style w:type="table" w:customStyle="1" w:styleId="TableGridLight">
    <w:name w:val="Table Grid Light"/>
    <w:basedOn w:val="a1"/>
    <w:uiPriority w:val="59"/>
    <w:rsid w:val="00247B3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247B3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247B3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247B3A"/>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247B3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247B3A"/>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247B3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247B3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247B3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247B3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247B3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247B3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247B3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247B3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247B3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247B3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247B3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247B3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247B3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247B3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247B3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247B3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247B3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247B3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247B3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247B3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247B3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247B3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247B3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247B3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247B3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247B3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247B3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247B3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247B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247B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247B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247B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247B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247B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247B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247B3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247B3A"/>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247B3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247B3A"/>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247B3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247B3A"/>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247B3A"/>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247B3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247B3A"/>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247B3A"/>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247B3A"/>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247B3A"/>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247B3A"/>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247B3A"/>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FFFFFF"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247B3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247B3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247B3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247B3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247B3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247B3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247B3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247B3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247B3A"/>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247B3A"/>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247B3A"/>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247B3A"/>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247B3A"/>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247B3A"/>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247B3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247B3A"/>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247B3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247B3A"/>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247B3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247B3A"/>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247B3A"/>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247B3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247B3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247B3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247B3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247B3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247B3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247B3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247B3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247B3A"/>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247B3A"/>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247B3A"/>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247B3A"/>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247B3A"/>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247B3A"/>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247B3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247B3A"/>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247B3A"/>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247B3A"/>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247B3A"/>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247B3A"/>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247B3A"/>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247B3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247B3A"/>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247B3A"/>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247B3A"/>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247B3A"/>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247B3A"/>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247B3A"/>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247B3A"/>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247B3A"/>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247B3A"/>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247B3A"/>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247B3A"/>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247B3A"/>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247B3A"/>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247B3A"/>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247B3A"/>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247B3A"/>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247B3A"/>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247B3A"/>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247B3A"/>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247B3A"/>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247B3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247B3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247B3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247B3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247B3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247B3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247B3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8">
    <w:name w:val="Hyperlink"/>
    <w:uiPriority w:val="99"/>
    <w:unhideWhenUsed/>
    <w:rsid w:val="00247B3A"/>
    <w:rPr>
      <w:color w:val="0563C1" w:themeColor="hyperlink"/>
      <w:u w:val="single"/>
    </w:rPr>
  </w:style>
  <w:style w:type="character" w:customStyle="1" w:styleId="FootnoteTextChar">
    <w:name w:val="Footnote Text Char"/>
    <w:link w:val="a9"/>
    <w:uiPriority w:val="99"/>
    <w:rsid w:val="00247B3A"/>
    <w:rPr>
      <w:sz w:val="18"/>
    </w:rPr>
  </w:style>
  <w:style w:type="paragraph" w:styleId="aa">
    <w:name w:val="endnote text"/>
    <w:basedOn w:val="a"/>
    <w:link w:val="Char3"/>
    <w:uiPriority w:val="99"/>
    <w:semiHidden/>
    <w:unhideWhenUsed/>
    <w:rsid w:val="00247B3A"/>
    <w:rPr>
      <w:sz w:val="20"/>
    </w:rPr>
  </w:style>
  <w:style w:type="character" w:customStyle="1" w:styleId="Char3">
    <w:name w:val="尾注文本 Char"/>
    <w:link w:val="aa"/>
    <w:uiPriority w:val="99"/>
    <w:rsid w:val="00247B3A"/>
    <w:rPr>
      <w:sz w:val="20"/>
    </w:rPr>
  </w:style>
  <w:style w:type="character" w:styleId="ab">
    <w:name w:val="endnote reference"/>
    <w:basedOn w:val="a0"/>
    <w:uiPriority w:val="99"/>
    <w:semiHidden/>
    <w:unhideWhenUsed/>
    <w:rsid w:val="00247B3A"/>
    <w:rPr>
      <w:vertAlign w:val="superscript"/>
    </w:rPr>
  </w:style>
  <w:style w:type="paragraph" w:styleId="1">
    <w:name w:val="toc 1"/>
    <w:basedOn w:val="a"/>
    <w:next w:val="a"/>
    <w:uiPriority w:val="39"/>
    <w:unhideWhenUsed/>
    <w:rsid w:val="00247B3A"/>
    <w:pPr>
      <w:spacing w:after="57"/>
    </w:pPr>
  </w:style>
  <w:style w:type="paragraph" w:styleId="2">
    <w:name w:val="toc 2"/>
    <w:basedOn w:val="a"/>
    <w:next w:val="a"/>
    <w:uiPriority w:val="39"/>
    <w:unhideWhenUsed/>
    <w:rsid w:val="00247B3A"/>
    <w:pPr>
      <w:spacing w:after="57"/>
      <w:ind w:left="283"/>
    </w:pPr>
  </w:style>
  <w:style w:type="paragraph" w:styleId="3">
    <w:name w:val="toc 3"/>
    <w:basedOn w:val="a"/>
    <w:next w:val="a"/>
    <w:uiPriority w:val="39"/>
    <w:unhideWhenUsed/>
    <w:rsid w:val="00247B3A"/>
    <w:pPr>
      <w:spacing w:after="57"/>
      <w:ind w:left="567"/>
    </w:pPr>
  </w:style>
  <w:style w:type="paragraph" w:styleId="4">
    <w:name w:val="toc 4"/>
    <w:basedOn w:val="a"/>
    <w:next w:val="a"/>
    <w:uiPriority w:val="39"/>
    <w:unhideWhenUsed/>
    <w:rsid w:val="00247B3A"/>
    <w:pPr>
      <w:spacing w:after="57"/>
      <w:ind w:left="850"/>
    </w:pPr>
  </w:style>
  <w:style w:type="paragraph" w:styleId="5">
    <w:name w:val="toc 5"/>
    <w:basedOn w:val="a"/>
    <w:next w:val="a"/>
    <w:uiPriority w:val="39"/>
    <w:unhideWhenUsed/>
    <w:rsid w:val="00247B3A"/>
    <w:pPr>
      <w:spacing w:after="57"/>
      <w:ind w:left="1134"/>
    </w:pPr>
  </w:style>
  <w:style w:type="paragraph" w:styleId="6">
    <w:name w:val="toc 6"/>
    <w:basedOn w:val="a"/>
    <w:next w:val="a"/>
    <w:uiPriority w:val="39"/>
    <w:unhideWhenUsed/>
    <w:rsid w:val="00247B3A"/>
    <w:pPr>
      <w:spacing w:after="57"/>
      <w:ind w:left="1417"/>
    </w:pPr>
  </w:style>
  <w:style w:type="paragraph" w:styleId="7">
    <w:name w:val="toc 7"/>
    <w:basedOn w:val="a"/>
    <w:next w:val="a"/>
    <w:uiPriority w:val="39"/>
    <w:unhideWhenUsed/>
    <w:rsid w:val="00247B3A"/>
    <w:pPr>
      <w:spacing w:after="57"/>
      <w:ind w:left="1701"/>
    </w:pPr>
  </w:style>
  <w:style w:type="paragraph" w:styleId="8">
    <w:name w:val="toc 8"/>
    <w:basedOn w:val="a"/>
    <w:next w:val="a"/>
    <w:uiPriority w:val="39"/>
    <w:unhideWhenUsed/>
    <w:rsid w:val="00247B3A"/>
    <w:pPr>
      <w:spacing w:after="57"/>
      <w:ind w:left="1984"/>
    </w:pPr>
  </w:style>
  <w:style w:type="paragraph" w:styleId="9">
    <w:name w:val="toc 9"/>
    <w:basedOn w:val="a"/>
    <w:next w:val="a"/>
    <w:uiPriority w:val="39"/>
    <w:unhideWhenUsed/>
    <w:rsid w:val="00247B3A"/>
    <w:pPr>
      <w:spacing w:after="57"/>
      <w:ind w:left="2268"/>
    </w:pPr>
  </w:style>
  <w:style w:type="paragraph" w:styleId="TOC">
    <w:name w:val="TOC Heading"/>
    <w:uiPriority w:val="39"/>
    <w:unhideWhenUsed/>
    <w:rsid w:val="00247B3A"/>
  </w:style>
  <w:style w:type="paragraph" w:styleId="ac">
    <w:name w:val="table of figures"/>
    <w:basedOn w:val="a"/>
    <w:next w:val="a"/>
    <w:uiPriority w:val="99"/>
    <w:unhideWhenUsed/>
    <w:rsid w:val="00247B3A"/>
  </w:style>
  <w:style w:type="paragraph" w:customStyle="1" w:styleId="Heading1">
    <w:name w:val="Heading 1"/>
    <w:basedOn w:val="a"/>
    <w:next w:val="a"/>
    <w:link w:val="10"/>
    <w:qFormat/>
    <w:rsid w:val="00247B3A"/>
    <w:pPr>
      <w:keepNext/>
      <w:keepLines/>
      <w:spacing w:before="340" w:after="330" w:line="578" w:lineRule="auto"/>
      <w:outlineLvl w:val="0"/>
    </w:pPr>
    <w:rPr>
      <w:rFonts w:ascii="Times New Roman" w:hAnsi="Times New Roman" w:cs="Times New Roman"/>
      <w:b/>
      <w:bCs/>
      <w:sz w:val="44"/>
      <w:szCs w:val="44"/>
    </w:rPr>
  </w:style>
  <w:style w:type="paragraph" w:customStyle="1" w:styleId="Heading2">
    <w:name w:val="Heading 2"/>
    <w:basedOn w:val="a"/>
    <w:next w:val="a"/>
    <w:link w:val="21"/>
    <w:qFormat/>
    <w:rsid w:val="00247B3A"/>
    <w:pPr>
      <w:keepNext/>
      <w:keepLines/>
      <w:spacing w:before="260" w:after="260" w:line="416" w:lineRule="auto"/>
      <w:outlineLvl w:val="1"/>
    </w:pPr>
    <w:rPr>
      <w:rFonts w:ascii="Arial" w:eastAsia="黑体" w:hAnsi="Arial" w:cs="Times New Roman"/>
      <w:b/>
      <w:bCs/>
      <w:sz w:val="32"/>
      <w:szCs w:val="32"/>
    </w:rPr>
  </w:style>
  <w:style w:type="paragraph" w:styleId="ad">
    <w:name w:val="annotation text"/>
    <w:basedOn w:val="a"/>
    <w:link w:val="Char4"/>
    <w:uiPriority w:val="99"/>
    <w:semiHidden/>
    <w:unhideWhenUsed/>
    <w:qFormat/>
    <w:rsid w:val="00247B3A"/>
    <w:pPr>
      <w:jc w:val="left"/>
    </w:pPr>
  </w:style>
  <w:style w:type="paragraph" w:styleId="ae">
    <w:name w:val="Date"/>
    <w:basedOn w:val="a"/>
    <w:next w:val="a"/>
    <w:link w:val="Char5"/>
    <w:uiPriority w:val="99"/>
    <w:semiHidden/>
    <w:unhideWhenUsed/>
    <w:qFormat/>
    <w:rsid w:val="00247B3A"/>
    <w:pPr>
      <w:ind w:leftChars="2500" w:left="100"/>
    </w:pPr>
  </w:style>
  <w:style w:type="paragraph" w:styleId="af">
    <w:name w:val="Balloon Text"/>
    <w:basedOn w:val="a"/>
    <w:link w:val="Char6"/>
    <w:uiPriority w:val="99"/>
    <w:semiHidden/>
    <w:unhideWhenUsed/>
    <w:qFormat/>
    <w:rsid w:val="00247B3A"/>
    <w:rPr>
      <w:sz w:val="18"/>
      <w:szCs w:val="18"/>
    </w:rPr>
  </w:style>
  <w:style w:type="paragraph" w:customStyle="1" w:styleId="Footer">
    <w:name w:val="Footer"/>
    <w:basedOn w:val="a"/>
    <w:link w:val="af0"/>
    <w:uiPriority w:val="99"/>
    <w:unhideWhenUsed/>
    <w:qFormat/>
    <w:rsid w:val="00247B3A"/>
    <w:pPr>
      <w:tabs>
        <w:tab w:val="center" w:pos="4153"/>
        <w:tab w:val="right" w:pos="8306"/>
      </w:tabs>
      <w:snapToGrid w:val="0"/>
      <w:jc w:val="left"/>
    </w:pPr>
    <w:rPr>
      <w:sz w:val="18"/>
      <w:szCs w:val="18"/>
    </w:rPr>
  </w:style>
  <w:style w:type="paragraph" w:customStyle="1" w:styleId="Header">
    <w:name w:val="Header"/>
    <w:basedOn w:val="a"/>
    <w:link w:val="af1"/>
    <w:uiPriority w:val="99"/>
    <w:unhideWhenUsed/>
    <w:qFormat/>
    <w:rsid w:val="00247B3A"/>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7"/>
    <w:qFormat/>
    <w:rsid w:val="00247B3A"/>
    <w:pPr>
      <w:snapToGrid w:val="0"/>
      <w:jc w:val="left"/>
    </w:pPr>
    <w:rPr>
      <w:rFonts w:ascii="Times New Roman" w:hAnsi="Times New Roman" w:cs="Times New Roman"/>
      <w:sz w:val="18"/>
      <w:szCs w:val="20"/>
    </w:rPr>
  </w:style>
  <w:style w:type="paragraph" w:styleId="af2">
    <w:name w:val="annotation subject"/>
    <w:basedOn w:val="ad"/>
    <w:next w:val="ad"/>
    <w:link w:val="Char8"/>
    <w:uiPriority w:val="99"/>
    <w:semiHidden/>
    <w:unhideWhenUsed/>
    <w:qFormat/>
    <w:rsid w:val="00247B3A"/>
    <w:rPr>
      <w:b/>
      <w:bCs/>
    </w:rPr>
  </w:style>
  <w:style w:type="table" w:styleId="af3">
    <w:name w:val="Table Grid"/>
    <w:basedOn w:val="a1"/>
    <w:uiPriority w:val="39"/>
    <w:qFormat/>
    <w:rsid w:val="00247B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annotation reference"/>
    <w:basedOn w:val="a0"/>
    <w:uiPriority w:val="99"/>
    <w:semiHidden/>
    <w:unhideWhenUsed/>
    <w:qFormat/>
    <w:rsid w:val="00247B3A"/>
    <w:rPr>
      <w:sz w:val="21"/>
      <w:szCs w:val="21"/>
    </w:rPr>
  </w:style>
  <w:style w:type="character" w:styleId="af5">
    <w:name w:val="footnote reference"/>
    <w:qFormat/>
    <w:rsid w:val="00247B3A"/>
    <w:rPr>
      <w:vertAlign w:val="superscript"/>
    </w:rPr>
  </w:style>
  <w:style w:type="character" w:customStyle="1" w:styleId="af1">
    <w:name w:val="页眉 字符"/>
    <w:basedOn w:val="a0"/>
    <w:link w:val="Header"/>
    <w:uiPriority w:val="99"/>
    <w:qFormat/>
    <w:rsid w:val="00247B3A"/>
    <w:rPr>
      <w:sz w:val="18"/>
      <w:szCs w:val="18"/>
    </w:rPr>
  </w:style>
  <w:style w:type="character" w:customStyle="1" w:styleId="af0">
    <w:name w:val="页脚 字符"/>
    <w:basedOn w:val="a0"/>
    <w:link w:val="Footer"/>
    <w:uiPriority w:val="99"/>
    <w:qFormat/>
    <w:rsid w:val="00247B3A"/>
    <w:rPr>
      <w:sz w:val="18"/>
      <w:szCs w:val="18"/>
    </w:rPr>
  </w:style>
  <w:style w:type="character" w:customStyle="1" w:styleId="Char5">
    <w:name w:val="日期 Char"/>
    <w:basedOn w:val="a0"/>
    <w:link w:val="ae"/>
    <w:uiPriority w:val="99"/>
    <w:semiHidden/>
    <w:qFormat/>
    <w:rsid w:val="00247B3A"/>
  </w:style>
  <w:style w:type="character" w:customStyle="1" w:styleId="10">
    <w:name w:val="标题 1 字符"/>
    <w:basedOn w:val="a0"/>
    <w:link w:val="Heading1"/>
    <w:qFormat/>
    <w:rsid w:val="00247B3A"/>
    <w:rPr>
      <w:rFonts w:ascii="Times New Roman" w:eastAsia="宋体" w:hAnsi="Times New Roman" w:cs="Times New Roman"/>
      <w:b/>
      <w:bCs/>
      <w:sz w:val="44"/>
      <w:szCs w:val="44"/>
    </w:rPr>
  </w:style>
  <w:style w:type="character" w:customStyle="1" w:styleId="20">
    <w:name w:val="标题 2 字符"/>
    <w:basedOn w:val="a0"/>
    <w:uiPriority w:val="9"/>
    <w:semiHidden/>
    <w:qFormat/>
    <w:rsid w:val="00247B3A"/>
    <w:rPr>
      <w:rFonts w:ascii="等线 light" w:hAnsi="等线 light" w:cs="等线 light"/>
      <w:b/>
      <w:bCs/>
      <w:sz w:val="32"/>
      <w:szCs w:val="32"/>
    </w:rPr>
  </w:style>
  <w:style w:type="character" w:customStyle="1" w:styleId="21">
    <w:name w:val="标题 2 字符1"/>
    <w:link w:val="Heading2"/>
    <w:qFormat/>
    <w:rsid w:val="00247B3A"/>
    <w:rPr>
      <w:rFonts w:ascii="Arial" w:eastAsia="黑体" w:hAnsi="Arial" w:cs="Times New Roman"/>
      <w:b/>
      <w:bCs/>
      <w:sz w:val="32"/>
      <w:szCs w:val="32"/>
    </w:rPr>
  </w:style>
  <w:style w:type="character" w:customStyle="1" w:styleId="Char7">
    <w:name w:val="脚注文本 Char"/>
    <w:basedOn w:val="a0"/>
    <w:link w:val="a9"/>
    <w:qFormat/>
    <w:rsid w:val="00247B3A"/>
    <w:rPr>
      <w:rFonts w:ascii="Times New Roman" w:eastAsia="宋体" w:hAnsi="Times New Roman" w:cs="Times New Roman"/>
      <w:sz w:val="18"/>
      <w:szCs w:val="20"/>
    </w:rPr>
  </w:style>
  <w:style w:type="character" w:customStyle="1" w:styleId="Char6">
    <w:name w:val="批注框文本 Char"/>
    <w:basedOn w:val="a0"/>
    <w:link w:val="af"/>
    <w:uiPriority w:val="99"/>
    <w:semiHidden/>
    <w:qFormat/>
    <w:rsid w:val="00247B3A"/>
    <w:rPr>
      <w:sz w:val="18"/>
      <w:szCs w:val="18"/>
    </w:rPr>
  </w:style>
  <w:style w:type="character" w:customStyle="1" w:styleId="Char4">
    <w:name w:val="批注文字 Char"/>
    <w:basedOn w:val="a0"/>
    <w:link w:val="ad"/>
    <w:uiPriority w:val="99"/>
    <w:semiHidden/>
    <w:qFormat/>
    <w:rsid w:val="00247B3A"/>
    <w:rPr>
      <w:sz w:val="21"/>
      <w:szCs w:val="22"/>
    </w:rPr>
  </w:style>
  <w:style w:type="character" w:customStyle="1" w:styleId="Char8">
    <w:name w:val="批注主题 Char"/>
    <w:basedOn w:val="Char4"/>
    <w:link w:val="af2"/>
    <w:uiPriority w:val="99"/>
    <w:semiHidden/>
    <w:qFormat/>
    <w:rsid w:val="00247B3A"/>
    <w:rPr>
      <w:b/>
      <w:bCs/>
      <w:sz w:val="21"/>
      <w:szCs w:val="22"/>
    </w:rPr>
  </w:style>
  <w:style w:type="paragraph" w:styleId="af6">
    <w:name w:val="List Paragraph"/>
    <w:basedOn w:val="a"/>
    <w:uiPriority w:val="99"/>
    <w:rsid w:val="00247B3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1027</Characters>
  <Application>Microsoft Office Word</Application>
  <DocSecurity>4</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郑梦颖</dc:creator>
  <cp:lastModifiedBy>ZHONGM</cp:lastModifiedBy>
  <cp:revision>2</cp:revision>
  <dcterms:created xsi:type="dcterms:W3CDTF">2025-05-26T16:00:00Z</dcterms:created>
  <dcterms:modified xsi:type="dcterms:W3CDTF">2025-05-26T16:00:00Z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