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BB7" w:rsidRPr="00A16FCA" w:rsidRDefault="00A16FCA">
      <w:pPr>
        <w:widowControl/>
        <w:kinsoku w:val="0"/>
        <w:autoSpaceDE w:val="0"/>
        <w:autoSpaceDN w:val="0"/>
        <w:adjustRightInd w:val="0"/>
        <w:snapToGrid w:val="0"/>
        <w:spacing w:before="168" w:line="391" w:lineRule="auto"/>
        <w:ind w:leftChars="200" w:left="640" w:rightChars="200" w:right="640"/>
        <w:jc w:val="center"/>
        <w:textAlignment w:val="baseline"/>
        <w:rPr>
          <w:rFonts w:ascii="宋体" w:eastAsia="宋体" w:cs="宋体"/>
          <w:snapToGrid w:val="0"/>
          <w:color w:val="000000"/>
          <w:spacing w:val="-8"/>
          <w:kern w:val="0"/>
          <w:sz w:val="30"/>
          <w:szCs w:val="30"/>
        </w:rPr>
      </w:pPr>
      <w:r w:rsidRPr="00A16FCA">
        <w:rPr>
          <w:rFonts w:ascii="宋体" w:eastAsia="宋体" w:cs="宋体" w:hint="eastAsia"/>
          <w:snapToGrid w:val="0"/>
          <w:color w:val="000000"/>
          <w:spacing w:val="-8"/>
          <w:kern w:val="0"/>
          <w:sz w:val="30"/>
          <w:szCs w:val="30"/>
        </w:rPr>
        <w:t>关于中银大健康股票型证券投资基金暂停大额申购、转换转入及定期定额投资业务的公告</w:t>
      </w:r>
    </w:p>
    <w:p w:rsidR="007B4BB7" w:rsidRPr="00A16FCA" w:rsidRDefault="00A16FCA">
      <w:pPr>
        <w:widowControl/>
        <w:jc w:val="center"/>
        <w:rPr>
          <w:rFonts w:ascii="宋体" w:eastAsia="宋体"/>
          <w:kern w:val="0"/>
          <w:sz w:val="24"/>
          <w:szCs w:val="24"/>
        </w:rPr>
      </w:pPr>
      <w:r w:rsidRPr="00A16FCA">
        <w:rPr>
          <w:rFonts w:ascii="宋体" w:eastAsia="宋体"/>
          <w:color w:val="000000"/>
          <w:sz w:val="24"/>
          <w:szCs w:val="24"/>
        </w:rPr>
        <w:t>公告送出日期：</w:t>
      </w:r>
      <w:r w:rsidRPr="00A16FCA">
        <w:rPr>
          <w:rFonts w:ascii="宋体" w:eastAsia="宋体" w:hint="eastAsia"/>
          <w:kern w:val="0"/>
          <w:sz w:val="24"/>
          <w:szCs w:val="24"/>
        </w:rPr>
        <w:t>2025年05月27日</w:t>
      </w:r>
    </w:p>
    <w:p w:rsidR="007B4BB7" w:rsidRPr="00A16FCA" w:rsidRDefault="007B4BB7">
      <w:pPr>
        <w:widowControl/>
        <w:jc w:val="center"/>
        <w:rPr>
          <w:rFonts w:ascii="宋体" w:eastAsia="宋体" w:cs="宋体"/>
          <w:b/>
          <w:kern w:val="0"/>
          <w:sz w:val="30"/>
          <w:szCs w:val="30"/>
        </w:rPr>
      </w:pPr>
      <w:bookmarkStart w:id="0" w:name="_GoBack"/>
      <w:bookmarkEnd w:id="0"/>
    </w:p>
    <w:p w:rsidR="007B4BB7" w:rsidRPr="00A16FCA" w:rsidRDefault="00A16FCA">
      <w:pPr>
        <w:pStyle w:val="2"/>
        <w:spacing w:line="560" w:lineRule="exact"/>
        <w:rPr>
          <w:rFonts w:ascii="宋体" w:eastAsia="宋体"/>
          <w:bCs w:val="0"/>
          <w:color w:val="000000"/>
          <w:sz w:val="24"/>
          <w:szCs w:val="24"/>
        </w:rPr>
      </w:pPr>
      <w:bookmarkStart w:id="1" w:name="_Toc275961405"/>
      <w:r w:rsidRPr="00A16FCA">
        <w:rPr>
          <w:rFonts w:ascii="宋体" w:eastAsia="宋体"/>
          <w:bCs w:val="0"/>
          <w:color w:val="000000"/>
          <w:sz w:val="24"/>
          <w:szCs w:val="24"/>
        </w:rPr>
        <w:t>1 公告基本信息</w:t>
      </w:r>
      <w:bookmarkEnd w:id="1"/>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4"/>
        <w:gridCol w:w="3260"/>
        <w:gridCol w:w="3224"/>
      </w:tblGrid>
      <w:tr w:rsidR="007B4BB7" w:rsidRPr="00A16FCA">
        <w:trPr>
          <w:jc w:val="center"/>
        </w:trPr>
        <w:tc>
          <w:tcPr>
            <w:tcW w:w="3114" w:type="dxa"/>
          </w:tcPr>
          <w:p w:rsidR="007B4BB7" w:rsidRPr="00A16FCA" w:rsidRDefault="00A16FCA">
            <w:pPr>
              <w:spacing w:line="360" w:lineRule="auto"/>
              <w:rPr>
                <w:rFonts w:ascii="宋体" w:eastAsia="宋体"/>
                <w:color w:val="000000"/>
                <w:sz w:val="24"/>
                <w:szCs w:val="24"/>
              </w:rPr>
            </w:pPr>
            <w:r w:rsidRPr="00A16FCA">
              <w:rPr>
                <w:rFonts w:ascii="宋体" w:eastAsia="宋体"/>
                <w:color w:val="000000"/>
                <w:sz w:val="24"/>
                <w:szCs w:val="24"/>
              </w:rPr>
              <w:t>基金名称</w:t>
            </w:r>
          </w:p>
        </w:tc>
        <w:tc>
          <w:tcPr>
            <w:tcW w:w="6484" w:type="dxa"/>
            <w:gridSpan w:val="2"/>
            <w:vAlign w:val="center"/>
          </w:tcPr>
          <w:p w:rsidR="007B4BB7" w:rsidRPr="00A16FCA" w:rsidRDefault="00A16FCA">
            <w:pPr>
              <w:spacing w:line="360" w:lineRule="auto"/>
              <w:rPr>
                <w:rFonts w:ascii="宋体" w:eastAsia="宋体"/>
                <w:sz w:val="24"/>
                <w:szCs w:val="24"/>
              </w:rPr>
            </w:pPr>
            <w:r w:rsidRPr="00A16FCA">
              <w:rPr>
                <w:rFonts w:ascii="宋体" w:eastAsia="宋体" w:hint="eastAsia"/>
                <w:sz w:val="24"/>
                <w:szCs w:val="24"/>
              </w:rPr>
              <w:t>中银大健康股票型证券投资基金</w:t>
            </w:r>
          </w:p>
        </w:tc>
      </w:tr>
      <w:tr w:rsidR="007B4BB7" w:rsidRPr="00A16FCA">
        <w:trPr>
          <w:jc w:val="center"/>
        </w:trPr>
        <w:tc>
          <w:tcPr>
            <w:tcW w:w="3114" w:type="dxa"/>
          </w:tcPr>
          <w:p w:rsidR="007B4BB7" w:rsidRPr="00A16FCA" w:rsidRDefault="00A16FCA">
            <w:pPr>
              <w:spacing w:line="360" w:lineRule="auto"/>
              <w:rPr>
                <w:rFonts w:ascii="宋体" w:eastAsia="宋体"/>
                <w:color w:val="000000"/>
                <w:kern w:val="0"/>
                <w:sz w:val="24"/>
                <w:szCs w:val="24"/>
              </w:rPr>
            </w:pPr>
            <w:r w:rsidRPr="00A16FCA">
              <w:rPr>
                <w:rFonts w:ascii="宋体" w:eastAsia="宋体"/>
                <w:color w:val="000000"/>
                <w:sz w:val="24"/>
                <w:szCs w:val="24"/>
              </w:rPr>
              <w:t>基金简称</w:t>
            </w:r>
          </w:p>
        </w:tc>
        <w:tc>
          <w:tcPr>
            <w:tcW w:w="6484" w:type="dxa"/>
            <w:gridSpan w:val="2"/>
            <w:vAlign w:val="center"/>
          </w:tcPr>
          <w:p w:rsidR="007B4BB7" w:rsidRPr="00A16FCA" w:rsidRDefault="00A16FCA">
            <w:pPr>
              <w:spacing w:line="360" w:lineRule="auto"/>
              <w:rPr>
                <w:rFonts w:ascii="宋体" w:eastAsia="宋体"/>
                <w:sz w:val="24"/>
                <w:szCs w:val="24"/>
              </w:rPr>
            </w:pPr>
            <w:r w:rsidRPr="00A16FCA">
              <w:rPr>
                <w:rFonts w:ascii="宋体" w:eastAsia="宋体" w:hint="eastAsia"/>
                <w:sz w:val="24"/>
                <w:szCs w:val="24"/>
              </w:rPr>
              <w:t>中银大健康股票</w:t>
            </w:r>
          </w:p>
        </w:tc>
      </w:tr>
      <w:tr w:rsidR="007B4BB7" w:rsidRPr="00A16FCA">
        <w:trPr>
          <w:jc w:val="center"/>
        </w:trPr>
        <w:tc>
          <w:tcPr>
            <w:tcW w:w="3114" w:type="dxa"/>
            <w:vAlign w:val="center"/>
          </w:tcPr>
          <w:p w:rsidR="007B4BB7" w:rsidRPr="00A16FCA" w:rsidRDefault="00A16FCA">
            <w:pPr>
              <w:spacing w:line="360" w:lineRule="auto"/>
              <w:rPr>
                <w:rFonts w:ascii="宋体" w:eastAsia="宋体"/>
                <w:color w:val="000000"/>
                <w:sz w:val="24"/>
                <w:szCs w:val="24"/>
              </w:rPr>
            </w:pPr>
            <w:r w:rsidRPr="00A16FCA">
              <w:rPr>
                <w:rFonts w:ascii="宋体" w:eastAsia="宋体"/>
                <w:color w:val="000000"/>
                <w:sz w:val="24"/>
                <w:szCs w:val="24"/>
              </w:rPr>
              <w:t>基金主代码</w:t>
            </w:r>
          </w:p>
        </w:tc>
        <w:tc>
          <w:tcPr>
            <w:tcW w:w="6484" w:type="dxa"/>
            <w:gridSpan w:val="2"/>
            <w:vAlign w:val="center"/>
          </w:tcPr>
          <w:p w:rsidR="007B4BB7" w:rsidRPr="00A16FCA" w:rsidRDefault="00A16FCA">
            <w:pPr>
              <w:spacing w:line="360" w:lineRule="auto"/>
              <w:rPr>
                <w:rFonts w:ascii="宋体" w:eastAsia="宋体"/>
                <w:sz w:val="24"/>
                <w:szCs w:val="24"/>
              </w:rPr>
            </w:pPr>
            <w:r w:rsidRPr="00A16FCA">
              <w:rPr>
                <w:rFonts w:ascii="宋体" w:eastAsia="宋体" w:hint="eastAsia"/>
                <w:sz w:val="24"/>
                <w:szCs w:val="24"/>
              </w:rPr>
              <w:t>009414</w:t>
            </w:r>
          </w:p>
        </w:tc>
      </w:tr>
      <w:tr w:rsidR="007B4BB7" w:rsidRPr="00A16FCA">
        <w:trPr>
          <w:jc w:val="center"/>
        </w:trPr>
        <w:tc>
          <w:tcPr>
            <w:tcW w:w="3114" w:type="dxa"/>
          </w:tcPr>
          <w:p w:rsidR="007B4BB7" w:rsidRPr="00A16FCA" w:rsidRDefault="00A16FCA">
            <w:pPr>
              <w:spacing w:line="360" w:lineRule="auto"/>
              <w:rPr>
                <w:rFonts w:ascii="宋体" w:eastAsia="宋体"/>
                <w:color w:val="000000"/>
                <w:kern w:val="0"/>
                <w:sz w:val="24"/>
                <w:szCs w:val="24"/>
              </w:rPr>
            </w:pPr>
            <w:r w:rsidRPr="00A16FCA">
              <w:rPr>
                <w:rFonts w:ascii="宋体" w:eastAsia="宋体"/>
                <w:color w:val="000000"/>
                <w:sz w:val="24"/>
                <w:szCs w:val="24"/>
              </w:rPr>
              <w:t>基金管理人名称</w:t>
            </w:r>
          </w:p>
        </w:tc>
        <w:tc>
          <w:tcPr>
            <w:tcW w:w="6484" w:type="dxa"/>
            <w:gridSpan w:val="2"/>
            <w:vAlign w:val="center"/>
          </w:tcPr>
          <w:p w:rsidR="007B4BB7" w:rsidRPr="00A16FCA" w:rsidRDefault="00A16FCA">
            <w:pPr>
              <w:spacing w:line="360" w:lineRule="auto"/>
              <w:rPr>
                <w:rFonts w:ascii="宋体" w:eastAsia="宋体"/>
                <w:sz w:val="24"/>
                <w:szCs w:val="24"/>
              </w:rPr>
            </w:pPr>
            <w:r w:rsidRPr="00A16FCA">
              <w:rPr>
                <w:rFonts w:ascii="宋体" w:eastAsia="宋体"/>
                <w:sz w:val="24"/>
                <w:szCs w:val="24"/>
              </w:rPr>
              <w:t>中银基金管理有限公司</w:t>
            </w:r>
          </w:p>
        </w:tc>
      </w:tr>
      <w:tr w:rsidR="007B4BB7" w:rsidRPr="00A16FCA">
        <w:trPr>
          <w:trHeight w:val="976"/>
          <w:jc w:val="center"/>
        </w:trPr>
        <w:tc>
          <w:tcPr>
            <w:tcW w:w="3114" w:type="dxa"/>
          </w:tcPr>
          <w:p w:rsidR="007B4BB7" w:rsidRPr="00A16FCA" w:rsidRDefault="00A16FCA">
            <w:pPr>
              <w:spacing w:line="360" w:lineRule="auto"/>
              <w:jc w:val="left"/>
              <w:rPr>
                <w:rFonts w:ascii="宋体" w:eastAsia="宋体"/>
                <w:color w:val="000000"/>
                <w:sz w:val="24"/>
                <w:szCs w:val="24"/>
              </w:rPr>
            </w:pPr>
            <w:r w:rsidRPr="00A16FCA">
              <w:rPr>
                <w:rFonts w:ascii="宋体" w:eastAsia="宋体"/>
                <w:color w:val="000000"/>
                <w:sz w:val="24"/>
                <w:szCs w:val="24"/>
              </w:rPr>
              <w:t>公告依据</w:t>
            </w:r>
          </w:p>
        </w:tc>
        <w:tc>
          <w:tcPr>
            <w:tcW w:w="6484" w:type="dxa"/>
            <w:gridSpan w:val="2"/>
            <w:vAlign w:val="center"/>
          </w:tcPr>
          <w:p w:rsidR="007B4BB7" w:rsidRPr="00A16FCA" w:rsidRDefault="00A16FCA">
            <w:pPr>
              <w:widowControl/>
              <w:kinsoku w:val="0"/>
              <w:autoSpaceDE w:val="0"/>
              <w:autoSpaceDN w:val="0"/>
              <w:adjustRightInd w:val="0"/>
              <w:snapToGrid w:val="0"/>
              <w:spacing w:before="245" w:line="360" w:lineRule="auto"/>
              <w:ind w:left="108"/>
              <w:jc w:val="left"/>
              <w:textAlignment w:val="baseline"/>
              <w:rPr>
                <w:rFonts w:ascii="宋体" w:eastAsia="宋体"/>
                <w:color w:val="000000"/>
                <w:sz w:val="24"/>
                <w:szCs w:val="24"/>
              </w:rPr>
            </w:pPr>
            <w:r w:rsidRPr="00A16FCA">
              <w:rPr>
                <w:rFonts w:ascii="宋体" w:eastAsia="宋体" w:cs="宋体"/>
                <w:snapToGrid w:val="0"/>
                <w:color w:val="000000"/>
                <w:spacing w:val="-8"/>
                <w:kern w:val="0"/>
                <w:sz w:val="24"/>
                <w:szCs w:val="24"/>
              </w:rPr>
              <w:t>相关法律法规及</w:t>
            </w:r>
            <w:r w:rsidRPr="00A16FCA">
              <w:rPr>
                <w:rFonts w:ascii="宋体" w:eastAsia="宋体" w:cs="宋体" w:hint="eastAsia"/>
                <w:snapToGrid w:val="0"/>
                <w:color w:val="000000"/>
                <w:spacing w:val="-8"/>
                <w:kern w:val="0"/>
                <w:sz w:val="24"/>
                <w:szCs w:val="24"/>
              </w:rPr>
              <w:t>《中银大健康股票型证券投资基金基金合同》和《中银大健康股票型证券投资基金招募说明书》</w:t>
            </w:r>
            <w:r w:rsidRPr="00A16FCA">
              <w:rPr>
                <w:rFonts w:ascii="宋体" w:eastAsia="宋体" w:cs="宋体"/>
                <w:snapToGrid w:val="0"/>
                <w:color w:val="000000"/>
                <w:spacing w:val="-8"/>
                <w:kern w:val="0"/>
                <w:sz w:val="24"/>
                <w:szCs w:val="24"/>
              </w:rPr>
              <w:t>的有关规定</w:t>
            </w:r>
          </w:p>
        </w:tc>
      </w:tr>
      <w:tr w:rsidR="007B4BB7" w:rsidRPr="00A16FCA">
        <w:trPr>
          <w:trHeight w:val="1106"/>
          <w:jc w:val="center"/>
        </w:trPr>
        <w:tc>
          <w:tcPr>
            <w:tcW w:w="3114" w:type="dxa"/>
            <w:vMerge w:val="restart"/>
            <w:vAlign w:val="center"/>
          </w:tcPr>
          <w:p w:rsidR="007B4BB7" w:rsidRPr="00A16FCA" w:rsidRDefault="007B4BB7">
            <w:pPr>
              <w:spacing w:line="360" w:lineRule="auto"/>
              <w:rPr>
                <w:rFonts w:ascii="宋体" w:eastAsia="宋体"/>
                <w:color w:val="000000"/>
                <w:sz w:val="24"/>
                <w:szCs w:val="24"/>
              </w:rPr>
            </w:pPr>
          </w:p>
          <w:p w:rsidR="007B4BB7" w:rsidRPr="00A16FCA" w:rsidRDefault="00A16FCA">
            <w:pPr>
              <w:spacing w:line="360" w:lineRule="auto"/>
            </w:pPr>
            <w:r w:rsidRPr="00A16FCA">
              <w:rPr>
                <w:rFonts w:ascii="宋体" w:eastAsia="宋体"/>
                <w:color w:val="000000"/>
                <w:sz w:val="24"/>
                <w:szCs w:val="24"/>
              </w:rPr>
              <w:t>暂停相关业务的起始日、金额及原因说明</w:t>
            </w:r>
          </w:p>
          <w:p w:rsidR="007B4BB7" w:rsidRPr="00A16FCA" w:rsidRDefault="007B4BB7">
            <w:pPr>
              <w:spacing w:line="360" w:lineRule="auto"/>
              <w:rPr>
                <w:rFonts w:ascii="宋体" w:eastAsia="宋体"/>
                <w:color w:val="000000"/>
                <w:sz w:val="24"/>
                <w:szCs w:val="24"/>
              </w:rPr>
            </w:pPr>
          </w:p>
          <w:p w:rsidR="007B4BB7" w:rsidRPr="00A16FCA" w:rsidRDefault="007B4BB7">
            <w:pPr>
              <w:spacing w:line="360" w:lineRule="auto"/>
            </w:pPr>
          </w:p>
        </w:tc>
        <w:tc>
          <w:tcPr>
            <w:tcW w:w="3260" w:type="dxa"/>
          </w:tcPr>
          <w:p w:rsidR="007B4BB7" w:rsidRPr="00A16FCA" w:rsidRDefault="00A16FCA">
            <w:pPr>
              <w:widowControl/>
              <w:kinsoku w:val="0"/>
              <w:autoSpaceDE w:val="0"/>
              <w:autoSpaceDN w:val="0"/>
              <w:adjustRightInd w:val="0"/>
              <w:snapToGrid w:val="0"/>
              <w:spacing w:before="245" w:line="360" w:lineRule="auto"/>
              <w:ind w:left="108"/>
              <w:jc w:val="left"/>
              <w:textAlignment w:val="baseline"/>
              <w:rPr>
                <w:rFonts w:ascii="宋体" w:eastAsia="宋体"/>
                <w:color w:val="000000"/>
                <w:sz w:val="24"/>
                <w:szCs w:val="24"/>
              </w:rPr>
            </w:pPr>
            <w:r w:rsidRPr="00A16FCA">
              <w:rPr>
                <w:rFonts w:ascii="宋体" w:eastAsia="宋体" w:cs="宋体"/>
                <w:snapToGrid w:val="0"/>
                <w:color w:val="000000"/>
                <w:spacing w:val="-8"/>
                <w:kern w:val="0"/>
                <w:sz w:val="24"/>
                <w:szCs w:val="24"/>
              </w:rPr>
              <w:t>暂停</w:t>
            </w:r>
            <w:r w:rsidRPr="00A16FCA">
              <w:rPr>
                <w:rFonts w:ascii="宋体" w:eastAsia="宋体" w:cs="宋体" w:hint="eastAsia"/>
                <w:snapToGrid w:val="0"/>
                <w:color w:val="000000"/>
                <w:spacing w:val="-5"/>
                <w:kern w:val="0"/>
                <w:sz w:val="24"/>
                <w:szCs w:val="24"/>
              </w:rPr>
              <w:t>大额申购、转换转入及定期定额投资</w:t>
            </w:r>
            <w:r w:rsidRPr="00A16FCA">
              <w:rPr>
                <w:rFonts w:ascii="宋体" w:eastAsia="宋体" w:cs="宋体"/>
                <w:snapToGrid w:val="0"/>
                <w:color w:val="000000"/>
                <w:spacing w:val="-8"/>
                <w:kern w:val="0"/>
                <w:sz w:val="24"/>
                <w:szCs w:val="24"/>
              </w:rPr>
              <w:t>起始日</w:t>
            </w:r>
          </w:p>
        </w:tc>
        <w:tc>
          <w:tcPr>
            <w:tcW w:w="3224" w:type="dxa"/>
            <w:vAlign w:val="center"/>
          </w:tcPr>
          <w:p w:rsidR="007B4BB7" w:rsidRPr="00A16FCA" w:rsidRDefault="00A16FCA">
            <w:pPr>
              <w:spacing w:line="360" w:lineRule="auto"/>
              <w:jc w:val="center"/>
              <w:rPr>
                <w:rFonts w:ascii="宋体" w:eastAsia="宋体"/>
                <w:sz w:val="24"/>
                <w:szCs w:val="24"/>
              </w:rPr>
            </w:pPr>
            <w:r w:rsidRPr="00A16FCA">
              <w:rPr>
                <w:rFonts w:ascii="宋体" w:eastAsia="宋体" w:hint="eastAsia"/>
                <w:kern w:val="0"/>
                <w:sz w:val="24"/>
                <w:szCs w:val="24"/>
              </w:rPr>
              <w:t>2025年05月29日</w:t>
            </w:r>
          </w:p>
        </w:tc>
      </w:tr>
      <w:tr w:rsidR="007B4BB7" w:rsidRPr="00A16FCA">
        <w:trPr>
          <w:trHeight w:val="980"/>
          <w:jc w:val="center"/>
        </w:trPr>
        <w:tc>
          <w:tcPr>
            <w:tcW w:w="3114" w:type="dxa"/>
            <w:vMerge/>
          </w:tcPr>
          <w:p w:rsidR="007B4BB7" w:rsidRPr="00A16FCA" w:rsidRDefault="007B4BB7"/>
        </w:tc>
        <w:tc>
          <w:tcPr>
            <w:tcW w:w="3260" w:type="dxa"/>
            <w:vAlign w:val="center"/>
          </w:tcPr>
          <w:p w:rsidR="007B4BB7" w:rsidRPr="00A16FCA" w:rsidRDefault="00A16FCA">
            <w:pPr>
              <w:widowControl/>
              <w:kinsoku w:val="0"/>
              <w:autoSpaceDE w:val="0"/>
              <w:autoSpaceDN w:val="0"/>
              <w:adjustRightInd w:val="0"/>
              <w:snapToGrid w:val="0"/>
              <w:spacing w:before="245" w:line="360" w:lineRule="auto"/>
              <w:ind w:left="108"/>
              <w:jc w:val="left"/>
              <w:textAlignment w:val="baseline"/>
              <w:rPr>
                <w:rFonts w:ascii="宋体" w:eastAsia="宋体"/>
                <w:color w:val="000000"/>
                <w:sz w:val="24"/>
                <w:szCs w:val="24"/>
              </w:rPr>
            </w:pPr>
            <w:r w:rsidRPr="00A16FCA">
              <w:rPr>
                <w:rFonts w:ascii="宋体" w:eastAsia="宋体" w:cs="宋体"/>
                <w:snapToGrid w:val="0"/>
                <w:color w:val="000000"/>
                <w:spacing w:val="-8"/>
                <w:kern w:val="0"/>
                <w:sz w:val="24"/>
                <w:szCs w:val="24"/>
              </w:rPr>
              <w:t>限制</w:t>
            </w:r>
            <w:r w:rsidRPr="00A16FCA">
              <w:rPr>
                <w:rFonts w:ascii="宋体" w:eastAsia="宋体" w:cs="宋体" w:hint="eastAsia"/>
                <w:snapToGrid w:val="0"/>
                <w:color w:val="000000"/>
                <w:spacing w:val="-5"/>
                <w:kern w:val="0"/>
                <w:sz w:val="24"/>
                <w:szCs w:val="24"/>
              </w:rPr>
              <w:t>大额申购、转换转入及定期定额投资</w:t>
            </w:r>
            <w:r w:rsidRPr="00A16FCA">
              <w:rPr>
                <w:rFonts w:ascii="宋体" w:eastAsia="宋体" w:cs="宋体"/>
                <w:snapToGrid w:val="0"/>
                <w:color w:val="000000"/>
                <w:spacing w:val="-8"/>
                <w:kern w:val="0"/>
                <w:sz w:val="24"/>
                <w:szCs w:val="24"/>
              </w:rPr>
              <w:t>金额（单位：</w:t>
            </w:r>
            <w:r w:rsidRPr="00A16FCA">
              <w:rPr>
                <w:rFonts w:ascii="宋体" w:eastAsia="宋体" w:cs="宋体" w:hint="eastAsia"/>
                <w:snapToGrid w:val="0"/>
                <w:color w:val="000000"/>
                <w:spacing w:val="-8"/>
                <w:kern w:val="0"/>
                <w:sz w:val="24"/>
                <w:szCs w:val="24"/>
              </w:rPr>
              <w:t>元</w:t>
            </w:r>
            <w:r w:rsidRPr="00A16FCA">
              <w:rPr>
                <w:rFonts w:ascii="宋体" w:eastAsia="宋体" w:cs="宋体"/>
                <w:snapToGrid w:val="0"/>
                <w:color w:val="000000"/>
                <w:spacing w:val="-8"/>
                <w:kern w:val="0"/>
                <w:sz w:val="24"/>
                <w:szCs w:val="24"/>
              </w:rPr>
              <w:t>）</w:t>
            </w:r>
          </w:p>
        </w:tc>
        <w:tc>
          <w:tcPr>
            <w:tcW w:w="3224" w:type="dxa"/>
            <w:vAlign w:val="center"/>
          </w:tcPr>
          <w:p w:rsidR="007B4BB7" w:rsidRPr="00A16FCA" w:rsidRDefault="00A16FCA">
            <w:pPr>
              <w:spacing w:line="360" w:lineRule="auto"/>
              <w:jc w:val="center"/>
              <w:rPr>
                <w:rFonts w:ascii="宋体" w:eastAsia="宋体"/>
                <w:sz w:val="24"/>
                <w:szCs w:val="24"/>
              </w:rPr>
            </w:pPr>
            <w:r w:rsidRPr="00A16FCA">
              <w:rPr>
                <w:rFonts w:ascii="宋体" w:eastAsia="宋体" w:hint="eastAsia"/>
                <w:sz w:val="24"/>
                <w:szCs w:val="24"/>
              </w:rPr>
              <w:t>1,000,000</w:t>
            </w:r>
          </w:p>
        </w:tc>
      </w:tr>
      <w:tr w:rsidR="007B4BB7" w:rsidRPr="00A16FCA">
        <w:trPr>
          <w:trHeight w:val="1187"/>
          <w:jc w:val="center"/>
        </w:trPr>
        <w:tc>
          <w:tcPr>
            <w:tcW w:w="3114" w:type="dxa"/>
            <w:vMerge/>
          </w:tcPr>
          <w:p w:rsidR="007B4BB7" w:rsidRPr="00A16FCA" w:rsidRDefault="007B4BB7"/>
        </w:tc>
        <w:tc>
          <w:tcPr>
            <w:tcW w:w="3260" w:type="dxa"/>
          </w:tcPr>
          <w:p w:rsidR="007B4BB7" w:rsidRPr="00A16FCA" w:rsidRDefault="00A16FCA">
            <w:pPr>
              <w:widowControl/>
              <w:kinsoku w:val="0"/>
              <w:autoSpaceDE w:val="0"/>
              <w:autoSpaceDN w:val="0"/>
              <w:adjustRightInd w:val="0"/>
              <w:snapToGrid w:val="0"/>
              <w:spacing w:before="245" w:line="360" w:lineRule="auto"/>
              <w:ind w:left="108"/>
              <w:jc w:val="left"/>
              <w:textAlignment w:val="baseline"/>
              <w:rPr>
                <w:rFonts w:ascii="宋体" w:eastAsia="宋体"/>
                <w:color w:val="000000"/>
                <w:kern w:val="0"/>
                <w:sz w:val="24"/>
                <w:szCs w:val="24"/>
              </w:rPr>
            </w:pPr>
            <w:r w:rsidRPr="00A16FCA">
              <w:rPr>
                <w:rFonts w:ascii="宋体" w:eastAsia="宋体" w:cs="宋体"/>
                <w:snapToGrid w:val="0"/>
                <w:color w:val="000000"/>
                <w:spacing w:val="-8"/>
                <w:kern w:val="0"/>
                <w:sz w:val="24"/>
                <w:szCs w:val="24"/>
              </w:rPr>
              <w:t>暂停</w:t>
            </w:r>
            <w:r w:rsidRPr="00A16FCA">
              <w:rPr>
                <w:rFonts w:ascii="宋体" w:eastAsia="宋体" w:cs="宋体" w:hint="eastAsia"/>
                <w:snapToGrid w:val="0"/>
                <w:color w:val="000000"/>
                <w:spacing w:val="-5"/>
                <w:kern w:val="0"/>
                <w:sz w:val="24"/>
                <w:szCs w:val="24"/>
              </w:rPr>
              <w:t>大额申购、转换转入及定期定额投资</w:t>
            </w:r>
            <w:r w:rsidRPr="00A16FCA">
              <w:rPr>
                <w:rFonts w:ascii="宋体" w:eastAsia="宋体" w:cs="宋体"/>
                <w:snapToGrid w:val="0"/>
                <w:color w:val="000000"/>
                <w:spacing w:val="-8"/>
                <w:kern w:val="0"/>
                <w:sz w:val="24"/>
                <w:szCs w:val="24"/>
              </w:rPr>
              <w:t>的原因说明</w:t>
            </w:r>
          </w:p>
        </w:tc>
        <w:tc>
          <w:tcPr>
            <w:tcW w:w="3224" w:type="dxa"/>
          </w:tcPr>
          <w:p w:rsidR="007B4BB7" w:rsidRPr="00A16FCA" w:rsidRDefault="00A16FCA">
            <w:pPr>
              <w:spacing w:line="360" w:lineRule="auto"/>
              <w:rPr>
                <w:rFonts w:ascii="宋体" w:eastAsia="宋体"/>
                <w:sz w:val="24"/>
                <w:szCs w:val="24"/>
              </w:rPr>
            </w:pPr>
            <w:r w:rsidRPr="00A16FCA">
              <w:rPr>
                <w:rFonts w:ascii="宋体" w:eastAsia="宋体" w:hint="eastAsia"/>
                <w:sz w:val="24"/>
                <w:szCs w:val="24"/>
              </w:rPr>
              <w:t>保护基金份额持有人利益</w:t>
            </w:r>
            <w:r w:rsidRPr="00A16FCA">
              <w:rPr>
                <w:rFonts w:ascii="宋体" w:eastAsia="宋体"/>
                <w:sz w:val="24"/>
                <w:szCs w:val="24"/>
              </w:rPr>
              <w:t xml:space="preserve"> </w:t>
            </w:r>
          </w:p>
        </w:tc>
      </w:tr>
      <w:tr w:rsidR="007B4BB7" w:rsidRPr="00A16FCA">
        <w:trPr>
          <w:jc w:val="center"/>
        </w:trPr>
        <w:tc>
          <w:tcPr>
            <w:tcW w:w="3114" w:type="dxa"/>
            <w:vAlign w:val="center"/>
          </w:tcPr>
          <w:p w:rsidR="007B4BB7" w:rsidRPr="00A16FCA" w:rsidRDefault="00A16FCA">
            <w:pPr>
              <w:spacing w:line="360" w:lineRule="auto"/>
            </w:pPr>
            <w:r w:rsidRPr="00A16FCA">
              <w:rPr>
                <w:rFonts w:ascii="宋体" w:eastAsia="宋体"/>
                <w:color w:val="000000"/>
                <w:sz w:val="24"/>
                <w:szCs w:val="24"/>
              </w:rPr>
              <w:t>下属分级基金的基金简称</w:t>
            </w:r>
          </w:p>
        </w:tc>
        <w:tc>
          <w:tcPr>
            <w:tcW w:w="3260" w:type="dxa"/>
            <w:vAlign w:val="center"/>
          </w:tcPr>
          <w:p w:rsidR="007B4BB7" w:rsidRPr="00A16FCA" w:rsidRDefault="00A16FCA">
            <w:pPr>
              <w:spacing w:line="360" w:lineRule="auto"/>
              <w:rPr>
                <w:rFonts w:ascii="宋体" w:eastAsia="宋体"/>
                <w:sz w:val="24"/>
                <w:szCs w:val="24"/>
              </w:rPr>
            </w:pPr>
            <w:r w:rsidRPr="00A16FCA">
              <w:rPr>
                <w:rFonts w:ascii="宋体" w:eastAsia="宋体" w:hint="eastAsia"/>
                <w:sz w:val="24"/>
                <w:szCs w:val="24"/>
              </w:rPr>
              <w:t>中银大健康股票A</w:t>
            </w:r>
          </w:p>
        </w:tc>
        <w:tc>
          <w:tcPr>
            <w:tcW w:w="3224" w:type="dxa"/>
            <w:vAlign w:val="center"/>
          </w:tcPr>
          <w:p w:rsidR="007B4BB7" w:rsidRPr="00A16FCA" w:rsidRDefault="00A16FCA">
            <w:pPr>
              <w:spacing w:line="360" w:lineRule="auto"/>
              <w:rPr>
                <w:rFonts w:ascii="宋体" w:eastAsia="宋体"/>
                <w:sz w:val="24"/>
                <w:szCs w:val="24"/>
              </w:rPr>
            </w:pPr>
            <w:r w:rsidRPr="00A16FCA">
              <w:rPr>
                <w:rFonts w:ascii="宋体" w:eastAsia="宋体" w:hint="eastAsia"/>
                <w:sz w:val="24"/>
                <w:szCs w:val="24"/>
              </w:rPr>
              <w:t>中银大健康股票C</w:t>
            </w:r>
          </w:p>
        </w:tc>
      </w:tr>
      <w:tr w:rsidR="007B4BB7" w:rsidRPr="00A16FCA">
        <w:trPr>
          <w:jc w:val="center"/>
        </w:trPr>
        <w:tc>
          <w:tcPr>
            <w:tcW w:w="3114" w:type="dxa"/>
            <w:vAlign w:val="center"/>
          </w:tcPr>
          <w:p w:rsidR="007B4BB7" w:rsidRPr="00A16FCA" w:rsidRDefault="00A16FCA">
            <w:pPr>
              <w:spacing w:line="360" w:lineRule="auto"/>
            </w:pPr>
            <w:r w:rsidRPr="00A16FCA">
              <w:rPr>
                <w:rFonts w:ascii="宋体" w:eastAsia="宋体"/>
                <w:color w:val="000000"/>
                <w:sz w:val="24"/>
                <w:szCs w:val="24"/>
              </w:rPr>
              <w:t>下属分级基金的交易代码</w:t>
            </w:r>
          </w:p>
        </w:tc>
        <w:tc>
          <w:tcPr>
            <w:tcW w:w="3260" w:type="dxa"/>
            <w:vAlign w:val="center"/>
          </w:tcPr>
          <w:p w:rsidR="007B4BB7" w:rsidRPr="00A16FCA" w:rsidRDefault="00A16FCA">
            <w:pPr>
              <w:spacing w:line="360" w:lineRule="auto"/>
              <w:rPr>
                <w:rFonts w:ascii="宋体" w:eastAsia="宋体"/>
                <w:sz w:val="24"/>
                <w:szCs w:val="24"/>
              </w:rPr>
            </w:pPr>
            <w:r w:rsidRPr="00A16FCA">
              <w:rPr>
                <w:rFonts w:ascii="宋体" w:eastAsia="宋体" w:hint="eastAsia"/>
                <w:sz w:val="24"/>
                <w:szCs w:val="24"/>
              </w:rPr>
              <w:t>009414</w:t>
            </w:r>
          </w:p>
        </w:tc>
        <w:tc>
          <w:tcPr>
            <w:tcW w:w="3224" w:type="dxa"/>
            <w:vAlign w:val="center"/>
          </w:tcPr>
          <w:p w:rsidR="007B4BB7" w:rsidRPr="00A16FCA" w:rsidRDefault="00A16FCA">
            <w:pPr>
              <w:spacing w:line="360" w:lineRule="auto"/>
              <w:rPr>
                <w:rFonts w:ascii="宋体" w:eastAsia="宋体"/>
                <w:sz w:val="24"/>
                <w:szCs w:val="24"/>
              </w:rPr>
            </w:pPr>
            <w:r w:rsidRPr="00A16FCA">
              <w:rPr>
                <w:rFonts w:ascii="宋体" w:eastAsia="宋体" w:hint="eastAsia"/>
                <w:sz w:val="24"/>
                <w:szCs w:val="24"/>
              </w:rPr>
              <w:t>010321</w:t>
            </w:r>
          </w:p>
        </w:tc>
      </w:tr>
      <w:tr w:rsidR="007B4BB7" w:rsidRPr="00A16FCA">
        <w:trPr>
          <w:jc w:val="center"/>
        </w:trPr>
        <w:tc>
          <w:tcPr>
            <w:tcW w:w="3114" w:type="dxa"/>
            <w:vAlign w:val="center"/>
          </w:tcPr>
          <w:p w:rsidR="007B4BB7" w:rsidRPr="00A16FCA" w:rsidRDefault="00A16FCA">
            <w:pPr>
              <w:spacing w:line="360" w:lineRule="auto"/>
            </w:pPr>
            <w:r w:rsidRPr="00A16FCA">
              <w:rPr>
                <w:rFonts w:ascii="宋体" w:eastAsia="宋体"/>
                <w:color w:val="000000"/>
                <w:sz w:val="24"/>
                <w:szCs w:val="24"/>
              </w:rPr>
              <w:t>该分级基金是否暂停</w:t>
            </w:r>
            <w:r w:rsidRPr="00A16FCA">
              <w:rPr>
                <w:rFonts w:ascii="宋体" w:eastAsia="宋体" w:hint="eastAsia"/>
                <w:color w:val="000000"/>
                <w:sz w:val="24"/>
                <w:szCs w:val="24"/>
              </w:rPr>
              <w:t>大额申购、转换转入及定期定额投资</w:t>
            </w:r>
          </w:p>
        </w:tc>
        <w:tc>
          <w:tcPr>
            <w:tcW w:w="3260" w:type="dxa"/>
          </w:tcPr>
          <w:p w:rsidR="007B4BB7" w:rsidRPr="00A16FCA" w:rsidRDefault="00A16FCA">
            <w:pPr>
              <w:spacing w:line="360" w:lineRule="auto"/>
              <w:rPr>
                <w:rFonts w:ascii="宋体" w:eastAsia="宋体"/>
                <w:sz w:val="24"/>
                <w:szCs w:val="24"/>
              </w:rPr>
            </w:pPr>
            <w:r w:rsidRPr="00A16FCA">
              <w:rPr>
                <w:rFonts w:ascii="宋体" w:eastAsia="宋体" w:hint="eastAsia"/>
                <w:color w:val="000000"/>
                <w:sz w:val="24"/>
                <w:szCs w:val="24"/>
              </w:rPr>
              <w:t>是</w:t>
            </w:r>
          </w:p>
          <w:p w:rsidR="007B4BB7" w:rsidRPr="00A16FCA" w:rsidRDefault="007B4BB7">
            <w:pPr>
              <w:spacing w:line="360" w:lineRule="auto"/>
              <w:rPr>
                <w:rFonts w:ascii="宋体" w:eastAsia="宋体"/>
              </w:rPr>
            </w:pPr>
          </w:p>
        </w:tc>
        <w:tc>
          <w:tcPr>
            <w:tcW w:w="3224" w:type="dxa"/>
          </w:tcPr>
          <w:p w:rsidR="007B4BB7" w:rsidRPr="00A16FCA" w:rsidRDefault="00A16FCA">
            <w:pPr>
              <w:spacing w:line="360" w:lineRule="auto"/>
              <w:rPr>
                <w:rFonts w:ascii="宋体" w:eastAsia="宋体"/>
                <w:sz w:val="24"/>
                <w:szCs w:val="24"/>
              </w:rPr>
            </w:pPr>
            <w:r w:rsidRPr="00A16FCA">
              <w:rPr>
                <w:rFonts w:ascii="宋体" w:eastAsia="宋体" w:hint="eastAsia"/>
                <w:sz w:val="24"/>
                <w:szCs w:val="24"/>
              </w:rPr>
              <w:t>是</w:t>
            </w:r>
          </w:p>
          <w:p w:rsidR="007B4BB7" w:rsidRPr="00A16FCA" w:rsidRDefault="007B4BB7">
            <w:pPr>
              <w:spacing w:line="360" w:lineRule="auto"/>
              <w:rPr>
                <w:rFonts w:ascii="宋体" w:eastAsia="宋体"/>
                <w:sz w:val="24"/>
                <w:szCs w:val="24"/>
              </w:rPr>
            </w:pPr>
          </w:p>
        </w:tc>
      </w:tr>
    </w:tbl>
    <w:p w:rsidR="007B4BB7" w:rsidRPr="00A16FCA" w:rsidRDefault="00A16FCA">
      <w:pPr>
        <w:pStyle w:val="2"/>
        <w:spacing w:line="560" w:lineRule="exact"/>
        <w:rPr>
          <w:rFonts w:ascii="宋体" w:eastAsia="宋体"/>
          <w:bCs w:val="0"/>
          <w:color w:val="000000"/>
          <w:sz w:val="24"/>
          <w:szCs w:val="24"/>
        </w:rPr>
      </w:pPr>
      <w:bookmarkStart w:id="2" w:name="_Toc275961406"/>
      <w:r w:rsidRPr="00A16FCA">
        <w:rPr>
          <w:rFonts w:ascii="宋体" w:eastAsia="宋体"/>
          <w:bCs w:val="0"/>
          <w:color w:val="000000"/>
          <w:sz w:val="24"/>
          <w:szCs w:val="24"/>
        </w:rPr>
        <w:lastRenderedPageBreak/>
        <w:t>2其他需要提示的事项</w:t>
      </w:r>
      <w:bookmarkEnd w:id="2"/>
    </w:p>
    <w:p w:rsidR="007B4BB7" w:rsidRPr="00A16FCA" w:rsidRDefault="00A16FCA" w:rsidP="00D00A62">
      <w:pPr>
        <w:spacing w:beforeLines="10" w:line="360" w:lineRule="auto"/>
        <w:ind w:firstLineChars="200" w:firstLine="480"/>
        <w:rPr>
          <w:rFonts w:ascii="宋体" w:eastAsia="宋体"/>
          <w:color w:val="000000"/>
          <w:sz w:val="24"/>
          <w:szCs w:val="24"/>
        </w:rPr>
      </w:pPr>
      <w:r w:rsidRPr="00A16FCA">
        <w:rPr>
          <w:rFonts w:ascii="宋体" w:eastAsia="宋体"/>
          <w:color w:val="000000"/>
          <w:sz w:val="24"/>
          <w:szCs w:val="24"/>
        </w:rPr>
        <w:t>上述业务调整适用</w:t>
      </w:r>
      <w:r w:rsidRPr="00A16FCA">
        <w:rPr>
          <w:rFonts w:ascii="宋体" w:eastAsia="宋体" w:hint="eastAsia"/>
          <w:color w:val="000000"/>
          <w:sz w:val="24"/>
          <w:szCs w:val="24"/>
        </w:rPr>
        <w:t>于</w:t>
      </w:r>
      <w:r w:rsidRPr="00A16FCA">
        <w:rPr>
          <w:rFonts w:ascii="宋体" w:eastAsia="宋体"/>
          <w:color w:val="000000"/>
          <w:sz w:val="24"/>
          <w:szCs w:val="24"/>
        </w:rPr>
        <w:t>代销机构、基金管理人直销中心柜台、基金管理人电子直销平台。</w:t>
      </w:r>
    </w:p>
    <w:p w:rsidR="007B4BB7" w:rsidRPr="00A16FCA" w:rsidRDefault="00A16FCA" w:rsidP="00D00A62">
      <w:pPr>
        <w:spacing w:beforeLines="10" w:line="360" w:lineRule="auto"/>
        <w:ind w:firstLine="480"/>
        <w:pPrChange w:id="3" w:author="ZHONGM" w:date="2025-05-27T00:01:00Z">
          <w:pPr>
            <w:spacing w:beforeLines="10" w:line="360" w:lineRule="auto"/>
            <w:ind w:firstLine="480"/>
          </w:pPr>
        </w:pPrChange>
      </w:pPr>
      <w:r w:rsidRPr="00A16FCA">
        <w:rPr>
          <w:rFonts w:ascii="宋体" w:eastAsia="宋体" w:hint="eastAsia"/>
          <w:color w:val="000000"/>
          <w:sz w:val="24"/>
          <w:szCs w:val="24"/>
        </w:rPr>
        <w:t>自2025年05月29日起，本基金A类和C类基金份额均暂停接受单日单个基金账户单笔或累计超过100万元（不含100万元）的申购、转换转入及定期定额投资申请。如单日单个基金账户单笔申购、转换转入及定期定额投资本基金的金额超过100万元（不含100万元），对该笔申购、转换转入及定期定额投资申请本公司有权拒绝；如单日单个基金账户多笔累计申购、转换转入及定期定额投资本基金单一类别的金额超过100万元（不含100万元），对超过限额的该笔或多笔申购、转换转入及定期定额投资申请本公司有权拒绝。</w:t>
      </w:r>
    </w:p>
    <w:p w:rsidR="007B4BB7" w:rsidRPr="00A16FCA" w:rsidRDefault="00A16FCA" w:rsidP="00D00A62">
      <w:pPr>
        <w:spacing w:beforeLines="10" w:line="360" w:lineRule="auto"/>
        <w:ind w:firstLine="480"/>
        <w:pPrChange w:id="4" w:author="ZHONGM" w:date="2025-05-27T00:01:00Z">
          <w:pPr>
            <w:spacing w:beforeLines="10" w:line="360" w:lineRule="auto"/>
            <w:ind w:firstLine="480"/>
          </w:pPr>
        </w:pPrChange>
      </w:pPr>
      <w:r w:rsidRPr="00A16FCA">
        <w:rPr>
          <w:rFonts w:ascii="宋体" w:eastAsia="宋体" w:hint="eastAsia"/>
          <w:color w:val="000000"/>
          <w:sz w:val="24"/>
          <w:szCs w:val="24"/>
        </w:rPr>
        <w:t>投资者如欲了解详情，可登陆本公司网站（www.bocim.com）或拨打客户服务电话：400-888-5566；021-38834788。</w:t>
      </w:r>
    </w:p>
    <w:p w:rsidR="007B4BB7" w:rsidRPr="00A16FCA" w:rsidRDefault="00A16FCA" w:rsidP="00D00A62">
      <w:pPr>
        <w:spacing w:beforeLines="10" w:line="360" w:lineRule="auto"/>
        <w:ind w:firstLineChars="200" w:firstLine="480"/>
        <w:rPr>
          <w:rFonts w:ascii="宋体" w:eastAsia="宋体"/>
          <w:color w:val="000000"/>
          <w:sz w:val="24"/>
          <w:szCs w:val="24"/>
        </w:rPr>
        <w:pPrChange w:id="5" w:author="ZHONGM" w:date="2025-05-27T00:01:00Z">
          <w:pPr>
            <w:spacing w:beforeLines="10" w:line="360" w:lineRule="auto"/>
            <w:ind w:firstLineChars="200" w:firstLine="480"/>
          </w:pPr>
        </w:pPrChange>
      </w:pPr>
      <w:r w:rsidRPr="00A16FCA">
        <w:rPr>
          <w:rFonts w:ascii="宋体" w:eastAsia="宋体"/>
          <w:color w:val="000000"/>
          <w:sz w:val="24"/>
          <w:szCs w:val="24"/>
        </w:rPr>
        <w:t>风险提示：</w:t>
      </w:r>
    </w:p>
    <w:p w:rsidR="007B4BB7" w:rsidRPr="00A16FCA" w:rsidRDefault="00A16FCA" w:rsidP="00D00A62">
      <w:pPr>
        <w:spacing w:beforeLines="10" w:line="360" w:lineRule="auto"/>
        <w:ind w:firstLineChars="200" w:firstLine="480"/>
        <w:rPr>
          <w:rFonts w:ascii="宋体" w:eastAsia="宋体"/>
          <w:color w:val="000000"/>
          <w:sz w:val="24"/>
          <w:szCs w:val="24"/>
        </w:rPr>
        <w:pPrChange w:id="6" w:author="ZHONGM" w:date="2025-05-27T00:01:00Z">
          <w:pPr>
            <w:spacing w:beforeLines="10" w:line="360" w:lineRule="auto"/>
            <w:ind w:firstLineChars="200" w:firstLine="480"/>
          </w:pPr>
        </w:pPrChange>
      </w:pPr>
      <w:r w:rsidRPr="00A16FCA">
        <w:rPr>
          <w:rFonts w:ascii="宋体" w:eastAsia="宋体" w:hint="eastAsia"/>
          <w:color w:val="000000"/>
          <w:sz w:val="24"/>
          <w:szCs w:val="24"/>
        </w:rPr>
        <w:t>基金管理人承诺依照诚实信用、勤勉尽职的原则管理和运用基金资产，但不保证基金一定盈利，也不保证最低收益，在市场波动等因素的影响下，基金投资存在本金损失的风险。基金的过往业绩及其净值高低并不预示其未来业绩表现。基金管理人提醒投资者基金投资的“买者自负”原则，在做出投资决策后，基金运营状况与基金净值变化引致的投资风险，由投资者自行负担。</w:t>
      </w:r>
    </w:p>
    <w:p w:rsidR="007B4BB7" w:rsidRPr="00A16FCA" w:rsidRDefault="00A16FCA" w:rsidP="00D00A62">
      <w:pPr>
        <w:spacing w:beforeLines="10" w:line="360" w:lineRule="auto"/>
        <w:ind w:firstLineChars="200" w:firstLine="480"/>
        <w:rPr>
          <w:rFonts w:ascii="宋体" w:eastAsia="宋体"/>
          <w:color w:val="000000"/>
          <w:sz w:val="24"/>
          <w:szCs w:val="24"/>
        </w:rPr>
        <w:pPrChange w:id="7" w:author="ZHONGM" w:date="2025-05-27T00:01:00Z">
          <w:pPr>
            <w:spacing w:beforeLines="10" w:line="360" w:lineRule="auto"/>
            <w:ind w:firstLineChars="200" w:firstLine="480"/>
          </w:pPr>
        </w:pPrChange>
      </w:pPr>
      <w:r w:rsidRPr="00A16FCA">
        <w:rPr>
          <w:rFonts w:ascii="宋体" w:eastAsia="宋体" w:hint="eastAsia"/>
          <w:color w:val="000000"/>
          <w:sz w:val="24"/>
          <w:szCs w:val="24"/>
        </w:rPr>
        <w:t>投资者投资本基金前应认真阅读基金合同、招募说明书、产品资料概要等文件，了解拟投资基金的风险收益特征，并根据自身投资目的、投资期限、投资经验、资产状况等判断基金是否和投资者的风险承受能力相匹配，并按照销售机构的要求完成风险承受能力与产品风险之间的匹配检验。</w:t>
      </w:r>
    </w:p>
    <w:p w:rsidR="007B4BB7" w:rsidRPr="00A16FCA" w:rsidRDefault="00A16FCA" w:rsidP="00D00A62">
      <w:pPr>
        <w:spacing w:beforeLines="10" w:line="360" w:lineRule="auto"/>
        <w:ind w:firstLineChars="200" w:firstLine="480"/>
        <w:rPr>
          <w:rFonts w:ascii="宋体" w:eastAsia="宋体"/>
          <w:color w:val="000000"/>
          <w:sz w:val="24"/>
          <w:szCs w:val="24"/>
        </w:rPr>
        <w:pPrChange w:id="8" w:author="ZHONGM" w:date="2025-05-27T00:01:00Z">
          <w:pPr>
            <w:spacing w:beforeLines="10" w:line="360" w:lineRule="auto"/>
            <w:ind w:firstLineChars="200" w:firstLine="480"/>
          </w:pPr>
        </w:pPrChange>
      </w:pPr>
      <w:bookmarkStart w:id="9" w:name="_Hlk129784011"/>
      <w:r w:rsidRPr="00A16FCA">
        <w:rPr>
          <w:rFonts w:ascii="宋体" w:eastAsia="宋体" w:hint="eastAsia"/>
          <w:color w:val="000000"/>
          <w:sz w:val="24"/>
          <w:szCs w:val="24"/>
        </w:rPr>
        <w:t>投资者应当充分了解基金定期定额投资和银行零存整取等储蓄方式的区别。基金定期定额投资是引导投资者进行长期投资，平均投资成本的一种简单易行的投资方式。但是定期定额投资并不能规避基金投资所固有的风险，不能保证投资者获得收益，也不是替代储蓄的等效理财方式，敬请注意投资风险。</w:t>
      </w:r>
    </w:p>
    <w:bookmarkEnd w:id="9"/>
    <w:p w:rsidR="007B4BB7" w:rsidRPr="00A16FCA" w:rsidRDefault="00A16FCA" w:rsidP="00D00A62">
      <w:pPr>
        <w:spacing w:beforeLines="10" w:line="360" w:lineRule="auto"/>
        <w:ind w:firstLineChars="200" w:firstLine="480"/>
        <w:rPr>
          <w:rFonts w:ascii="宋体" w:eastAsia="宋体"/>
          <w:color w:val="000000"/>
          <w:sz w:val="24"/>
          <w:szCs w:val="24"/>
        </w:rPr>
        <w:pPrChange w:id="10" w:author="ZHONGM" w:date="2025-05-27T00:01:00Z">
          <w:pPr>
            <w:spacing w:beforeLines="10" w:line="360" w:lineRule="auto"/>
            <w:ind w:firstLineChars="200" w:firstLine="480"/>
          </w:pPr>
        </w:pPrChange>
      </w:pPr>
      <w:r w:rsidRPr="00A16FCA">
        <w:rPr>
          <w:rFonts w:ascii="宋体" w:eastAsia="宋体"/>
          <w:color w:val="000000"/>
          <w:sz w:val="24"/>
          <w:szCs w:val="24"/>
        </w:rPr>
        <w:t>特此公告。</w:t>
      </w:r>
    </w:p>
    <w:p w:rsidR="007B4BB7" w:rsidRPr="00A16FCA" w:rsidRDefault="007B4BB7">
      <w:pPr>
        <w:spacing w:line="360" w:lineRule="auto"/>
        <w:ind w:firstLine="420"/>
        <w:jc w:val="right"/>
        <w:rPr>
          <w:rFonts w:ascii="宋体" w:eastAsia="宋体"/>
          <w:sz w:val="24"/>
          <w:szCs w:val="24"/>
        </w:rPr>
      </w:pPr>
    </w:p>
    <w:p w:rsidR="007B4BB7" w:rsidRPr="00A16FCA" w:rsidRDefault="00A16FCA">
      <w:pPr>
        <w:spacing w:line="360" w:lineRule="auto"/>
        <w:ind w:firstLine="420"/>
        <w:jc w:val="right"/>
        <w:rPr>
          <w:rFonts w:ascii="宋体" w:eastAsia="宋体"/>
          <w:sz w:val="24"/>
          <w:szCs w:val="24"/>
        </w:rPr>
      </w:pPr>
      <w:r w:rsidRPr="00A16FCA">
        <w:rPr>
          <w:rFonts w:ascii="宋体" w:eastAsia="宋体"/>
          <w:sz w:val="24"/>
          <w:szCs w:val="24"/>
        </w:rPr>
        <w:lastRenderedPageBreak/>
        <w:t>中银基金管理有限公司</w:t>
      </w:r>
    </w:p>
    <w:p w:rsidR="007B4BB7" w:rsidRDefault="00A16FCA">
      <w:pPr>
        <w:spacing w:line="360" w:lineRule="auto"/>
        <w:ind w:firstLine="420"/>
        <w:jc w:val="right"/>
        <w:rPr>
          <w:rFonts w:ascii="宋体" w:eastAsia="宋体"/>
          <w:sz w:val="24"/>
          <w:szCs w:val="24"/>
        </w:rPr>
      </w:pPr>
      <w:r w:rsidRPr="00A16FCA">
        <w:rPr>
          <w:rFonts w:ascii="宋体" w:eastAsia="宋体" w:hint="eastAsia"/>
          <w:kern w:val="0"/>
          <w:sz w:val="24"/>
          <w:szCs w:val="24"/>
        </w:rPr>
        <w:t>2025年05月27日</w:t>
      </w:r>
    </w:p>
    <w:sectPr w:rsidR="007B4BB7" w:rsidSect="00C8141B">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Light">
    <w:charset w:val="00"/>
    <w:family w:val="swiss"/>
    <w:pitch w:val="variable"/>
    <w:sig w:usb0="E4002E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HorizontalSpacing w:val="16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
  <w:docVars>
    <w:docVar w:name="commondata" w:val="eyJoZGlkIjoiODg2ODM1YzliOTA5OTViNjFlNWNlNTM0NzFlNWViYTYifQ=="/>
  </w:docVars>
  <w:rsids>
    <w:rsidRoot w:val="007B4BB7"/>
    <w:rsid w:val="007B4BB7"/>
    <w:rsid w:val="00A16FCA"/>
    <w:rsid w:val="00C8141B"/>
    <w:rsid w:val="00D00A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8141B"/>
    <w:pPr>
      <w:widowControl w:val="0"/>
      <w:jc w:val="both"/>
    </w:pPr>
    <w:rPr>
      <w:rFonts w:eastAsia="方正仿宋简体"/>
      <w:kern w:val="2"/>
      <w:sz w:val="32"/>
    </w:rPr>
  </w:style>
  <w:style w:type="paragraph" w:styleId="1">
    <w:name w:val="heading 1"/>
    <w:basedOn w:val="a"/>
    <w:next w:val="a"/>
    <w:rsid w:val="00C8141B"/>
    <w:pPr>
      <w:keepNext/>
      <w:keepLines/>
      <w:spacing w:before="340" w:after="330" w:line="578" w:lineRule="auto"/>
      <w:outlineLvl w:val="0"/>
    </w:pPr>
    <w:rPr>
      <w:rFonts w:eastAsia="宋体"/>
      <w:b/>
      <w:bCs/>
      <w:kern w:val="44"/>
      <w:sz w:val="44"/>
      <w:szCs w:val="44"/>
    </w:rPr>
  </w:style>
  <w:style w:type="paragraph" w:styleId="2">
    <w:name w:val="heading 2"/>
    <w:basedOn w:val="a"/>
    <w:next w:val="a"/>
    <w:rsid w:val="00C8141B"/>
    <w:pPr>
      <w:keepNext/>
      <w:keepLines/>
      <w:spacing w:before="260" w:after="260" w:line="415" w:lineRule="auto"/>
      <w:outlineLvl w:val="1"/>
    </w:pPr>
    <w:rPr>
      <w:rFonts w:ascii="Arial" w:eastAsia="黑体" w:hAnsi="Arial"/>
      <w:b/>
      <w:bCs/>
      <w:szCs w:val="32"/>
    </w:rPr>
  </w:style>
  <w:style w:type="paragraph" w:styleId="3">
    <w:name w:val="heading 3"/>
    <w:basedOn w:val="a"/>
    <w:next w:val="a"/>
    <w:rsid w:val="00C8141B"/>
    <w:pPr>
      <w:keepNext/>
      <w:keepLines/>
      <w:spacing w:before="260" w:after="260" w:line="415"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C8141B"/>
    <w:pPr>
      <w:jc w:val="left"/>
    </w:pPr>
  </w:style>
  <w:style w:type="paragraph" w:styleId="a4">
    <w:name w:val="Balloon Text"/>
    <w:basedOn w:val="a"/>
    <w:rsid w:val="00C8141B"/>
    <w:rPr>
      <w:sz w:val="18"/>
      <w:szCs w:val="18"/>
    </w:rPr>
  </w:style>
  <w:style w:type="paragraph" w:styleId="a5">
    <w:name w:val="footer"/>
    <w:basedOn w:val="a"/>
    <w:rsid w:val="00C8141B"/>
    <w:pPr>
      <w:tabs>
        <w:tab w:val="center" w:pos="4153"/>
        <w:tab w:val="right" w:pos="8306"/>
      </w:tabs>
      <w:snapToGrid w:val="0"/>
      <w:jc w:val="left"/>
    </w:pPr>
    <w:rPr>
      <w:sz w:val="18"/>
      <w:szCs w:val="18"/>
    </w:rPr>
  </w:style>
  <w:style w:type="paragraph" w:styleId="a6">
    <w:name w:val="header"/>
    <w:basedOn w:val="a"/>
    <w:rsid w:val="00C8141B"/>
    <w:pPr>
      <w:pBdr>
        <w:bottom w:val="single" w:sz="6" w:space="1" w:color="auto"/>
      </w:pBdr>
      <w:tabs>
        <w:tab w:val="center" w:pos="4153"/>
        <w:tab w:val="right" w:pos="8306"/>
      </w:tabs>
      <w:snapToGrid w:val="0"/>
      <w:jc w:val="center"/>
    </w:pPr>
    <w:rPr>
      <w:sz w:val="18"/>
      <w:szCs w:val="18"/>
    </w:rPr>
  </w:style>
  <w:style w:type="paragraph" w:styleId="a7">
    <w:name w:val="footnote text"/>
    <w:basedOn w:val="a"/>
    <w:rsid w:val="00C8141B"/>
    <w:pPr>
      <w:snapToGrid w:val="0"/>
      <w:jc w:val="left"/>
    </w:pPr>
    <w:rPr>
      <w:rFonts w:eastAsia="宋体"/>
      <w:sz w:val="18"/>
    </w:rPr>
  </w:style>
  <w:style w:type="paragraph" w:styleId="a8">
    <w:name w:val="annotation subject"/>
    <w:basedOn w:val="a3"/>
    <w:next w:val="a3"/>
    <w:rsid w:val="00C8141B"/>
    <w:rPr>
      <w:b/>
      <w:bCs/>
    </w:rPr>
  </w:style>
  <w:style w:type="character" w:styleId="a9">
    <w:name w:val="annotation reference"/>
    <w:basedOn w:val="a0"/>
    <w:rsid w:val="00C8141B"/>
    <w:rPr>
      <w:sz w:val="21"/>
      <w:szCs w:val="21"/>
    </w:rPr>
  </w:style>
  <w:style w:type="character" w:styleId="aa">
    <w:name w:val="footnote reference"/>
    <w:basedOn w:val="a0"/>
    <w:rsid w:val="00C8141B"/>
    <w:rPr>
      <w:vertAlign w:val="superscript"/>
    </w:rPr>
  </w:style>
  <w:style w:type="paragraph" w:customStyle="1" w:styleId="10">
    <w:name w:val="修订1"/>
    <w:rsid w:val="00C8141B"/>
    <w:rPr>
      <w:rFonts w:eastAsia="方正仿宋简体"/>
      <w:kern w:val="2"/>
      <w:sz w:val="32"/>
    </w:rPr>
  </w:style>
  <w:style w:type="paragraph" w:customStyle="1" w:styleId="20">
    <w:name w:val="修订2"/>
    <w:rsid w:val="00C8141B"/>
    <w:rPr>
      <w:rFonts w:eastAsia="方正仿宋简体"/>
      <w:kern w:val="2"/>
      <w:sz w:val="32"/>
    </w:rPr>
  </w:style>
  <w:style w:type="paragraph" w:styleId="11">
    <w:name w:val="toc 1"/>
    <w:basedOn w:val="a"/>
    <w:next w:val="a"/>
    <w:autoRedefine/>
    <w:rsid w:val="00C8141B"/>
  </w:style>
  <w:style w:type="paragraph" w:styleId="21">
    <w:name w:val="toc 2"/>
    <w:basedOn w:val="a"/>
    <w:next w:val="a"/>
    <w:autoRedefine/>
    <w:rsid w:val="00C8141B"/>
    <w:pPr>
      <w:ind w:left="420"/>
    </w:pPr>
  </w:style>
  <w:style w:type="paragraph" w:styleId="30">
    <w:name w:val="toc 3"/>
    <w:basedOn w:val="a"/>
    <w:next w:val="a"/>
    <w:autoRedefine/>
    <w:rsid w:val="00C8141B"/>
    <w:pPr>
      <w:ind w:left="840"/>
    </w:pPr>
  </w:style>
  <w:style w:type="paragraph" w:styleId="4">
    <w:name w:val="toc 4"/>
    <w:basedOn w:val="a"/>
    <w:next w:val="a"/>
    <w:autoRedefine/>
    <w:rsid w:val="00C8141B"/>
    <w:pPr>
      <w:ind w:left="1260"/>
    </w:pPr>
  </w:style>
  <w:style w:type="paragraph" w:styleId="5">
    <w:name w:val="toc 5"/>
    <w:basedOn w:val="a"/>
    <w:next w:val="a"/>
    <w:autoRedefine/>
    <w:rsid w:val="00C8141B"/>
    <w:pPr>
      <w:ind w:left="168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187</Words>
  <Characters>1066</Characters>
  <Application>Microsoft Office Word</Application>
  <DocSecurity>4</DocSecurity>
  <Lines>8</Lines>
  <Paragraphs>2</Paragraphs>
  <ScaleCrop>false</ScaleCrop>
  <Company>微软中国</Company>
  <LinksUpToDate>false</LinksUpToDate>
  <CharactersWithSpaces>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ZHONGM</cp:lastModifiedBy>
  <cp:revision>2</cp:revision>
  <dcterms:created xsi:type="dcterms:W3CDTF">2025-05-26T16:01:00Z</dcterms:created>
  <dcterms:modified xsi:type="dcterms:W3CDTF">2025-05-26T16:01:00Z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E23A47FA435345C8B99C32C31A9D6CDA</vt:lpwstr>
  </property>
</Properties>
</file>