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DF" w:rsidRPr="00304059" w:rsidRDefault="001540E5" w:rsidP="00F6539F">
      <w:pPr>
        <w:jc w:val="center"/>
        <w:rPr>
          <w:rFonts w:ascii="宋体" w:hAnsi="宋体"/>
          <w:b/>
          <w:color w:val="000000"/>
          <w:kern w:val="44"/>
          <w:sz w:val="28"/>
          <w:szCs w:val="28"/>
        </w:rPr>
      </w:pPr>
      <w:r>
        <w:rPr>
          <w:rFonts w:ascii="宋体" w:hAnsi="宋体" w:hint="eastAsia"/>
          <w:b/>
          <w:color w:val="000000"/>
          <w:kern w:val="44"/>
          <w:sz w:val="28"/>
          <w:szCs w:val="28"/>
        </w:rPr>
        <w:t>关于</w:t>
      </w:r>
      <w:r w:rsidR="00843F00" w:rsidRPr="00843F00">
        <w:rPr>
          <w:rFonts w:ascii="宋体" w:hAnsi="宋体" w:hint="eastAsia"/>
          <w:b/>
          <w:color w:val="000000"/>
          <w:kern w:val="44"/>
          <w:sz w:val="28"/>
          <w:szCs w:val="28"/>
        </w:rPr>
        <w:t>华泰紫金苏州恒泰租赁住房封闭式基础设施证券投资基金停复牌</w:t>
      </w:r>
      <w:r w:rsidR="00F6539F">
        <w:rPr>
          <w:rFonts w:ascii="宋体" w:hAnsi="宋体" w:hint="eastAsia"/>
          <w:b/>
          <w:color w:val="000000"/>
          <w:kern w:val="44"/>
          <w:sz w:val="28"/>
          <w:szCs w:val="28"/>
        </w:rPr>
        <w:t>、</w:t>
      </w:r>
      <w:r w:rsidR="00F6539F" w:rsidRPr="00F6539F">
        <w:rPr>
          <w:rFonts w:ascii="宋体" w:hAnsi="宋体" w:hint="eastAsia"/>
          <w:b/>
          <w:color w:val="000000"/>
          <w:kern w:val="44"/>
          <w:sz w:val="28"/>
          <w:szCs w:val="28"/>
        </w:rPr>
        <w:t>暂停恢复基金通平台份额转让业务及</w:t>
      </w:r>
      <w:r w:rsidR="00843F00" w:rsidRPr="00843F00">
        <w:rPr>
          <w:rFonts w:ascii="宋体" w:hAnsi="宋体" w:hint="eastAsia"/>
          <w:b/>
          <w:color w:val="000000"/>
          <w:kern w:val="44"/>
          <w:sz w:val="28"/>
          <w:szCs w:val="28"/>
        </w:rPr>
        <w:t>交易</w:t>
      </w:r>
      <w:r>
        <w:rPr>
          <w:rFonts w:ascii="宋体" w:hAnsi="宋体" w:hint="eastAsia"/>
          <w:b/>
          <w:color w:val="000000"/>
          <w:kern w:val="44"/>
          <w:sz w:val="28"/>
          <w:szCs w:val="28"/>
        </w:rPr>
        <w:t>情况</w:t>
      </w:r>
      <w:r w:rsidR="00843F00" w:rsidRPr="00843F00">
        <w:rPr>
          <w:rFonts w:ascii="宋体" w:hAnsi="宋体" w:hint="eastAsia"/>
          <w:b/>
          <w:color w:val="000000"/>
          <w:kern w:val="44"/>
          <w:sz w:val="28"/>
          <w:szCs w:val="28"/>
        </w:rPr>
        <w:t>提示公告</w:t>
      </w:r>
    </w:p>
    <w:p w:rsidR="00304059" w:rsidRPr="00183915" w:rsidRDefault="00304059" w:rsidP="00304059">
      <w:pPr>
        <w:pStyle w:val="2"/>
        <w:spacing w:line="360" w:lineRule="auto"/>
        <w:ind w:firstLineChars="200" w:firstLine="482"/>
        <w:rPr>
          <w:rFonts w:ascii="宋体" w:eastAsia="宋体" w:hAnsi="宋体"/>
          <w:bCs w:val="0"/>
          <w:color w:val="000000"/>
          <w:sz w:val="24"/>
          <w:szCs w:val="24"/>
        </w:rPr>
      </w:pPr>
      <w:bookmarkStart w:id="0" w:name="_Toc275961418"/>
      <w:r w:rsidRPr="00183915">
        <w:rPr>
          <w:rFonts w:ascii="宋体" w:eastAsia="宋体" w:hAnsi="宋体" w:hint="eastAsia"/>
          <w:bCs w:val="0"/>
          <w:color w:val="000000"/>
          <w:sz w:val="24"/>
          <w:szCs w:val="24"/>
        </w:rPr>
        <w:t>一、公募R</w:t>
      </w:r>
      <w:r w:rsidRPr="00183915">
        <w:rPr>
          <w:rFonts w:ascii="宋体" w:eastAsia="宋体" w:hAnsi="宋体"/>
          <w:bCs w:val="0"/>
          <w:color w:val="000000"/>
          <w:sz w:val="24"/>
          <w:szCs w:val="24"/>
        </w:rPr>
        <w:t>EIT</w:t>
      </w:r>
      <w:r w:rsidRPr="00183915">
        <w:rPr>
          <w:rFonts w:ascii="宋体" w:eastAsia="宋体" w:hAnsi="宋体" w:hint="eastAsia"/>
          <w:bCs w:val="0"/>
          <w:color w:val="000000"/>
          <w:sz w:val="24"/>
          <w:szCs w:val="24"/>
        </w:rPr>
        <w:t>s</w:t>
      </w:r>
      <w:r w:rsidRPr="00183915">
        <w:rPr>
          <w:rFonts w:ascii="宋体" w:eastAsia="宋体" w:hAnsi="宋体"/>
          <w:bCs w:val="0"/>
          <w:color w:val="000000"/>
          <w:sz w:val="24"/>
          <w:szCs w:val="24"/>
        </w:rPr>
        <w:t>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50"/>
      </w:tblGrid>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公募REITs名称</w:t>
            </w:r>
          </w:p>
        </w:tc>
        <w:tc>
          <w:tcPr>
            <w:tcW w:w="6350" w:type="dxa"/>
          </w:tcPr>
          <w:p w:rsidR="00A34156" w:rsidRPr="00AD223D" w:rsidRDefault="00A34156" w:rsidP="007B11CC">
            <w:pPr>
              <w:rPr>
                <w:rFonts w:ascii="宋体" w:hAnsi="宋体"/>
                <w:color w:val="000000"/>
                <w:sz w:val="24"/>
              </w:rPr>
            </w:pPr>
            <w:r w:rsidRPr="00D54D92">
              <w:rPr>
                <w:rFonts w:ascii="宋体" w:hAnsi="宋体" w:hint="eastAsia"/>
                <w:color w:val="000000"/>
                <w:sz w:val="24"/>
              </w:rPr>
              <w:t>华泰紫金苏州恒泰租赁住房封闭式基础设施证券投资基金</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公募REITs简称</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华泰</w:t>
            </w:r>
            <w:r>
              <w:rPr>
                <w:rFonts w:ascii="宋体" w:hAnsi="宋体" w:hint="eastAsia"/>
                <w:color w:val="000000"/>
                <w:sz w:val="24"/>
              </w:rPr>
              <w:t>苏州恒泰租赁住房</w:t>
            </w:r>
            <w:r w:rsidRPr="00AD223D">
              <w:rPr>
                <w:rFonts w:ascii="宋体" w:hAnsi="宋体" w:hint="eastAsia"/>
                <w:color w:val="000000"/>
                <w:sz w:val="24"/>
              </w:rPr>
              <w:t>REIT</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公募REITs代码</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5080</w:t>
            </w:r>
            <w:r>
              <w:rPr>
                <w:rFonts w:ascii="宋体" w:hAnsi="宋体" w:hint="eastAsia"/>
                <w:color w:val="000000"/>
                <w:sz w:val="24"/>
              </w:rPr>
              <w:t>85</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公募REITs合同生效日</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202</w:t>
            </w:r>
            <w:r>
              <w:rPr>
                <w:rFonts w:ascii="宋体" w:hAnsi="宋体" w:hint="eastAsia"/>
                <w:color w:val="000000"/>
                <w:sz w:val="24"/>
              </w:rPr>
              <w:t>5</w:t>
            </w:r>
            <w:r w:rsidRPr="00AD223D">
              <w:rPr>
                <w:rFonts w:ascii="宋体" w:hAnsi="宋体" w:hint="eastAsia"/>
                <w:color w:val="000000"/>
                <w:sz w:val="24"/>
              </w:rPr>
              <w:t>年</w:t>
            </w:r>
            <w:r>
              <w:rPr>
                <w:rFonts w:ascii="宋体" w:hAnsi="宋体" w:hint="eastAsia"/>
                <w:color w:val="000000"/>
                <w:sz w:val="24"/>
              </w:rPr>
              <w:t>4</w:t>
            </w:r>
            <w:r w:rsidRPr="00AD223D">
              <w:rPr>
                <w:rFonts w:ascii="宋体" w:hAnsi="宋体" w:hint="eastAsia"/>
                <w:color w:val="000000"/>
                <w:sz w:val="24"/>
              </w:rPr>
              <w:t>月</w:t>
            </w:r>
            <w:r>
              <w:rPr>
                <w:rFonts w:ascii="宋体" w:hAnsi="宋体" w:hint="eastAsia"/>
                <w:color w:val="000000"/>
                <w:sz w:val="24"/>
              </w:rPr>
              <w:t>25</w:t>
            </w:r>
            <w:r w:rsidRPr="00AD223D">
              <w:rPr>
                <w:rFonts w:ascii="宋体" w:hAnsi="宋体" w:hint="eastAsia"/>
                <w:color w:val="000000"/>
                <w:sz w:val="24"/>
              </w:rPr>
              <w:t>日</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基金管理人名称</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华泰证券(上海)资产管理有限公司</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基金托管人名称</w:t>
            </w:r>
          </w:p>
        </w:tc>
        <w:tc>
          <w:tcPr>
            <w:tcW w:w="6350" w:type="dxa"/>
          </w:tcPr>
          <w:p w:rsidR="00A34156" w:rsidRPr="00AD223D" w:rsidRDefault="00A34156" w:rsidP="007B11CC">
            <w:pPr>
              <w:rPr>
                <w:rFonts w:ascii="宋体" w:hAnsi="宋体"/>
                <w:color w:val="000000"/>
                <w:sz w:val="24"/>
              </w:rPr>
            </w:pPr>
            <w:r>
              <w:rPr>
                <w:rFonts w:ascii="宋体" w:hAnsi="宋体" w:hint="eastAsia"/>
                <w:color w:val="000000"/>
                <w:sz w:val="24"/>
              </w:rPr>
              <w:t>中信</w:t>
            </w:r>
            <w:r w:rsidRPr="00AD223D">
              <w:rPr>
                <w:rFonts w:ascii="宋体" w:hAnsi="宋体" w:hint="eastAsia"/>
                <w:color w:val="000000"/>
                <w:sz w:val="24"/>
              </w:rPr>
              <w:t>银行股份有限公司</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公告依据</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中华人民共和国证券投资基金法》及配套法规、《公开募集基础设施证券投资基金指引（试行）》《上海证券交易所公开募集基础设施证券投资基金（REITs）业务办法（试行）》《上海证券交易所公开募集基础设施证券投资基金（REITs）规则适用指引第5号</w:t>
            </w:r>
            <w:r w:rsidRPr="00AD223D">
              <w:rPr>
                <w:rFonts w:ascii="宋体" w:hAnsi="宋体"/>
                <w:color w:val="000000"/>
                <w:sz w:val="24"/>
              </w:rPr>
              <w:t>——</w:t>
            </w:r>
            <w:r w:rsidRPr="00AD223D">
              <w:rPr>
                <w:rFonts w:ascii="宋体" w:hAnsi="宋体" w:hint="eastAsia"/>
                <w:color w:val="000000"/>
                <w:sz w:val="24"/>
              </w:rPr>
              <w:t>临时报告（试行）》等有关规定及《</w:t>
            </w:r>
            <w:r>
              <w:rPr>
                <w:rFonts w:ascii="宋体" w:hAnsi="宋体" w:hint="eastAsia"/>
                <w:color w:val="000000"/>
                <w:sz w:val="24"/>
              </w:rPr>
              <w:t>华泰紫金苏州恒泰租赁住房封闭式基础设施证券投资基金</w:t>
            </w:r>
            <w:r w:rsidRPr="00AD223D">
              <w:rPr>
                <w:rFonts w:ascii="宋体" w:hAnsi="宋体" w:hint="eastAsia"/>
                <w:color w:val="000000"/>
                <w:sz w:val="24"/>
              </w:rPr>
              <w:t>基金合同》《</w:t>
            </w:r>
            <w:r>
              <w:rPr>
                <w:rFonts w:ascii="宋体" w:hAnsi="宋体" w:hint="eastAsia"/>
                <w:color w:val="000000"/>
                <w:sz w:val="24"/>
              </w:rPr>
              <w:t>华泰紫金苏州恒泰租赁住房封闭式基础设施证券投资基金</w:t>
            </w:r>
            <w:r w:rsidRPr="00AD223D">
              <w:rPr>
                <w:rFonts w:ascii="宋体" w:hAnsi="宋体" w:hint="eastAsia"/>
                <w:color w:val="000000"/>
                <w:sz w:val="24"/>
              </w:rPr>
              <w:t>招募说明书》及其更新</w:t>
            </w:r>
          </w:p>
        </w:tc>
      </w:tr>
    </w:tbl>
    <w:p w:rsidR="006F3CDF" w:rsidRDefault="00CB74DF" w:rsidP="00304059">
      <w:pPr>
        <w:pStyle w:val="1"/>
        <w:spacing w:before="225" w:beforeAutospacing="0" w:after="300" w:afterAutospacing="0" w:line="19" w:lineRule="atLeast"/>
        <w:ind w:firstLineChars="200" w:firstLine="482"/>
        <w:rPr>
          <w:rFonts w:hint="default"/>
          <w:color w:val="000000"/>
          <w:sz w:val="24"/>
          <w:szCs w:val="24"/>
        </w:rPr>
      </w:pPr>
      <w:r>
        <w:rPr>
          <w:color w:val="000000"/>
          <w:sz w:val="24"/>
          <w:szCs w:val="24"/>
        </w:rPr>
        <w:t>二、</w:t>
      </w:r>
      <w:r w:rsidR="001540E5">
        <w:rPr>
          <w:color w:val="000000"/>
          <w:sz w:val="24"/>
          <w:szCs w:val="24"/>
        </w:rPr>
        <w:t>关于</w:t>
      </w:r>
      <w:r>
        <w:rPr>
          <w:color w:val="000000"/>
          <w:sz w:val="24"/>
          <w:szCs w:val="24"/>
        </w:rPr>
        <w:t>公募</w:t>
      </w:r>
      <w:r>
        <w:rPr>
          <w:color w:val="000000"/>
          <w:sz w:val="24"/>
          <w:szCs w:val="24"/>
        </w:rPr>
        <w:t>R</w:t>
      </w:r>
      <w:r>
        <w:rPr>
          <w:color w:val="000000"/>
          <w:sz w:val="24"/>
          <w:szCs w:val="24"/>
        </w:rPr>
        <w:t>EITs</w:t>
      </w:r>
      <w:r w:rsidR="001540E5">
        <w:rPr>
          <w:color w:val="000000"/>
          <w:sz w:val="24"/>
          <w:szCs w:val="24"/>
        </w:rPr>
        <w:t>交易情况提示、</w:t>
      </w:r>
      <w:r w:rsidR="00D74AEC">
        <w:rPr>
          <w:color w:val="000000"/>
          <w:sz w:val="24"/>
          <w:szCs w:val="24"/>
        </w:rPr>
        <w:t>停牌（复牌）</w:t>
      </w:r>
      <w:r w:rsidR="0056384E">
        <w:rPr>
          <w:color w:val="000000"/>
          <w:sz w:val="24"/>
          <w:szCs w:val="24"/>
        </w:rPr>
        <w:t>、暂停（恢复）基金通平台份额转让</w:t>
      </w:r>
      <w:r w:rsidR="00D74AEC">
        <w:rPr>
          <w:color w:val="000000"/>
          <w:sz w:val="24"/>
          <w:szCs w:val="24"/>
        </w:rPr>
        <w:t>业务</w:t>
      </w:r>
      <w:r w:rsidR="001540E5">
        <w:rPr>
          <w:color w:val="000000"/>
          <w:sz w:val="24"/>
          <w:szCs w:val="24"/>
        </w:rPr>
        <w:t>情况</w:t>
      </w:r>
    </w:p>
    <w:p w:rsidR="00175301" w:rsidRDefault="00175301">
      <w:pPr>
        <w:widowControl w:val="0"/>
        <w:spacing w:line="360" w:lineRule="auto"/>
        <w:ind w:firstLineChars="200" w:firstLine="480"/>
        <w:rPr>
          <w:rFonts w:ascii="Times New Roman" w:hAnsi="Times New Roman" w:cs="Times New Roman"/>
          <w:bCs/>
          <w:color w:val="000000"/>
          <w:kern w:val="0"/>
          <w:sz w:val="24"/>
          <w:szCs w:val="24"/>
          <w:lang w:bidi="en-US"/>
        </w:rPr>
      </w:pPr>
      <w:r w:rsidRPr="00175301">
        <w:rPr>
          <w:rFonts w:ascii="Times New Roman" w:hAnsi="Times New Roman" w:cs="Times New Roman" w:hint="eastAsia"/>
          <w:bCs/>
          <w:color w:val="000000"/>
          <w:kern w:val="0"/>
          <w:sz w:val="24"/>
          <w:szCs w:val="24"/>
          <w:lang w:bidi="en-US"/>
        </w:rPr>
        <w:t>根据《上海证券交易所公开募集基础设施证券投资基金（</w:t>
      </w:r>
      <w:r w:rsidRPr="00175301">
        <w:rPr>
          <w:rFonts w:ascii="Times New Roman" w:hAnsi="Times New Roman" w:cs="Times New Roman" w:hint="eastAsia"/>
          <w:bCs/>
          <w:color w:val="000000"/>
          <w:kern w:val="0"/>
          <w:sz w:val="24"/>
          <w:szCs w:val="24"/>
          <w:lang w:bidi="en-US"/>
        </w:rPr>
        <w:t>REITs</w:t>
      </w:r>
      <w:r w:rsidRPr="00175301">
        <w:rPr>
          <w:rFonts w:ascii="Times New Roman" w:hAnsi="Times New Roman" w:cs="Times New Roman" w:hint="eastAsia"/>
          <w:bCs/>
          <w:color w:val="000000"/>
          <w:kern w:val="0"/>
          <w:sz w:val="24"/>
          <w:szCs w:val="24"/>
          <w:lang w:bidi="en-US"/>
        </w:rPr>
        <w:t>）规则适用指引第</w:t>
      </w:r>
      <w:r w:rsidRPr="00175301">
        <w:rPr>
          <w:rFonts w:ascii="Times New Roman" w:hAnsi="Times New Roman" w:cs="Times New Roman" w:hint="eastAsia"/>
          <w:bCs/>
          <w:color w:val="000000"/>
          <w:kern w:val="0"/>
          <w:sz w:val="24"/>
          <w:szCs w:val="24"/>
          <w:lang w:bidi="en-US"/>
        </w:rPr>
        <w:t>5</w:t>
      </w:r>
      <w:r w:rsidRPr="00175301">
        <w:rPr>
          <w:rFonts w:ascii="Times New Roman" w:hAnsi="Times New Roman" w:cs="Times New Roman" w:hint="eastAsia"/>
          <w:bCs/>
          <w:color w:val="000000"/>
          <w:kern w:val="0"/>
          <w:sz w:val="24"/>
          <w:szCs w:val="24"/>
          <w:lang w:bidi="en-US"/>
        </w:rPr>
        <w:t>号——临时报告（试行）》的相关规定，连续</w:t>
      </w:r>
      <w:r w:rsidRPr="00175301">
        <w:rPr>
          <w:rFonts w:ascii="Times New Roman" w:hAnsi="Times New Roman" w:cs="Times New Roman" w:hint="eastAsia"/>
          <w:bCs/>
          <w:color w:val="000000"/>
          <w:kern w:val="0"/>
          <w:sz w:val="24"/>
          <w:szCs w:val="24"/>
          <w:lang w:bidi="en-US"/>
        </w:rPr>
        <w:t>3</w:t>
      </w:r>
      <w:r w:rsidRPr="00175301">
        <w:rPr>
          <w:rFonts w:ascii="Times New Roman" w:hAnsi="Times New Roman" w:cs="Times New Roman" w:hint="eastAsia"/>
          <w:bCs/>
          <w:color w:val="000000"/>
          <w:kern w:val="0"/>
          <w:sz w:val="24"/>
          <w:szCs w:val="24"/>
          <w:lang w:bidi="en-US"/>
        </w:rPr>
        <w:t>个交易日的收盘价格涨跌幅累计达到</w:t>
      </w:r>
      <w:r w:rsidRPr="00175301">
        <w:rPr>
          <w:rFonts w:ascii="Times New Roman" w:hAnsi="Times New Roman" w:cs="Times New Roman" w:hint="eastAsia"/>
          <w:bCs/>
          <w:color w:val="000000"/>
          <w:kern w:val="0"/>
          <w:sz w:val="24"/>
          <w:szCs w:val="24"/>
          <w:lang w:bidi="en-US"/>
        </w:rPr>
        <w:t>10%</w:t>
      </w:r>
      <w:r w:rsidRPr="00175301">
        <w:rPr>
          <w:rFonts w:ascii="Times New Roman" w:hAnsi="Times New Roman" w:cs="Times New Roman" w:hint="eastAsia"/>
          <w:bCs/>
          <w:color w:val="000000"/>
          <w:kern w:val="0"/>
          <w:sz w:val="24"/>
          <w:szCs w:val="24"/>
          <w:lang w:bidi="en-US"/>
        </w:rPr>
        <w:t>，但上市首日和扩募份额上市首日除外，基金管理人应当申请次一交易日停牌</w:t>
      </w:r>
      <w:r w:rsidRPr="00175301">
        <w:rPr>
          <w:rFonts w:ascii="Times New Roman" w:hAnsi="Times New Roman" w:cs="Times New Roman" w:hint="eastAsia"/>
          <w:bCs/>
          <w:color w:val="000000"/>
          <w:kern w:val="0"/>
          <w:sz w:val="24"/>
          <w:szCs w:val="24"/>
          <w:lang w:bidi="en-US"/>
        </w:rPr>
        <w:t>1</w:t>
      </w:r>
      <w:r>
        <w:rPr>
          <w:rFonts w:ascii="Times New Roman" w:hAnsi="Times New Roman" w:cs="Times New Roman" w:hint="eastAsia"/>
          <w:bCs/>
          <w:color w:val="000000"/>
          <w:kern w:val="0"/>
          <w:sz w:val="24"/>
          <w:szCs w:val="24"/>
          <w:lang w:bidi="en-US"/>
        </w:rPr>
        <w:t>小时</w:t>
      </w:r>
      <w:r w:rsidRPr="00175301">
        <w:rPr>
          <w:rFonts w:ascii="Times New Roman" w:hAnsi="Times New Roman" w:cs="Times New Roman" w:hint="eastAsia"/>
          <w:bCs/>
          <w:color w:val="000000"/>
          <w:kern w:val="0"/>
          <w:sz w:val="24"/>
          <w:szCs w:val="24"/>
          <w:lang w:bidi="en-US"/>
        </w:rPr>
        <w:t>，并披露相关公告。</w:t>
      </w:r>
    </w:p>
    <w:p w:rsidR="0056384E" w:rsidRDefault="000737A2">
      <w:pPr>
        <w:widowControl w:val="0"/>
        <w:spacing w:line="360" w:lineRule="auto"/>
        <w:ind w:firstLineChars="200" w:firstLine="480"/>
        <w:rPr>
          <w:rFonts w:ascii="Times New Roman" w:hAnsi="Times New Roman" w:cs="Times New Roman"/>
          <w:bCs/>
          <w:color w:val="000000"/>
          <w:kern w:val="0"/>
          <w:sz w:val="24"/>
          <w:szCs w:val="24"/>
          <w:lang w:bidi="en-US"/>
        </w:rPr>
      </w:pP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sidR="00175301">
        <w:rPr>
          <w:rFonts w:ascii="Times New Roman" w:hAnsi="Times New Roman" w:cs="Times New Roman" w:hint="eastAsia"/>
          <w:bCs/>
          <w:color w:val="000000"/>
          <w:kern w:val="0"/>
          <w:sz w:val="24"/>
          <w:szCs w:val="24"/>
          <w:lang w:bidi="en-US"/>
        </w:rPr>
        <w:t>6</w:t>
      </w:r>
      <w:r w:rsidRPr="000737A2">
        <w:rPr>
          <w:rFonts w:ascii="Times New Roman" w:hAnsi="Times New Roman" w:cs="Times New Roman" w:hint="eastAsia"/>
          <w:bCs/>
          <w:color w:val="000000"/>
          <w:kern w:val="0"/>
          <w:sz w:val="24"/>
          <w:szCs w:val="24"/>
          <w:lang w:bidi="en-US"/>
        </w:rPr>
        <w:t>日，本基金在二级市场的收盘价达到</w:t>
      </w:r>
      <w:r w:rsidR="00A679B4">
        <w:rPr>
          <w:rFonts w:ascii="Times New Roman" w:hAnsi="Times New Roman" w:cs="Times New Roman" w:hint="eastAsia"/>
          <w:bCs/>
          <w:color w:val="000000"/>
          <w:kern w:val="0"/>
          <w:sz w:val="24"/>
          <w:szCs w:val="24"/>
          <w:lang w:bidi="en-US"/>
        </w:rPr>
        <w:t>4.133</w:t>
      </w:r>
      <w:r w:rsidRPr="000737A2">
        <w:rPr>
          <w:rFonts w:ascii="Times New Roman" w:hAnsi="Times New Roman" w:cs="Times New Roman" w:hint="eastAsia"/>
          <w:bCs/>
          <w:color w:val="000000"/>
          <w:kern w:val="0"/>
          <w:sz w:val="24"/>
          <w:szCs w:val="24"/>
          <w:lang w:bidi="en-US"/>
        </w:rPr>
        <w:t>元</w:t>
      </w:r>
      <w:r w:rsidRPr="000737A2">
        <w:rPr>
          <w:rFonts w:ascii="Times New Roman" w:hAnsi="Times New Roman" w:cs="Times New Roman" w:hint="eastAsia"/>
          <w:bCs/>
          <w:color w:val="000000"/>
          <w:kern w:val="0"/>
          <w:sz w:val="24"/>
          <w:szCs w:val="24"/>
          <w:lang w:bidi="en-US"/>
        </w:rPr>
        <w:t>/</w:t>
      </w:r>
      <w:r w:rsidRPr="000737A2">
        <w:rPr>
          <w:rFonts w:ascii="Times New Roman" w:hAnsi="Times New Roman" w:cs="Times New Roman" w:hint="eastAsia"/>
          <w:bCs/>
          <w:color w:val="000000"/>
          <w:kern w:val="0"/>
          <w:sz w:val="24"/>
          <w:szCs w:val="24"/>
          <w:lang w:bidi="en-US"/>
        </w:rPr>
        <w:t>份，</w:t>
      </w:r>
      <w:r w:rsidR="00175301">
        <w:rPr>
          <w:rFonts w:ascii="Times New Roman" w:hAnsi="Times New Roman" w:cs="Times New Roman" w:hint="eastAsia"/>
          <w:bCs/>
          <w:color w:val="000000"/>
          <w:kern w:val="0"/>
          <w:sz w:val="24"/>
          <w:szCs w:val="24"/>
          <w:lang w:bidi="en-US"/>
        </w:rPr>
        <w:t>连续</w:t>
      </w:r>
      <w:r w:rsidR="00175301">
        <w:rPr>
          <w:rFonts w:ascii="Times New Roman" w:hAnsi="Times New Roman" w:cs="Times New Roman" w:hint="eastAsia"/>
          <w:bCs/>
          <w:color w:val="000000"/>
          <w:kern w:val="0"/>
          <w:sz w:val="24"/>
          <w:szCs w:val="24"/>
          <w:lang w:bidi="en-US"/>
        </w:rPr>
        <w:t>3</w:t>
      </w:r>
      <w:r w:rsidR="00175301">
        <w:rPr>
          <w:rFonts w:ascii="Times New Roman" w:hAnsi="Times New Roman" w:cs="Times New Roman" w:hint="eastAsia"/>
          <w:bCs/>
          <w:color w:val="000000"/>
          <w:kern w:val="0"/>
          <w:sz w:val="24"/>
          <w:szCs w:val="24"/>
          <w:lang w:bidi="en-US"/>
        </w:rPr>
        <w:t>个交易日的收盘价格涨幅</w:t>
      </w:r>
      <w:r w:rsidR="00CF3471">
        <w:rPr>
          <w:rFonts w:ascii="Times New Roman" w:hAnsi="Times New Roman" w:cs="Times New Roman" w:hint="eastAsia"/>
          <w:bCs/>
          <w:color w:val="000000"/>
          <w:kern w:val="0"/>
          <w:sz w:val="24"/>
          <w:szCs w:val="24"/>
          <w:lang w:bidi="en-US"/>
        </w:rPr>
        <w:t>累计</w:t>
      </w:r>
      <w:r w:rsidR="00520E90" w:rsidRPr="00520E90">
        <w:rPr>
          <w:rFonts w:ascii="Times New Roman" w:hAnsi="Times New Roman" w:cs="Times New Roman" w:hint="eastAsia"/>
          <w:bCs/>
          <w:color w:val="000000"/>
          <w:kern w:val="0"/>
          <w:sz w:val="24"/>
          <w:szCs w:val="24"/>
          <w:lang w:bidi="en-US"/>
        </w:rPr>
        <w:t>达到</w:t>
      </w:r>
      <w:r w:rsidR="00CF3471">
        <w:rPr>
          <w:rFonts w:ascii="Times New Roman" w:hAnsi="Times New Roman" w:cs="Times New Roman" w:hint="eastAsia"/>
          <w:bCs/>
          <w:color w:val="000000"/>
          <w:kern w:val="0"/>
          <w:sz w:val="24"/>
          <w:szCs w:val="24"/>
          <w:lang w:bidi="en-US"/>
        </w:rPr>
        <w:t>16.29</w:t>
      </w:r>
      <w:r w:rsidR="00520E90" w:rsidRPr="00520E90">
        <w:rPr>
          <w:rFonts w:ascii="Times New Roman" w:hAnsi="Times New Roman" w:cs="Times New Roman" w:hint="eastAsia"/>
          <w:bCs/>
          <w:color w:val="000000"/>
          <w:kern w:val="0"/>
          <w:sz w:val="24"/>
          <w:szCs w:val="24"/>
          <w:lang w:bidi="en-US"/>
        </w:rPr>
        <w:t>%</w:t>
      </w:r>
      <w:r w:rsidRPr="000737A2">
        <w:rPr>
          <w:rFonts w:ascii="Times New Roman" w:hAnsi="Times New Roman" w:cs="Times New Roman" w:hint="eastAsia"/>
          <w:bCs/>
          <w:color w:val="000000"/>
          <w:kern w:val="0"/>
          <w:sz w:val="24"/>
          <w:szCs w:val="24"/>
          <w:lang w:bidi="en-US"/>
        </w:rPr>
        <w:t>。</w:t>
      </w:r>
    </w:p>
    <w:p w:rsidR="006F3CDF" w:rsidRDefault="000737A2" w:rsidP="001540E5">
      <w:pPr>
        <w:widowControl w:val="0"/>
        <w:spacing w:line="360" w:lineRule="auto"/>
        <w:ind w:firstLineChars="200" w:firstLine="480"/>
        <w:rPr>
          <w:rFonts w:ascii="Times New Roman" w:hAnsi="Times New Roman" w:cs="Times New Roman"/>
          <w:bCs/>
          <w:color w:val="000000"/>
          <w:kern w:val="0"/>
          <w:sz w:val="24"/>
          <w:szCs w:val="24"/>
          <w:lang w:bidi="en-US"/>
        </w:rPr>
      </w:pPr>
      <w:r w:rsidRPr="000737A2">
        <w:rPr>
          <w:rFonts w:ascii="Times New Roman" w:hAnsi="Times New Roman" w:cs="Times New Roman" w:hint="eastAsia"/>
          <w:bCs/>
          <w:color w:val="000000"/>
          <w:kern w:val="0"/>
          <w:sz w:val="24"/>
          <w:szCs w:val="24"/>
          <w:lang w:bidi="en-US"/>
        </w:rPr>
        <w:t>为保护</w:t>
      </w:r>
      <w:r w:rsidR="0056384E">
        <w:rPr>
          <w:rFonts w:ascii="Times New Roman" w:hAnsi="Times New Roman" w:cs="Times New Roman" w:hint="eastAsia"/>
          <w:bCs/>
          <w:color w:val="000000"/>
          <w:kern w:val="0"/>
          <w:sz w:val="24"/>
          <w:szCs w:val="24"/>
          <w:lang w:bidi="en-US"/>
        </w:rPr>
        <w:t>基金份额持有人</w:t>
      </w:r>
      <w:r w:rsidRPr="000737A2">
        <w:rPr>
          <w:rFonts w:ascii="Times New Roman" w:hAnsi="Times New Roman" w:cs="Times New Roman" w:hint="eastAsia"/>
          <w:bCs/>
          <w:color w:val="000000"/>
          <w:kern w:val="0"/>
          <w:sz w:val="24"/>
          <w:szCs w:val="24"/>
          <w:lang w:bidi="en-US"/>
        </w:rPr>
        <w:t>利益，本基金将自</w:t>
      </w: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sidR="0056384E">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sidR="00175301">
        <w:rPr>
          <w:rFonts w:ascii="Times New Roman" w:hAnsi="Times New Roman" w:cs="Times New Roman" w:hint="eastAsia"/>
          <w:bCs/>
          <w:color w:val="000000"/>
          <w:kern w:val="0"/>
          <w:sz w:val="24"/>
          <w:szCs w:val="24"/>
          <w:lang w:bidi="en-US"/>
        </w:rPr>
        <w:t>7</w:t>
      </w:r>
      <w:r w:rsidRPr="000737A2">
        <w:rPr>
          <w:rFonts w:ascii="Times New Roman" w:hAnsi="Times New Roman" w:cs="Times New Roman" w:hint="eastAsia"/>
          <w:bCs/>
          <w:color w:val="000000"/>
          <w:kern w:val="0"/>
          <w:sz w:val="24"/>
          <w:szCs w:val="24"/>
          <w:lang w:bidi="en-US"/>
        </w:rPr>
        <w:t>日</w:t>
      </w:r>
      <w:r w:rsidR="0056384E">
        <w:rPr>
          <w:rFonts w:ascii="Times New Roman" w:hAnsi="Times New Roman" w:cs="Times New Roman" w:hint="eastAsia"/>
          <w:bCs/>
          <w:color w:val="000000"/>
          <w:kern w:val="0"/>
          <w:sz w:val="24"/>
          <w:szCs w:val="24"/>
          <w:lang w:bidi="en-US"/>
        </w:rPr>
        <w:t>上海</w:t>
      </w:r>
      <w:r w:rsidRPr="000737A2">
        <w:rPr>
          <w:rFonts w:ascii="Times New Roman" w:hAnsi="Times New Roman" w:cs="Times New Roman" w:hint="eastAsia"/>
          <w:bCs/>
          <w:color w:val="000000"/>
          <w:kern w:val="0"/>
          <w:sz w:val="24"/>
          <w:szCs w:val="24"/>
          <w:lang w:bidi="en-US"/>
        </w:rPr>
        <w:t>证券交易所开市起停牌</w:t>
      </w:r>
      <w:r w:rsidRPr="000737A2">
        <w:rPr>
          <w:rFonts w:ascii="Times New Roman" w:hAnsi="Times New Roman" w:cs="Times New Roman" w:hint="eastAsia"/>
          <w:bCs/>
          <w:color w:val="000000"/>
          <w:kern w:val="0"/>
          <w:sz w:val="24"/>
          <w:szCs w:val="24"/>
          <w:lang w:bidi="en-US"/>
        </w:rPr>
        <w:t>1</w:t>
      </w:r>
      <w:r w:rsidRPr="000737A2">
        <w:rPr>
          <w:rFonts w:ascii="Times New Roman" w:hAnsi="Times New Roman" w:cs="Times New Roman" w:hint="eastAsia"/>
          <w:bCs/>
          <w:color w:val="000000"/>
          <w:kern w:val="0"/>
          <w:sz w:val="24"/>
          <w:szCs w:val="24"/>
          <w:lang w:bidi="en-US"/>
        </w:rPr>
        <w:t>小时，并于当日上午</w:t>
      </w:r>
      <w:r w:rsidRPr="000737A2">
        <w:rPr>
          <w:rFonts w:ascii="Times New Roman" w:hAnsi="Times New Roman" w:cs="Times New Roman" w:hint="eastAsia"/>
          <w:bCs/>
          <w:color w:val="000000"/>
          <w:kern w:val="0"/>
          <w:sz w:val="24"/>
          <w:szCs w:val="24"/>
          <w:lang w:bidi="en-US"/>
        </w:rPr>
        <w:t>10:30</w:t>
      </w:r>
      <w:r w:rsidRPr="000737A2">
        <w:rPr>
          <w:rFonts w:ascii="Times New Roman" w:hAnsi="Times New Roman" w:cs="Times New Roman" w:hint="eastAsia"/>
          <w:bCs/>
          <w:color w:val="000000"/>
          <w:kern w:val="0"/>
          <w:sz w:val="24"/>
          <w:szCs w:val="24"/>
          <w:lang w:bidi="en-US"/>
        </w:rPr>
        <w:t>起复牌。同时，本基金将自</w:t>
      </w: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sidR="0056384E">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sidR="00175301">
        <w:rPr>
          <w:rFonts w:ascii="Times New Roman" w:hAnsi="Times New Roman" w:cs="Times New Roman" w:hint="eastAsia"/>
          <w:bCs/>
          <w:color w:val="000000"/>
          <w:kern w:val="0"/>
          <w:sz w:val="24"/>
          <w:szCs w:val="24"/>
          <w:lang w:bidi="en-US"/>
        </w:rPr>
        <w:t>7</w:t>
      </w:r>
      <w:r w:rsidRPr="000737A2">
        <w:rPr>
          <w:rFonts w:ascii="Times New Roman" w:hAnsi="Times New Roman" w:cs="Times New Roman" w:hint="eastAsia"/>
          <w:bCs/>
          <w:color w:val="000000"/>
          <w:kern w:val="0"/>
          <w:sz w:val="24"/>
          <w:szCs w:val="24"/>
          <w:lang w:bidi="en-US"/>
        </w:rPr>
        <w:t>日</w:t>
      </w:r>
      <w:r w:rsidR="0056384E">
        <w:rPr>
          <w:rFonts w:ascii="Times New Roman" w:hAnsi="Times New Roman" w:cs="Times New Roman" w:hint="eastAsia"/>
          <w:bCs/>
          <w:color w:val="000000"/>
          <w:kern w:val="0"/>
          <w:sz w:val="24"/>
          <w:szCs w:val="24"/>
          <w:lang w:bidi="en-US"/>
        </w:rPr>
        <w:t>上海</w:t>
      </w:r>
      <w:r w:rsidRPr="000737A2">
        <w:rPr>
          <w:rFonts w:ascii="Times New Roman" w:hAnsi="Times New Roman" w:cs="Times New Roman" w:hint="eastAsia"/>
          <w:bCs/>
          <w:color w:val="000000"/>
          <w:kern w:val="0"/>
          <w:sz w:val="24"/>
          <w:szCs w:val="24"/>
          <w:lang w:bidi="en-US"/>
        </w:rPr>
        <w:t>证券交易所开市起暂停基金通平台份额转让业务</w:t>
      </w:r>
      <w:r w:rsidRPr="000737A2">
        <w:rPr>
          <w:rFonts w:ascii="Times New Roman" w:hAnsi="Times New Roman" w:cs="Times New Roman" w:hint="eastAsia"/>
          <w:bCs/>
          <w:color w:val="000000"/>
          <w:kern w:val="0"/>
          <w:sz w:val="24"/>
          <w:szCs w:val="24"/>
          <w:lang w:bidi="en-US"/>
        </w:rPr>
        <w:t>1</w:t>
      </w:r>
      <w:r w:rsidRPr="000737A2">
        <w:rPr>
          <w:rFonts w:ascii="Times New Roman" w:hAnsi="Times New Roman" w:cs="Times New Roman" w:hint="eastAsia"/>
          <w:bCs/>
          <w:color w:val="000000"/>
          <w:kern w:val="0"/>
          <w:sz w:val="24"/>
          <w:szCs w:val="24"/>
          <w:lang w:bidi="en-US"/>
        </w:rPr>
        <w:t>小时，并于当日上午</w:t>
      </w:r>
      <w:r w:rsidRPr="000737A2">
        <w:rPr>
          <w:rFonts w:ascii="Times New Roman" w:hAnsi="Times New Roman" w:cs="Times New Roman" w:hint="eastAsia"/>
          <w:bCs/>
          <w:color w:val="000000"/>
          <w:kern w:val="0"/>
          <w:sz w:val="24"/>
          <w:szCs w:val="24"/>
          <w:lang w:bidi="en-US"/>
        </w:rPr>
        <w:t>10:30</w:t>
      </w:r>
      <w:r w:rsidRPr="000737A2">
        <w:rPr>
          <w:rFonts w:ascii="Times New Roman" w:hAnsi="Times New Roman" w:cs="Times New Roman" w:hint="eastAsia"/>
          <w:bCs/>
          <w:color w:val="000000"/>
          <w:kern w:val="0"/>
          <w:sz w:val="24"/>
          <w:szCs w:val="24"/>
          <w:lang w:bidi="en-US"/>
        </w:rPr>
        <w:t>起恢复办理基金通平台份额转让业务。</w:t>
      </w:r>
    </w:p>
    <w:p w:rsidR="006F3CDF" w:rsidRPr="00F6539F" w:rsidRDefault="00F6539F">
      <w:pPr>
        <w:widowControl w:val="0"/>
        <w:spacing w:line="360" w:lineRule="auto"/>
        <w:ind w:firstLineChars="200" w:firstLine="480"/>
        <w:rPr>
          <w:rFonts w:ascii="Times New Roman" w:hAnsi="Times New Roman" w:cs="Times New Roman"/>
          <w:bCs/>
          <w:color w:val="000000"/>
          <w:kern w:val="0"/>
          <w:sz w:val="24"/>
          <w:szCs w:val="24"/>
          <w:lang w:bidi="en-US"/>
        </w:rPr>
      </w:pPr>
      <w:r w:rsidRPr="00F6539F">
        <w:rPr>
          <w:rFonts w:ascii="Times New Roman" w:hAnsi="Times New Roman" w:cs="Times New Roman" w:hint="eastAsia"/>
          <w:bCs/>
          <w:color w:val="000000"/>
          <w:kern w:val="0"/>
          <w:sz w:val="24"/>
          <w:szCs w:val="24"/>
          <w:lang w:bidi="en-US"/>
        </w:rPr>
        <w:t>基金管理人在此郑重提醒广大投资者注意本基金二级市场交易价格受多种因素</w:t>
      </w:r>
      <w:r w:rsidRPr="00F6539F">
        <w:rPr>
          <w:rFonts w:ascii="Times New Roman" w:hAnsi="Times New Roman" w:cs="Times New Roman" w:hint="eastAsia"/>
          <w:bCs/>
          <w:color w:val="000000"/>
          <w:kern w:val="0"/>
          <w:sz w:val="24"/>
          <w:szCs w:val="24"/>
          <w:lang w:bidi="en-US"/>
        </w:rPr>
        <w:lastRenderedPageBreak/>
        <w:t>影响，敬请投资者关注二级市场交易价格波动风险，在理性判断的基础上进行投资决策</w:t>
      </w:r>
      <w:r w:rsidR="00304059" w:rsidRPr="00F6539F">
        <w:rPr>
          <w:rFonts w:ascii="Times New Roman" w:hAnsi="Times New Roman" w:cs="Times New Roman" w:hint="eastAsia"/>
          <w:bCs/>
          <w:color w:val="000000"/>
          <w:kern w:val="0"/>
          <w:sz w:val="24"/>
          <w:szCs w:val="24"/>
          <w:lang w:bidi="en-US"/>
        </w:rPr>
        <w:t>。</w:t>
      </w:r>
    </w:p>
    <w:p w:rsidR="006F3CDF" w:rsidRDefault="00CB74DF">
      <w:pPr>
        <w:pStyle w:val="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基础设施项目的经营业绩情况</w:t>
      </w:r>
    </w:p>
    <w:p w:rsidR="00730885" w:rsidRDefault="00730885" w:rsidP="00730885">
      <w:pPr>
        <w:spacing w:line="360" w:lineRule="auto"/>
        <w:ind w:firstLineChars="200" w:firstLine="480"/>
        <w:rPr>
          <w:rFonts w:asciiTheme="minorEastAsia" w:eastAsiaTheme="minorEastAsia" w:hAnsiTheme="minorEastAsia"/>
          <w:color w:val="000000" w:themeColor="text1"/>
          <w:sz w:val="24"/>
          <w:szCs w:val="24"/>
        </w:rPr>
      </w:pPr>
      <w:r w:rsidRPr="00730885">
        <w:rPr>
          <w:rFonts w:ascii="Times New Roman" w:hAnsi="Times New Roman" w:cs="Times New Roman" w:hint="eastAsia"/>
          <w:bCs/>
          <w:color w:val="000000"/>
          <w:kern w:val="0"/>
          <w:sz w:val="24"/>
          <w:szCs w:val="24"/>
          <w:lang w:bidi="en-US"/>
        </w:rPr>
        <w:t>本基金初始投资的基础设施项目为</w:t>
      </w:r>
      <w:r w:rsidR="008A7035" w:rsidRPr="008A7035">
        <w:rPr>
          <w:rFonts w:ascii="Times New Roman" w:hAnsi="Times New Roman" w:cs="Times New Roman" w:hint="eastAsia"/>
          <w:bCs/>
          <w:color w:val="000000"/>
          <w:kern w:val="0"/>
          <w:sz w:val="24"/>
          <w:szCs w:val="24"/>
          <w:lang w:bidi="en-US"/>
        </w:rPr>
        <w:t>坐落于江苏省苏州市苏州工业园区启月街</w:t>
      </w:r>
      <w:r w:rsidR="008A7035" w:rsidRPr="008A7035">
        <w:rPr>
          <w:rFonts w:ascii="Times New Roman" w:hAnsi="Times New Roman" w:cs="Times New Roman" w:hint="eastAsia"/>
          <w:bCs/>
          <w:color w:val="000000"/>
          <w:kern w:val="0"/>
          <w:sz w:val="24"/>
          <w:szCs w:val="24"/>
          <w:lang w:bidi="en-US"/>
        </w:rPr>
        <w:t>1</w:t>
      </w:r>
      <w:r w:rsidR="008A7035" w:rsidRPr="008A7035">
        <w:rPr>
          <w:rFonts w:ascii="Times New Roman" w:hAnsi="Times New Roman" w:cs="Times New Roman" w:hint="eastAsia"/>
          <w:bCs/>
          <w:color w:val="000000"/>
          <w:kern w:val="0"/>
          <w:sz w:val="24"/>
          <w:szCs w:val="24"/>
          <w:lang w:bidi="en-US"/>
        </w:rPr>
        <w:t>号</w:t>
      </w:r>
      <w:r w:rsidR="008A7035">
        <w:rPr>
          <w:rFonts w:ascii="Times New Roman" w:hAnsi="Times New Roman" w:cs="Times New Roman" w:hint="eastAsia"/>
          <w:bCs/>
          <w:color w:val="000000"/>
          <w:kern w:val="0"/>
          <w:sz w:val="24"/>
          <w:szCs w:val="24"/>
          <w:lang w:bidi="en-US"/>
        </w:rPr>
        <w:t>的</w:t>
      </w:r>
      <w:r w:rsidR="001540E5" w:rsidRPr="001540E5">
        <w:rPr>
          <w:rFonts w:ascii="Times New Roman" w:hAnsi="Times New Roman" w:cs="Times New Roman" w:hint="eastAsia"/>
          <w:bCs/>
          <w:color w:val="000000"/>
          <w:kern w:val="0"/>
          <w:sz w:val="24"/>
          <w:szCs w:val="24"/>
          <w:lang w:bidi="en-US"/>
        </w:rPr>
        <w:t>菁英公寓项目</w:t>
      </w:r>
      <w:r w:rsidR="001540E5">
        <w:rPr>
          <w:rFonts w:ascii="Times New Roman" w:hAnsi="Times New Roman" w:cs="Times New Roman" w:hint="eastAsia"/>
          <w:bCs/>
          <w:color w:val="000000"/>
          <w:kern w:val="0"/>
          <w:sz w:val="24"/>
          <w:szCs w:val="24"/>
          <w:lang w:bidi="en-US"/>
        </w:rPr>
        <w:t>，该项目为</w:t>
      </w:r>
      <w:r w:rsidR="001540E5" w:rsidRPr="001540E5">
        <w:rPr>
          <w:rFonts w:ascii="Times New Roman" w:hAnsi="Times New Roman" w:cs="Times New Roman" w:hint="eastAsia"/>
          <w:bCs/>
          <w:color w:val="000000"/>
          <w:kern w:val="0"/>
          <w:sz w:val="24"/>
          <w:szCs w:val="24"/>
          <w:lang w:bidi="en-US"/>
        </w:rPr>
        <w:t>公共租赁住房项目</w:t>
      </w:r>
      <w:r>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本基金运营管理机构为</w:t>
      </w:r>
      <w:r w:rsidR="00F6539F" w:rsidRPr="008A7035">
        <w:rPr>
          <w:rFonts w:ascii="宋体" w:hAnsi="宋体" w:hint="eastAsia"/>
          <w:sz w:val="24"/>
          <w:szCs w:val="24"/>
        </w:rPr>
        <w:t>苏州工业园区公租房管理有限公司</w:t>
      </w:r>
      <w:r w:rsidR="00F6539F">
        <w:rPr>
          <w:rFonts w:ascii="Times New Roman" w:hAnsi="Times New Roman" w:cs="Times New Roman" w:hint="eastAsia"/>
          <w:bCs/>
          <w:color w:val="000000"/>
          <w:kern w:val="0"/>
          <w:sz w:val="24"/>
          <w:szCs w:val="24"/>
          <w:lang w:bidi="en-US"/>
        </w:rPr>
        <w:t>。</w:t>
      </w:r>
      <w:r w:rsidR="001540E5" w:rsidRPr="001540E5">
        <w:rPr>
          <w:rFonts w:asciiTheme="minorEastAsia" w:eastAsiaTheme="minorEastAsia" w:hAnsiTheme="minorEastAsia" w:hint="eastAsia"/>
          <w:color w:val="000000" w:themeColor="text1"/>
          <w:sz w:val="24"/>
          <w:szCs w:val="24"/>
        </w:rPr>
        <w:t>本基金以获取基础设施项目租金等稳定现金流为主要目的，通过积极主动运营管理基础设施项目，力求提升基础设施项目的运营收益水平，实现基础设施项目现金流长期稳健增长</w:t>
      </w:r>
      <w:r>
        <w:rPr>
          <w:rFonts w:asciiTheme="minorEastAsia" w:eastAsiaTheme="minorEastAsia" w:hAnsiTheme="minorEastAsia"/>
          <w:color w:val="000000" w:themeColor="text1"/>
          <w:sz w:val="24"/>
          <w:szCs w:val="24"/>
        </w:rPr>
        <w:t>。</w:t>
      </w:r>
    </w:p>
    <w:p w:rsidR="00F6539F" w:rsidRDefault="00CB74DF" w:rsidP="00F6539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截至本公告发布日，</w:t>
      </w:r>
      <w:r w:rsidR="00F6539F" w:rsidRPr="00F6539F">
        <w:rPr>
          <w:rFonts w:ascii="Times New Roman" w:hAnsi="Times New Roman" w:cs="Times New Roman" w:hint="eastAsia"/>
          <w:bCs/>
          <w:color w:val="000000"/>
          <w:kern w:val="0"/>
          <w:sz w:val="24"/>
          <w:szCs w:val="24"/>
          <w:lang w:bidi="en-US"/>
        </w:rPr>
        <w:t>本基金投资的基础设施项目经营稳定，基金投资运作正常，运营管理机构履职正常，无应披露而未披露的重大信息，亦未发现对本基金有重大影响的舆情信息。基金管理人将严格按照法律法规及基金合同的规定进行投资运作，履行信息披露义务。郑重提醒广大</w:t>
      </w:r>
      <w:r w:rsidR="00F1015F">
        <w:rPr>
          <w:rFonts w:ascii="Times New Roman" w:hAnsi="Times New Roman" w:cs="Times New Roman" w:hint="eastAsia"/>
          <w:bCs/>
          <w:color w:val="000000"/>
          <w:kern w:val="0"/>
          <w:sz w:val="24"/>
          <w:szCs w:val="24"/>
          <w:lang w:bidi="en-US"/>
        </w:rPr>
        <w:t>投资者</w:t>
      </w:r>
      <w:r w:rsidR="00F6539F" w:rsidRPr="00F6539F">
        <w:rPr>
          <w:rFonts w:ascii="Times New Roman" w:hAnsi="Times New Roman" w:cs="Times New Roman" w:hint="eastAsia"/>
          <w:bCs/>
          <w:color w:val="000000"/>
          <w:kern w:val="0"/>
          <w:sz w:val="24"/>
          <w:szCs w:val="24"/>
          <w:lang w:bidi="en-US"/>
        </w:rPr>
        <w:t>注意本基金投资风险，审慎决策，理智投资</w:t>
      </w:r>
      <w:r w:rsidR="00F6539F">
        <w:rPr>
          <w:rFonts w:ascii="Times New Roman" w:hAnsi="Times New Roman" w:cs="Times New Roman" w:hint="eastAsia"/>
          <w:bCs/>
          <w:color w:val="000000"/>
          <w:kern w:val="0"/>
          <w:sz w:val="24"/>
          <w:szCs w:val="24"/>
          <w:lang w:bidi="en-US"/>
        </w:rPr>
        <w:t>。</w:t>
      </w:r>
    </w:p>
    <w:p w:rsidR="00F6539F" w:rsidRDefault="00F6539F">
      <w:pPr>
        <w:spacing w:line="360" w:lineRule="auto"/>
        <w:ind w:firstLineChars="200" w:firstLine="480"/>
        <w:rPr>
          <w:rFonts w:ascii="Times New Roman" w:hAnsi="Times New Roman" w:cs="Times New Roman"/>
          <w:bCs/>
          <w:color w:val="000000"/>
          <w:kern w:val="0"/>
          <w:sz w:val="24"/>
          <w:szCs w:val="24"/>
          <w:lang w:bidi="en-US"/>
        </w:rPr>
      </w:pPr>
      <w:r w:rsidRPr="00F6539F">
        <w:rPr>
          <w:rFonts w:ascii="Times New Roman" w:hAnsi="Times New Roman" w:cs="Times New Roman" w:hint="eastAsia"/>
          <w:bCs/>
          <w:color w:val="000000"/>
          <w:kern w:val="0"/>
          <w:sz w:val="24"/>
          <w:szCs w:val="24"/>
          <w:lang w:bidi="en-US"/>
        </w:rPr>
        <w:t>以上披露内容已经运营管理机构确认。</w:t>
      </w:r>
    </w:p>
    <w:p w:rsidR="006F3CDF" w:rsidRDefault="00CB74DF">
      <w:pPr>
        <w:pStyle w:val="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价格变动对基金份额持有人权益影响</w:t>
      </w:r>
    </w:p>
    <w:p w:rsidR="00AF30F1" w:rsidRDefault="00AF30F1">
      <w:pPr>
        <w:spacing w:line="360" w:lineRule="auto"/>
        <w:ind w:firstLineChars="200" w:firstLine="480"/>
        <w:rPr>
          <w:rFonts w:ascii="Times New Roman" w:hAnsi="Times New Roman" w:cs="Times New Roman"/>
          <w:bCs/>
          <w:color w:val="000000"/>
          <w:kern w:val="0"/>
          <w:sz w:val="24"/>
          <w:szCs w:val="24"/>
          <w:lang w:bidi="en-US"/>
        </w:rPr>
      </w:pPr>
      <w:r w:rsidRPr="00AF30F1">
        <w:rPr>
          <w:rFonts w:ascii="Times New Roman" w:hAnsi="Times New Roman" w:cs="Times New Roman" w:hint="eastAsia"/>
          <w:bCs/>
          <w:color w:val="000000"/>
          <w:kern w:val="0"/>
          <w:sz w:val="24"/>
          <w:szCs w:val="24"/>
          <w:lang w:bidi="en-US"/>
        </w:rPr>
        <w:t>基金年化净现金流分派率预测值</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预计年度可供分配现金流</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基金规模，对应</w:t>
      </w:r>
      <w:r w:rsidR="00F1015F">
        <w:rPr>
          <w:rFonts w:ascii="Times New Roman" w:hAnsi="Times New Roman" w:cs="Times New Roman" w:hint="eastAsia"/>
          <w:bCs/>
          <w:color w:val="000000"/>
          <w:kern w:val="0"/>
          <w:sz w:val="24"/>
          <w:szCs w:val="24"/>
          <w:lang w:bidi="en-US"/>
        </w:rPr>
        <w:t>投资者</w:t>
      </w:r>
      <w:r w:rsidRPr="00AF30F1">
        <w:rPr>
          <w:rFonts w:ascii="Times New Roman" w:hAnsi="Times New Roman" w:cs="Times New Roman" w:hint="eastAsia"/>
          <w:bCs/>
          <w:color w:val="000000"/>
          <w:kern w:val="0"/>
          <w:sz w:val="24"/>
          <w:szCs w:val="24"/>
          <w:lang w:bidi="en-US"/>
        </w:rPr>
        <w:t>的年化净现金流分派率预测值</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预计年度可供分配现金流</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基金买入成本。</w:t>
      </w:r>
      <w:r>
        <w:rPr>
          <w:rFonts w:ascii="Times New Roman" w:hAnsi="Times New Roman" w:cs="Times New Roman" w:hint="eastAsia"/>
          <w:bCs/>
          <w:color w:val="000000"/>
          <w:kern w:val="0"/>
          <w:sz w:val="24"/>
          <w:szCs w:val="24"/>
          <w:lang w:bidi="en-US"/>
        </w:rPr>
        <w:t>基金</w:t>
      </w:r>
      <w:r w:rsidRPr="00AF30F1">
        <w:rPr>
          <w:rFonts w:ascii="Times New Roman" w:hAnsi="Times New Roman" w:cs="Times New Roman" w:hint="eastAsia"/>
          <w:bCs/>
          <w:color w:val="000000"/>
          <w:kern w:val="0"/>
          <w:sz w:val="24"/>
          <w:szCs w:val="24"/>
          <w:lang w:bidi="en-US"/>
        </w:rPr>
        <w:t>二级市场交易价格上涨</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下跌会导致买入成本上涨</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下降，导致</w:t>
      </w:r>
      <w:r w:rsidR="00F1015F">
        <w:rPr>
          <w:rFonts w:ascii="Times New Roman" w:hAnsi="Times New Roman" w:cs="Times New Roman" w:hint="eastAsia"/>
          <w:bCs/>
          <w:color w:val="000000"/>
          <w:kern w:val="0"/>
          <w:sz w:val="24"/>
          <w:szCs w:val="24"/>
          <w:lang w:bidi="en-US"/>
        </w:rPr>
        <w:t>投资者</w:t>
      </w:r>
      <w:r w:rsidRPr="00AF30F1">
        <w:rPr>
          <w:rFonts w:ascii="Times New Roman" w:hAnsi="Times New Roman" w:cs="Times New Roman" w:hint="eastAsia"/>
          <w:bCs/>
          <w:color w:val="000000"/>
          <w:kern w:val="0"/>
          <w:sz w:val="24"/>
          <w:szCs w:val="24"/>
          <w:lang w:bidi="en-US"/>
        </w:rPr>
        <w:t>实际的净现金流分派率降低</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提高。</w:t>
      </w:r>
    </w:p>
    <w:p w:rsidR="006F3CDF" w:rsidRDefault="00DB7F5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根据</w:t>
      </w:r>
      <w:r w:rsidR="00730885">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华泰紫金苏州恒泰租赁住房封闭式基础设施证券投资基金</w:t>
      </w:r>
      <w:r>
        <w:rPr>
          <w:rFonts w:ascii="Times New Roman" w:hAnsi="Times New Roman" w:cs="Times New Roman" w:hint="eastAsia"/>
          <w:bCs/>
          <w:color w:val="000000"/>
          <w:kern w:val="0"/>
          <w:sz w:val="24"/>
          <w:szCs w:val="24"/>
          <w:lang w:bidi="en-US"/>
        </w:rPr>
        <w:t>招募说明书</w:t>
      </w:r>
      <w:r w:rsidR="00730885">
        <w:rPr>
          <w:rFonts w:ascii="Times New Roman" w:hAnsi="Times New Roman" w:cs="Times New Roman" w:hint="eastAsia"/>
          <w:bCs/>
          <w:color w:val="000000"/>
          <w:kern w:val="0"/>
          <w:sz w:val="24"/>
          <w:szCs w:val="24"/>
          <w:lang w:bidi="en-US"/>
        </w:rPr>
        <w:t>》，本基金</w:t>
      </w:r>
      <w:r>
        <w:rPr>
          <w:rFonts w:ascii="Times New Roman" w:hAnsi="Times New Roman" w:cs="Times New Roman" w:hint="eastAsia"/>
          <w:bCs/>
          <w:color w:val="000000"/>
          <w:kern w:val="0"/>
          <w:sz w:val="24"/>
          <w:szCs w:val="24"/>
          <w:lang w:bidi="en-US"/>
        </w:rPr>
        <w:t>2025</w:t>
      </w:r>
      <w:r>
        <w:rPr>
          <w:rFonts w:ascii="Times New Roman" w:hAnsi="Times New Roman" w:cs="Times New Roman" w:hint="eastAsia"/>
          <w:bCs/>
          <w:color w:val="000000"/>
          <w:kern w:val="0"/>
          <w:sz w:val="24"/>
          <w:szCs w:val="24"/>
          <w:lang w:bidi="en-US"/>
        </w:rPr>
        <w:t>年度预测</w:t>
      </w:r>
      <w:r w:rsidR="00730885">
        <w:rPr>
          <w:rFonts w:ascii="Times New Roman" w:hAnsi="Times New Roman" w:cs="Times New Roman" w:hint="eastAsia"/>
          <w:bCs/>
          <w:color w:val="000000"/>
          <w:kern w:val="0"/>
          <w:sz w:val="24"/>
          <w:szCs w:val="24"/>
          <w:lang w:bidi="en-US"/>
        </w:rPr>
        <w:t>可供分配金额为</w:t>
      </w:r>
      <w:bookmarkStart w:id="1" w:name="OLE_LINK2"/>
      <w:r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152.94</w:t>
      </w:r>
      <w:bookmarkEnd w:id="1"/>
      <w:r w:rsidR="00730885">
        <w:rPr>
          <w:rFonts w:ascii="Times New Roman" w:hAnsi="Times New Roman" w:cs="Times New Roman" w:hint="eastAsia"/>
          <w:bCs/>
          <w:color w:val="000000"/>
          <w:kern w:val="0"/>
          <w:sz w:val="24"/>
          <w:szCs w:val="24"/>
          <w:lang w:bidi="en-US"/>
        </w:rPr>
        <w:t>元。基于上述预测数据，净现金流分派率的计算方法举例说明如下：</w:t>
      </w:r>
    </w:p>
    <w:p w:rsidR="006F3CDF" w:rsidRDefault="00CB74D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1</w:t>
      </w:r>
      <w:r>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投资者</w:t>
      </w:r>
      <w:r>
        <w:rPr>
          <w:rFonts w:ascii="Times New Roman" w:hAnsi="Times New Roman" w:cs="Times New Roman" w:hint="eastAsia"/>
          <w:bCs/>
          <w:color w:val="000000"/>
          <w:kern w:val="0"/>
          <w:sz w:val="24"/>
          <w:szCs w:val="24"/>
          <w:lang w:bidi="en-US"/>
        </w:rPr>
        <w:t>在</w:t>
      </w:r>
      <w:r w:rsidR="00DB7F53">
        <w:rPr>
          <w:rFonts w:ascii="Times New Roman" w:hAnsi="Times New Roman" w:cs="Times New Roman" w:hint="eastAsia"/>
          <w:bCs/>
          <w:color w:val="000000"/>
          <w:kern w:val="0"/>
          <w:sz w:val="24"/>
          <w:szCs w:val="24"/>
          <w:lang w:bidi="en-US"/>
        </w:rPr>
        <w:t>首次发行时</w:t>
      </w:r>
      <w:r w:rsidR="002D6569">
        <w:rPr>
          <w:rFonts w:ascii="Times New Roman" w:hAnsi="Times New Roman" w:cs="Times New Roman" w:hint="eastAsia"/>
          <w:bCs/>
          <w:color w:val="000000"/>
          <w:kern w:val="0"/>
          <w:sz w:val="24"/>
          <w:szCs w:val="24"/>
          <w:lang w:bidi="en-US"/>
        </w:rPr>
        <w:t>买入本基金，</w:t>
      </w:r>
      <w:r w:rsidR="00F1015F">
        <w:rPr>
          <w:rFonts w:ascii="Times New Roman" w:hAnsi="Times New Roman" w:cs="Times New Roman" w:hint="eastAsia"/>
          <w:bCs/>
          <w:color w:val="000000"/>
          <w:kern w:val="0"/>
          <w:sz w:val="24"/>
          <w:szCs w:val="24"/>
          <w:lang w:bidi="en-US"/>
        </w:rPr>
        <w:t>买入价格</w:t>
      </w:r>
      <w:r w:rsidR="00F1015F">
        <w:rPr>
          <w:rFonts w:ascii="Times New Roman" w:hAnsi="Times New Roman" w:cs="Times New Roman" w:hint="eastAsia"/>
          <w:bCs/>
          <w:color w:val="000000"/>
          <w:kern w:val="0"/>
          <w:sz w:val="24"/>
          <w:szCs w:val="24"/>
          <w:lang w:bidi="en-US"/>
        </w:rPr>
        <w:t>2.734</w:t>
      </w:r>
      <w:r w:rsidR="002D6569">
        <w:rPr>
          <w:rFonts w:ascii="Times New Roman" w:hAnsi="Times New Roman" w:cs="Times New Roman" w:hint="eastAsia"/>
          <w:bCs/>
          <w:color w:val="000000"/>
          <w:kern w:val="0"/>
          <w:sz w:val="24"/>
          <w:szCs w:val="24"/>
          <w:lang w:bidi="en-US"/>
        </w:rPr>
        <w:t>元</w:t>
      </w:r>
      <w:r w:rsidR="002D6569">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份</w:t>
      </w:r>
      <w:r>
        <w:rPr>
          <w:rFonts w:ascii="Times New Roman" w:hAnsi="Times New Roman" w:cs="Times New Roman" w:hint="eastAsia"/>
          <w:bCs/>
          <w:color w:val="000000"/>
          <w:kern w:val="0"/>
          <w:sz w:val="24"/>
          <w:szCs w:val="24"/>
          <w:lang w:bidi="en-US"/>
        </w:rPr>
        <w:t>，该投资者的</w:t>
      </w:r>
      <w:r>
        <w:rPr>
          <w:rFonts w:ascii="Times New Roman" w:hAnsi="Times New Roman" w:cs="Times New Roman" w:hint="eastAsia"/>
          <w:bCs/>
          <w:color w:val="000000"/>
          <w:kern w:val="0"/>
          <w:sz w:val="24"/>
          <w:szCs w:val="24"/>
          <w:lang w:bidi="en-US"/>
        </w:rPr>
        <w:t>202</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年净现金流分派率预测值</w:t>
      </w:r>
      <w:r>
        <w:rPr>
          <w:rFonts w:ascii="Times New Roman" w:hAnsi="Times New Roman" w:cs="Times New Roman" w:hint="eastAsia"/>
          <w:bCs/>
          <w:color w:val="000000"/>
          <w:kern w:val="0"/>
          <w:sz w:val="24"/>
          <w:szCs w:val="24"/>
          <w:lang w:bidi="en-US"/>
        </w:rPr>
        <w:t>=</w:t>
      </w:r>
      <w:bookmarkStart w:id="2" w:name="OLE_LINK3"/>
      <w:r w:rsidR="00F1015F"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,152.94</w:t>
      </w:r>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2.734</w:t>
      </w:r>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00,000,000)</w:t>
      </w:r>
      <w:bookmarkEnd w:id="2"/>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4.00</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w:t>
      </w:r>
    </w:p>
    <w:p w:rsidR="006F3CDF" w:rsidRDefault="00CB74D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lastRenderedPageBreak/>
        <w:t>2</w:t>
      </w:r>
      <w:r>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投资者</w:t>
      </w:r>
      <w:r>
        <w:rPr>
          <w:rFonts w:ascii="Times New Roman" w:hAnsi="Times New Roman" w:cs="Times New Roman" w:hint="eastAsia"/>
          <w:bCs/>
          <w:color w:val="000000"/>
          <w:kern w:val="0"/>
          <w:sz w:val="24"/>
          <w:szCs w:val="24"/>
          <w:lang w:bidi="en-US"/>
        </w:rPr>
        <w:t>在</w:t>
      </w:r>
      <w:r>
        <w:rPr>
          <w:rFonts w:ascii="Times New Roman" w:hAnsi="Times New Roman" w:cs="Times New Roman" w:hint="eastAsia"/>
          <w:bCs/>
          <w:color w:val="000000"/>
          <w:kern w:val="0"/>
          <w:sz w:val="24"/>
          <w:szCs w:val="24"/>
          <w:lang w:bidi="en-US"/>
        </w:rPr>
        <w:t>2025</w:t>
      </w:r>
      <w:r>
        <w:rPr>
          <w:rFonts w:ascii="Times New Roman" w:hAnsi="Times New Roman" w:cs="Times New Roman" w:hint="eastAsia"/>
          <w:bCs/>
          <w:color w:val="000000"/>
          <w:kern w:val="0"/>
          <w:sz w:val="24"/>
          <w:szCs w:val="24"/>
          <w:lang w:bidi="en-US"/>
        </w:rPr>
        <w:t>年</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月</w:t>
      </w:r>
      <w:r w:rsidR="00F1015F">
        <w:rPr>
          <w:rFonts w:ascii="Times New Roman" w:hAnsi="Times New Roman" w:cs="Times New Roman" w:hint="eastAsia"/>
          <w:bCs/>
          <w:color w:val="000000"/>
          <w:kern w:val="0"/>
          <w:sz w:val="24"/>
          <w:szCs w:val="24"/>
          <w:lang w:bidi="en-US"/>
        </w:rPr>
        <w:t>2</w:t>
      </w:r>
      <w:r w:rsidR="00175301">
        <w:rPr>
          <w:rFonts w:ascii="Times New Roman" w:hAnsi="Times New Roman" w:cs="Times New Roman" w:hint="eastAsia"/>
          <w:bCs/>
          <w:color w:val="000000"/>
          <w:kern w:val="0"/>
          <w:sz w:val="24"/>
          <w:szCs w:val="24"/>
          <w:lang w:bidi="en-US"/>
        </w:rPr>
        <w:t>6</w:t>
      </w:r>
      <w:r>
        <w:rPr>
          <w:rFonts w:ascii="Times New Roman" w:hAnsi="Times New Roman" w:cs="Times New Roman" w:hint="eastAsia"/>
          <w:bCs/>
          <w:color w:val="000000"/>
          <w:kern w:val="0"/>
          <w:sz w:val="24"/>
          <w:szCs w:val="24"/>
          <w:lang w:bidi="en-US"/>
        </w:rPr>
        <w:t>日通过二级市场交易买入本基金，假设买入价格为当天收盘价</w:t>
      </w:r>
      <w:r w:rsidR="00CF3471">
        <w:rPr>
          <w:rFonts w:ascii="Times New Roman" w:hAnsi="Times New Roman" w:cs="Times New Roman" w:hint="eastAsia"/>
          <w:bCs/>
          <w:color w:val="000000"/>
          <w:kern w:val="0"/>
          <w:sz w:val="24"/>
          <w:szCs w:val="24"/>
          <w:lang w:bidi="en-US"/>
        </w:rPr>
        <w:t>4.133</w:t>
      </w:r>
      <w:r>
        <w:rPr>
          <w:rFonts w:ascii="Times New Roman" w:hAnsi="Times New Roman" w:cs="Times New Roman" w:hint="eastAsia"/>
          <w:bCs/>
          <w:color w:val="000000"/>
          <w:kern w:val="0"/>
          <w:sz w:val="24"/>
          <w:szCs w:val="24"/>
          <w:lang w:bidi="en-US"/>
        </w:rPr>
        <w:t>元</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份，该投资者的</w:t>
      </w:r>
      <w:r>
        <w:rPr>
          <w:rFonts w:ascii="Times New Roman" w:hAnsi="Times New Roman" w:cs="Times New Roman" w:hint="eastAsia"/>
          <w:bCs/>
          <w:color w:val="000000"/>
          <w:kern w:val="0"/>
          <w:sz w:val="24"/>
          <w:szCs w:val="24"/>
          <w:lang w:bidi="en-US"/>
        </w:rPr>
        <w:t>202</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年净现金流分派率预测值</w:t>
      </w:r>
      <w:r>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,152.94/(</w:t>
      </w:r>
      <w:r w:rsidR="00CF3471">
        <w:rPr>
          <w:rFonts w:ascii="Times New Roman" w:hAnsi="Times New Roman" w:cs="Times New Roman" w:hint="eastAsia"/>
          <w:bCs/>
          <w:color w:val="000000"/>
          <w:kern w:val="0"/>
          <w:sz w:val="24"/>
          <w:szCs w:val="24"/>
          <w:lang w:bidi="en-US"/>
        </w:rPr>
        <w:t>4.133</w:t>
      </w:r>
      <w:r w:rsidR="00F1015F">
        <w:rPr>
          <w:rFonts w:ascii="Times New Roman" w:hAnsi="Times New Roman" w:cs="Times New Roman" w:hint="eastAsia"/>
          <w:bCs/>
          <w:color w:val="000000"/>
          <w:kern w:val="0"/>
          <w:sz w:val="24"/>
          <w:szCs w:val="24"/>
          <w:lang w:bidi="en-US"/>
        </w:rPr>
        <w:t>*500,000,000)</w:t>
      </w:r>
      <w:r>
        <w:rPr>
          <w:rFonts w:ascii="Times New Roman" w:hAnsi="Times New Roman" w:cs="Times New Roman" w:hint="eastAsia"/>
          <w:bCs/>
          <w:color w:val="000000"/>
          <w:kern w:val="0"/>
          <w:sz w:val="24"/>
          <w:szCs w:val="24"/>
          <w:lang w:bidi="en-US"/>
        </w:rPr>
        <w:t>=</w:t>
      </w:r>
      <w:r w:rsidR="00CF3471">
        <w:rPr>
          <w:rFonts w:ascii="Times New Roman" w:hAnsi="Times New Roman" w:cs="Times New Roman" w:hint="eastAsia"/>
          <w:bCs/>
          <w:color w:val="000000"/>
          <w:kern w:val="0"/>
          <w:sz w:val="24"/>
          <w:szCs w:val="24"/>
          <w:lang w:bidi="en-US"/>
        </w:rPr>
        <w:t>2.65</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w:t>
      </w:r>
    </w:p>
    <w:p w:rsidR="006F3CDF" w:rsidRDefault="00CB74D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需特别说明的是：</w:t>
      </w:r>
    </w:p>
    <w:p w:rsidR="006F3CDF" w:rsidRDefault="00CB74D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1</w:t>
      </w:r>
      <w:r>
        <w:rPr>
          <w:rFonts w:ascii="Times New Roman" w:hAnsi="Times New Roman" w:cs="Times New Roman" w:hint="eastAsia"/>
          <w:bCs/>
          <w:color w:val="000000"/>
          <w:kern w:val="0"/>
          <w:sz w:val="24"/>
          <w:szCs w:val="24"/>
          <w:lang w:bidi="en-US"/>
        </w:rPr>
        <w:t>、以上计算说明中的</w:t>
      </w:r>
      <w:r w:rsidR="00F1015F">
        <w:rPr>
          <w:rFonts w:ascii="Times New Roman" w:hAnsi="Times New Roman" w:cs="Times New Roman" w:hint="eastAsia"/>
          <w:bCs/>
          <w:color w:val="000000"/>
          <w:kern w:val="0"/>
          <w:sz w:val="24"/>
          <w:szCs w:val="24"/>
          <w:lang w:bidi="en-US"/>
        </w:rPr>
        <w:t>2025</w:t>
      </w:r>
      <w:r w:rsidR="00F1015F">
        <w:rPr>
          <w:rFonts w:ascii="Times New Roman" w:hAnsi="Times New Roman" w:cs="Times New Roman" w:hint="eastAsia"/>
          <w:bCs/>
          <w:color w:val="000000"/>
          <w:kern w:val="0"/>
          <w:sz w:val="24"/>
          <w:szCs w:val="24"/>
          <w:lang w:bidi="en-US"/>
        </w:rPr>
        <w:t>年度预测</w:t>
      </w:r>
      <w:r>
        <w:rPr>
          <w:rFonts w:ascii="Times New Roman" w:hAnsi="Times New Roman" w:cs="Times New Roman" w:hint="eastAsia"/>
          <w:bCs/>
          <w:color w:val="000000"/>
          <w:kern w:val="0"/>
          <w:sz w:val="24"/>
          <w:szCs w:val="24"/>
          <w:lang w:bidi="en-US"/>
        </w:rPr>
        <w:t>可供分配金额系根据</w:t>
      </w:r>
      <w:r w:rsidR="00F60CBE">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华泰紫金苏州恒泰租赁住房封闭式基础设施证券投资基金</w:t>
      </w:r>
      <w:r w:rsidR="00F1015F">
        <w:rPr>
          <w:rFonts w:ascii="Times New Roman" w:hAnsi="Times New Roman" w:cs="Times New Roman" w:hint="eastAsia"/>
          <w:bCs/>
          <w:color w:val="000000"/>
          <w:kern w:val="0"/>
          <w:sz w:val="24"/>
          <w:szCs w:val="24"/>
          <w:lang w:bidi="en-US"/>
        </w:rPr>
        <w:t>招募说明书</w:t>
      </w:r>
      <w:r w:rsidR="00F60CBE">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披露的预测数据予以假设，</w:t>
      </w:r>
      <w:r w:rsidR="00F60CBE" w:rsidRPr="00F60CBE">
        <w:rPr>
          <w:rFonts w:ascii="Times New Roman" w:hAnsi="Times New Roman" w:cs="Times New Roman" w:hint="eastAsia"/>
          <w:bCs/>
          <w:color w:val="000000"/>
          <w:kern w:val="0"/>
          <w:sz w:val="24"/>
          <w:szCs w:val="24"/>
          <w:lang w:bidi="en-US"/>
        </w:rPr>
        <w:t>不代表实际年度的可供分配金额，如经审计后年度可供分配金额降低，将影响届时净现金流分派率的计算结果</w:t>
      </w:r>
      <w:r>
        <w:rPr>
          <w:rFonts w:ascii="Times New Roman" w:hAnsi="Times New Roman" w:cs="Times New Roman" w:hint="eastAsia"/>
          <w:bCs/>
          <w:color w:val="000000"/>
          <w:kern w:val="0"/>
          <w:sz w:val="24"/>
          <w:szCs w:val="24"/>
          <w:lang w:bidi="en-US"/>
        </w:rPr>
        <w:t>。</w:t>
      </w:r>
    </w:p>
    <w:p w:rsidR="006F3CDF" w:rsidRDefault="00F1015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2</w:t>
      </w:r>
      <w:r>
        <w:rPr>
          <w:rFonts w:ascii="Times New Roman" w:hAnsi="Times New Roman" w:cs="Times New Roman" w:hint="eastAsia"/>
          <w:bCs/>
          <w:color w:val="000000"/>
          <w:kern w:val="0"/>
          <w:sz w:val="24"/>
          <w:szCs w:val="24"/>
          <w:lang w:bidi="en-US"/>
        </w:rPr>
        <w:t>、净现金流分派率不等同于基金的收益率。</w:t>
      </w:r>
    </w:p>
    <w:p w:rsidR="006F3CDF" w:rsidRDefault="00CB74DF">
      <w:pPr>
        <w:pStyle w:val="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auto" w:fill="FFFFFF"/>
        </w:rPr>
        <w:t>五、相关机构联系方式</w:t>
      </w:r>
    </w:p>
    <w:p w:rsidR="006F3CDF" w:rsidRPr="00F60CBE" w:rsidRDefault="00F60CBE" w:rsidP="00F60CBE">
      <w:pPr>
        <w:pStyle w:val="a6"/>
        <w:widowControl/>
        <w:shd w:val="clear" w:color="auto" w:fill="FFFFFF"/>
        <w:spacing w:before="240" w:beforeAutospacing="0" w:afterAutospacing="0" w:line="360" w:lineRule="auto"/>
        <w:ind w:firstLineChars="200" w:firstLine="480"/>
        <w:rPr>
          <w:rFonts w:ascii="宋体" w:eastAsia="宋体" w:hAnsi="宋体" w:cs="微软雅黑"/>
          <w:color w:val="333333"/>
          <w:szCs w:val="24"/>
          <w:shd w:val="clear" w:color="auto" w:fill="FFFFFF"/>
        </w:rPr>
      </w:pPr>
      <w:r w:rsidRPr="00444DF7">
        <w:rPr>
          <w:rFonts w:ascii="宋体" w:eastAsia="宋体" w:hAnsi="宋体" w:cs="微软雅黑" w:hint="eastAsia"/>
          <w:color w:val="333333"/>
          <w:szCs w:val="24"/>
          <w:shd w:val="clear" w:color="auto" w:fill="FFFFFF"/>
        </w:rPr>
        <w:t>投资者可访问本基金管理人的网站（</w:t>
      </w:r>
      <w:r w:rsidR="00CF2679" w:rsidRPr="00CF2679">
        <w:rPr>
          <w:rFonts w:ascii="宋体" w:eastAsia="宋体" w:hAnsi="宋体" w:cs="微软雅黑"/>
          <w:color w:val="333333"/>
          <w:szCs w:val="24"/>
          <w:shd w:val="clear" w:color="auto" w:fill="FFFFFF"/>
        </w:rPr>
        <w:t>https://www.htscamc.com</w:t>
      </w:r>
      <w:r w:rsidRPr="00444DF7">
        <w:rPr>
          <w:rFonts w:ascii="宋体" w:eastAsia="宋体" w:hAnsi="宋体" w:cs="微软雅黑"/>
          <w:color w:val="333333"/>
          <w:szCs w:val="24"/>
          <w:shd w:val="clear" w:color="auto" w:fill="FFFFFF"/>
        </w:rPr>
        <w:t>)</w:t>
      </w:r>
      <w:r w:rsidRPr="00444DF7">
        <w:rPr>
          <w:rFonts w:ascii="宋体" w:eastAsia="宋体" w:hAnsi="宋体" w:cs="微软雅黑" w:hint="eastAsia"/>
          <w:color w:val="333333"/>
          <w:szCs w:val="24"/>
          <w:shd w:val="clear" w:color="auto" w:fill="FFFFFF"/>
        </w:rPr>
        <w:t>或拨打客户服务电话（</w:t>
      </w:r>
      <w:r w:rsidRPr="00444DF7">
        <w:rPr>
          <w:rFonts w:ascii="宋体" w:eastAsia="宋体" w:hAnsi="宋体" w:cs="微软雅黑"/>
          <w:color w:val="333333"/>
          <w:szCs w:val="24"/>
          <w:shd w:val="clear" w:color="auto" w:fill="FFFFFF"/>
        </w:rPr>
        <w:t>4008895597/95597</w:t>
      </w:r>
      <w:r w:rsidRPr="00444DF7">
        <w:rPr>
          <w:rFonts w:ascii="宋体" w:eastAsia="宋体" w:hAnsi="宋体" w:cs="微软雅黑" w:hint="eastAsia"/>
          <w:color w:val="333333"/>
          <w:szCs w:val="24"/>
          <w:shd w:val="clear" w:color="auto" w:fill="FFFFFF"/>
        </w:rPr>
        <w:t>）咨询相关情况。</w:t>
      </w:r>
    </w:p>
    <w:p w:rsidR="006F3CDF" w:rsidRDefault="00CB74DF">
      <w:pPr>
        <w:pStyle w:val="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auto" w:fill="FFFFFF"/>
        </w:rPr>
        <w:t>六、风险提示</w:t>
      </w:r>
    </w:p>
    <w:p w:rsidR="006F3CDF" w:rsidRPr="00F1015F" w:rsidRDefault="00CB74DF">
      <w:pPr>
        <w:spacing w:line="360" w:lineRule="auto"/>
        <w:ind w:firstLineChars="200" w:firstLine="482"/>
        <w:rPr>
          <w:rFonts w:ascii="宋体" w:hAnsi="宋体" w:cs="宋体"/>
          <w:b/>
          <w:color w:val="000000"/>
          <w:kern w:val="0"/>
          <w:sz w:val="24"/>
          <w:szCs w:val="24"/>
          <w:lang w:bidi="en-US"/>
        </w:rPr>
      </w:pPr>
      <w:r w:rsidRPr="00F1015F">
        <w:rPr>
          <w:rFonts w:ascii="宋体" w:hAnsi="宋体" w:cs="宋体" w:hint="eastAsia"/>
          <w:b/>
          <w:color w:val="000000"/>
          <w:kern w:val="0"/>
          <w:sz w:val="24"/>
          <w:szCs w:val="24"/>
          <w:lang w:bidi="en-US"/>
        </w:rPr>
        <w:t>基金管理人承诺以诚实信用、勤勉尽责的原则管理和运用基金资产，但不保证本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参与本基金相关业务前，应当认真阅读本基金的基金合同、最新的招募说明书、基金产品资料概要等信息披露文件，熟悉基础设施基金相关规则，自主判断基金投资价值，自主做出投资决策，自行承担投资风险，全面认识本基金的风险收益特征和产品特性，</w:t>
      </w:r>
      <w:r w:rsidRPr="00F1015F">
        <w:rPr>
          <w:rFonts w:ascii="宋体" w:hAnsi="宋体" w:cs="宋体" w:hint="eastAsia"/>
          <w:b/>
          <w:color w:val="000000"/>
          <w:kern w:val="0"/>
          <w:sz w:val="24"/>
          <w:szCs w:val="24"/>
          <w:lang w:bidi="en-US"/>
        </w:rPr>
        <w:t>并根据自身的投资目的、投资期限、投资经验、资产状况等判断基金是否和自身风险承受能力相适应，理性判断市场，谨慎做出投资决策。</w:t>
      </w:r>
    </w:p>
    <w:p w:rsidR="006F3CDF" w:rsidRDefault="00CB74DF">
      <w:pPr>
        <w:spacing w:line="360" w:lineRule="auto"/>
        <w:ind w:firstLineChars="200" w:firstLine="480"/>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特此公告</w:t>
      </w:r>
      <w:r w:rsidR="00F1015F">
        <w:rPr>
          <w:rFonts w:ascii="宋体" w:hAnsi="宋体" w:cs="宋体" w:hint="eastAsia"/>
          <w:bCs/>
          <w:color w:val="000000"/>
          <w:kern w:val="0"/>
          <w:sz w:val="24"/>
          <w:szCs w:val="24"/>
          <w:lang w:bidi="en-US"/>
        </w:rPr>
        <w:t>。</w:t>
      </w:r>
    </w:p>
    <w:p w:rsidR="006F3CDF" w:rsidRDefault="006F3CDF">
      <w:pPr>
        <w:spacing w:line="360" w:lineRule="auto"/>
        <w:ind w:firstLineChars="200" w:firstLine="480"/>
        <w:rPr>
          <w:rFonts w:ascii="宋体" w:hAnsi="宋体" w:cs="宋体"/>
          <w:bCs/>
          <w:color w:val="000000"/>
          <w:kern w:val="0"/>
          <w:sz w:val="24"/>
          <w:szCs w:val="24"/>
          <w:lang w:bidi="en-US"/>
        </w:rPr>
      </w:pPr>
    </w:p>
    <w:p w:rsidR="006F3CDF" w:rsidRDefault="00CB74DF">
      <w:pPr>
        <w:spacing w:line="360" w:lineRule="auto"/>
        <w:ind w:firstLineChars="200" w:firstLine="480"/>
        <w:jc w:val="right"/>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华泰证券（上海）资产管理有限公司</w:t>
      </w:r>
    </w:p>
    <w:p w:rsidR="006F3CDF" w:rsidRPr="00F1015F" w:rsidRDefault="00CB74DF" w:rsidP="00F1015F">
      <w:pPr>
        <w:spacing w:line="360" w:lineRule="auto"/>
        <w:ind w:firstLineChars="200" w:firstLine="480"/>
        <w:jc w:val="right"/>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2025</w:t>
      </w:r>
      <w:r>
        <w:rPr>
          <w:rFonts w:ascii="宋体" w:hAnsi="宋体" w:cs="宋体" w:hint="eastAsia"/>
          <w:bCs/>
          <w:color w:val="000000"/>
          <w:kern w:val="0"/>
          <w:sz w:val="24"/>
          <w:szCs w:val="24"/>
          <w:lang w:bidi="en-US"/>
        </w:rPr>
        <w:t>年</w:t>
      </w:r>
      <w:r w:rsidR="00F1015F">
        <w:rPr>
          <w:rFonts w:ascii="宋体" w:hAnsi="宋体" w:cs="宋体" w:hint="eastAsia"/>
          <w:bCs/>
          <w:color w:val="000000"/>
          <w:kern w:val="0"/>
          <w:sz w:val="24"/>
          <w:szCs w:val="24"/>
          <w:lang w:bidi="en-US"/>
        </w:rPr>
        <w:t>5</w:t>
      </w:r>
      <w:r>
        <w:rPr>
          <w:rFonts w:ascii="宋体" w:hAnsi="宋体" w:cs="宋体" w:hint="eastAsia"/>
          <w:bCs/>
          <w:color w:val="000000"/>
          <w:kern w:val="0"/>
          <w:sz w:val="24"/>
          <w:szCs w:val="24"/>
          <w:lang w:bidi="en-US"/>
        </w:rPr>
        <w:t>月</w:t>
      </w:r>
      <w:r w:rsidR="00F1015F">
        <w:rPr>
          <w:rFonts w:ascii="宋体" w:hAnsi="宋体" w:cs="宋体" w:hint="eastAsia"/>
          <w:bCs/>
          <w:color w:val="000000"/>
          <w:kern w:val="0"/>
          <w:sz w:val="24"/>
          <w:szCs w:val="24"/>
          <w:lang w:bidi="en-US"/>
        </w:rPr>
        <w:t>2</w:t>
      </w:r>
      <w:r w:rsidR="00175301">
        <w:rPr>
          <w:rFonts w:ascii="宋体" w:hAnsi="宋体" w:cs="宋体" w:hint="eastAsia"/>
          <w:bCs/>
          <w:color w:val="000000"/>
          <w:kern w:val="0"/>
          <w:sz w:val="24"/>
          <w:szCs w:val="24"/>
          <w:lang w:bidi="en-US"/>
        </w:rPr>
        <w:t>7</w:t>
      </w:r>
      <w:r>
        <w:rPr>
          <w:rFonts w:ascii="宋体" w:hAnsi="宋体" w:cs="宋体" w:hint="eastAsia"/>
          <w:bCs/>
          <w:color w:val="000000"/>
          <w:kern w:val="0"/>
          <w:sz w:val="24"/>
          <w:szCs w:val="24"/>
          <w:lang w:bidi="en-US"/>
        </w:rPr>
        <w:t>日</w:t>
      </w:r>
    </w:p>
    <w:sectPr w:rsidR="006F3CDF" w:rsidRPr="00F1015F" w:rsidSect="004A4F4D">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E7E" w:rsidRDefault="00AB1E7E" w:rsidP="00304059">
      <w:r>
        <w:separator/>
      </w:r>
    </w:p>
  </w:endnote>
  <w:endnote w:type="continuationSeparator" w:id="0">
    <w:p w:rsidR="00AB1E7E" w:rsidRDefault="00AB1E7E" w:rsidP="00304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 w:name="方正仿宋简体">
    <w:altName w:val="微软雅黑"/>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E7E" w:rsidRDefault="00AB1E7E" w:rsidP="00304059">
      <w:r>
        <w:separator/>
      </w:r>
    </w:p>
  </w:footnote>
  <w:footnote w:type="continuationSeparator" w:id="0">
    <w:p w:rsidR="00AB1E7E" w:rsidRDefault="00AB1E7E" w:rsidP="00304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73D0"/>
    <w:multiLevelType w:val="singleLevel"/>
    <w:tmpl w:val="5F4373D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13F"/>
    <w:rsid w:val="000737A2"/>
    <w:rsid w:val="000740A2"/>
    <w:rsid w:val="0007506B"/>
    <w:rsid w:val="001540E5"/>
    <w:rsid w:val="00172A27"/>
    <w:rsid w:val="00175301"/>
    <w:rsid w:val="00290640"/>
    <w:rsid w:val="002D6569"/>
    <w:rsid w:val="00304059"/>
    <w:rsid w:val="00307D2F"/>
    <w:rsid w:val="00337C0F"/>
    <w:rsid w:val="00374888"/>
    <w:rsid w:val="00390898"/>
    <w:rsid w:val="003C0199"/>
    <w:rsid w:val="00402E2F"/>
    <w:rsid w:val="004A4F4D"/>
    <w:rsid w:val="00520E90"/>
    <w:rsid w:val="005506DF"/>
    <w:rsid w:val="0056384E"/>
    <w:rsid w:val="00617D13"/>
    <w:rsid w:val="00672520"/>
    <w:rsid w:val="006F3CDF"/>
    <w:rsid w:val="006F4C2F"/>
    <w:rsid w:val="00730885"/>
    <w:rsid w:val="00843F00"/>
    <w:rsid w:val="008642E0"/>
    <w:rsid w:val="008A7035"/>
    <w:rsid w:val="008F4E43"/>
    <w:rsid w:val="009C07C8"/>
    <w:rsid w:val="00A34156"/>
    <w:rsid w:val="00A679B4"/>
    <w:rsid w:val="00AB1E7E"/>
    <w:rsid w:val="00AC1E85"/>
    <w:rsid w:val="00AF30F1"/>
    <w:rsid w:val="00B42D9F"/>
    <w:rsid w:val="00C722FE"/>
    <w:rsid w:val="00CA5264"/>
    <w:rsid w:val="00CB74DF"/>
    <w:rsid w:val="00CD2ED6"/>
    <w:rsid w:val="00CF2679"/>
    <w:rsid w:val="00CF3471"/>
    <w:rsid w:val="00CF3575"/>
    <w:rsid w:val="00D66005"/>
    <w:rsid w:val="00D74AEC"/>
    <w:rsid w:val="00DB4077"/>
    <w:rsid w:val="00DB7F53"/>
    <w:rsid w:val="00EA0F9E"/>
    <w:rsid w:val="00F059FD"/>
    <w:rsid w:val="00F1015F"/>
    <w:rsid w:val="00F23F8D"/>
    <w:rsid w:val="00F60CBE"/>
    <w:rsid w:val="00F6539F"/>
    <w:rsid w:val="154E27A3"/>
    <w:rsid w:val="24825E06"/>
    <w:rsid w:val="487A501D"/>
    <w:rsid w:val="5BA67BB5"/>
    <w:rsid w:val="67597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A4F4D"/>
    <w:pPr>
      <w:jc w:val="both"/>
    </w:pPr>
    <w:rPr>
      <w:rFonts w:eastAsia="宋体"/>
      <w:kern w:val="2"/>
      <w:sz w:val="21"/>
    </w:rPr>
  </w:style>
  <w:style w:type="paragraph" w:styleId="1">
    <w:name w:val="heading 1"/>
    <w:basedOn w:val="a"/>
    <w:next w:val="a"/>
    <w:qFormat/>
    <w:rsid w:val="004A4F4D"/>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
    <w:next w:val="a"/>
    <w:link w:val="2Char"/>
    <w:qFormat/>
    <w:rsid w:val="00304059"/>
    <w:pPr>
      <w:keepNext/>
      <w:keepLines/>
      <w:widowControl w:val="0"/>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4A4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04059"/>
    <w:pPr>
      <w:tabs>
        <w:tab w:val="center" w:pos="4153"/>
        <w:tab w:val="right" w:pos="8306"/>
      </w:tabs>
      <w:snapToGrid w:val="0"/>
      <w:jc w:val="center"/>
    </w:pPr>
    <w:rPr>
      <w:sz w:val="18"/>
      <w:szCs w:val="18"/>
    </w:rPr>
  </w:style>
  <w:style w:type="character" w:customStyle="1" w:styleId="Char">
    <w:name w:val="页眉 Char"/>
    <w:basedOn w:val="a0"/>
    <w:link w:val="a4"/>
    <w:rsid w:val="00304059"/>
    <w:rPr>
      <w:rFonts w:eastAsia="宋体"/>
      <w:kern w:val="2"/>
      <w:sz w:val="18"/>
      <w:szCs w:val="18"/>
    </w:rPr>
  </w:style>
  <w:style w:type="paragraph" w:styleId="a5">
    <w:name w:val="footer"/>
    <w:basedOn w:val="a"/>
    <w:link w:val="Char0"/>
    <w:rsid w:val="00304059"/>
    <w:pPr>
      <w:tabs>
        <w:tab w:val="center" w:pos="4153"/>
        <w:tab w:val="right" w:pos="8306"/>
      </w:tabs>
      <w:snapToGrid w:val="0"/>
      <w:jc w:val="left"/>
    </w:pPr>
    <w:rPr>
      <w:sz w:val="18"/>
      <w:szCs w:val="18"/>
    </w:rPr>
  </w:style>
  <w:style w:type="character" w:customStyle="1" w:styleId="Char0">
    <w:name w:val="页脚 Char"/>
    <w:basedOn w:val="a0"/>
    <w:link w:val="a5"/>
    <w:rsid w:val="00304059"/>
    <w:rPr>
      <w:rFonts w:eastAsia="宋体"/>
      <w:kern w:val="2"/>
      <w:sz w:val="18"/>
      <w:szCs w:val="18"/>
    </w:rPr>
  </w:style>
  <w:style w:type="character" w:customStyle="1" w:styleId="20">
    <w:name w:val="标题 2 字符"/>
    <w:basedOn w:val="a0"/>
    <w:semiHidden/>
    <w:rsid w:val="00304059"/>
    <w:rPr>
      <w:rFonts w:asciiTheme="majorHAnsi" w:eastAsiaTheme="majorEastAsia" w:hAnsiTheme="majorHAnsi" w:cstheme="majorBidi"/>
      <w:b/>
      <w:bCs/>
      <w:kern w:val="2"/>
      <w:sz w:val="32"/>
      <w:szCs w:val="32"/>
    </w:rPr>
  </w:style>
  <w:style w:type="character" w:customStyle="1" w:styleId="2Char">
    <w:name w:val="标题 2 Char"/>
    <w:link w:val="2"/>
    <w:rsid w:val="00304059"/>
    <w:rPr>
      <w:rFonts w:ascii="Arial" w:eastAsia="黑体" w:hAnsi="Arial" w:cs="Times New Roman"/>
      <w:b/>
      <w:bCs/>
      <w:kern w:val="2"/>
      <w:sz w:val="32"/>
      <w:szCs w:val="32"/>
    </w:rPr>
  </w:style>
  <w:style w:type="paragraph" w:styleId="a6">
    <w:name w:val="Normal (Web)"/>
    <w:basedOn w:val="a"/>
    <w:uiPriority w:val="99"/>
    <w:unhideWhenUsed/>
    <w:rsid w:val="00F60CBE"/>
    <w:pPr>
      <w:widowControl w:val="0"/>
      <w:spacing w:beforeAutospacing="1" w:afterAutospacing="1"/>
      <w:jc w:val="left"/>
    </w:pPr>
    <w:rPr>
      <w:rFonts w:ascii="Times New Roman" w:eastAsia="方正仿宋简体" w:hAnsi="Times New Roman" w:cs="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80F0-4520-46E5-B194-24A8A392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Application>Microsoft Office Word</Application>
  <DocSecurity>4</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004936</dc:creator>
  <cp:lastModifiedBy>ZHONGM</cp:lastModifiedBy>
  <cp:revision>2</cp:revision>
  <dcterms:created xsi:type="dcterms:W3CDTF">2025-05-26T16:00:00Z</dcterms:created>
  <dcterms:modified xsi:type="dcterms:W3CDTF">2025-05-26T16:00:00Z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50D1DEE0185A40E7AB3B4CE91684865E</vt:lpwstr>
  </property>
</Properties>
</file>