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7A" w:rsidRPr="00147EB3" w:rsidRDefault="00CF647A" w:rsidP="00CF647A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 w:val="22"/>
          <w:szCs w:val="21"/>
        </w:rPr>
      </w:pPr>
      <w:r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关于</w:t>
      </w:r>
      <w:r w:rsidR="00D22B83"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万家中证港股通央企红利交易型开放式指数证券投资基金</w:t>
      </w:r>
      <w:r w:rsidR="00A626B6"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新增</w:t>
      </w:r>
      <w:r w:rsidR="00E2790E"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长江</w:t>
      </w:r>
      <w:r w:rsidR="00F4444E"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证券</w:t>
      </w:r>
      <w:r w:rsidR="00703133"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等机构</w:t>
      </w:r>
      <w:r w:rsidR="005675B9"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为</w:t>
      </w:r>
      <w:bookmarkStart w:id="0" w:name="_GoBack"/>
      <w:bookmarkEnd w:id="0"/>
      <w:r w:rsidRPr="00147EB3">
        <w:rPr>
          <w:rFonts w:ascii="宋体" w:eastAsia="宋体" w:hAnsi="宋体" w:cs="宋体" w:hint="eastAsia"/>
          <w:b/>
          <w:color w:val="000000" w:themeColor="text1"/>
          <w:kern w:val="0"/>
          <w:sz w:val="22"/>
          <w:szCs w:val="21"/>
        </w:rPr>
        <w:t>申购赎回代办券商的公告</w:t>
      </w:r>
    </w:p>
    <w:p w:rsidR="00CF647A" w:rsidRDefault="00CF647A" w:rsidP="00CF647A">
      <w:pPr>
        <w:autoSpaceDE w:val="0"/>
        <w:autoSpaceDN w:val="0"/>
        <w:adjustRightInd w:val="0"/>
        <w:jc w:val="center"/>
        <w:rPr>
          <w:rFonts w:ascii="SimSun,Bold" w:eastAsia="SimSun,Bold" w:cs="SimSun,Bold"/>
          <w:b/>
          <w:bCs/>
          <w:color w:val="000000"/>
          <w:kern w:val="0"/>
          <w:sz w:val="24"/>
          <w:szCs w:val="24"/>
        </w:rPr>
      </w:pPr>
    </w:p>
    <w:p w:rsidR="00CF647A" w:rsidRDefault="00CF647A" w:rsidP="00CF647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根据万家基金管理有限公司（以下简称“本公司”）</w:t>
      </w:r>
      <w:r w:rsidR="00C41F9E">
        <w:rPr>
          <w:rFonts w:ascii="宋体" w:eastAsia="宋体" w:hAnsi="宋体" w:cs="宋体" w:hint="eastAsia"/>
          <w:color w:val="000000" w:themeColor="text1"/>
          <w:kern w:val="0"/>
          <w:szCs w:val="21"/>
        </w:rPr>
        <w:t>分别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与</w:t>
      </w:r>
      <w:r w:rsidR="002A7DE0"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长江证券股份有限公司</w:t>
      </w:r>
      <w:r w:rsid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、</w:t>
      </w:r>
      <w:r w:rsidR="002A7DE0"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国新证券股份有限公司以及红塔证券股份有限公司</w:t>
      </w:r>
      <w:r w:rsidR="009329B9">
        <w:rPr>
          <w:rFonts w:ascii="宋体" w:eastAsia="宋体" w:hAnsi="宋体" w:cs="宋体" w:hint="eastAsia"/>
          <w:color w:val="000000" w:themeColor="text1"/>
          <w:kern w:val="0"/>
          <w:szCs w:val="21"/>
        </w:rPr>
        <w:t>（以下合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称“</w:t>
      </w:r>
      <w:r w:rsidR="009329B9">
        <w:rPr>
          <w:rFonts w:ascii="宋体" w:eastAsia="宋体" w:hAnsi="宋体" w:cs="宋体" w:hint="eastAsia"/>
          <w:color w:val="000000" w:themeColor="text1"/>
          <w:kern w:val="0"/>
          <w:szCs w:val="21"/>
        </w:rPr>
        <w:t>上述机构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”）签署的协议，并经深圳证券交易所确认，本公司决定自</w:t>
      </w:r>
      <w:r w:rsidR="002A7DE0" w:rsidRPr="002A7DE0">
        <w:rPr>
          <w:rFonts w:ascii="宋体" w:eastAsia="宋体" w:hAnsi="宋体" w:cs="宋体"/>
          <w:color w:val="000000" w:themeColor="text1"/>
          <w:kern w:val="0"/>
          <w:szCs w:val="21"/>
        </w:rPr>
        <w:t>2025年5月26日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起增加</w:t>
      </w:r>
      <w:r w:rsidR="009329B9">
        <w:rPr>
          <w:rFonts w:ascii="宋体" w:eastAsia="宋体" w:hAnsi="宋体" w:cs="宋体" w:hint="eastAsia"/>
          <w:color w:val="000000" w:themeColor="text1"/>
          <w:kern w:val="0"/>
          <w:szCs w:val="21"/>
        </w:rPr>
        <w:t>上述机构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为</w:t>
      </w:r>
      <w:r w:rsidR="00ED60DC" w:rsidRPr="00ED60DC">
        <w:rPr>
          <w:rFonts w:ascii="宋体" w:eastAsia="宋体" w:hAnsi="宋体" w:cs="宋体" w:hint="eastAsia"/>
          <w:color w:val="000000" w:themeColor="text1"/>
          <w:kern w:val="0"/>
          <w:szCs w:val="21"/>
        </w:rPr>
        <w:t>万家中证港股通央企红利交易型开放式指数证券投资基金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（以下简称“</w:t>
      </w:r>
      <w:r w:rsidR="00F8607F" w:rsidRPr="00F8607F">
        <w:rPr>
          <w:rFonts w:ascii="宋体" w:eastAsia="宋体" w:hAnsi="宋体" w:cs="宋体" w:hint="eastAsia"/>
          <w:color w:val="000000" w:themeColor="text1"/>
          <w:kern w:val="0"/>
          <w:szCs w:val="21"/>
        </w:rPr>
        <w:t>港股央企红利</w:t>
      </w:r>
      <w:r w:rsidR="00F8607F" w:rsidRPr="00F8607F">
        <w:rPr>
          <w:rFonts w:ascii="宋体" w:eastAsia="宋体" w:hAnsi="宋体" w:cs="宋体"/>
          <w:color w:val="000000" w:themeColor="text1"/>
          <w:kern w:val="0"/>
          <w:szCs w:val="21"/>
        </w:rPr>
        <w:t>ETF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”，基金代码：</w:t>
      </w:r>
      <w:r w:rsidR="00ED60DC" w:rsidRPr="00ED60DC">
        <w:rPr>
          <w:rFonts w:ascii="宋体" w:eastAsia="宋体" w:hAnsi="宋体" w:cs="宋体"/>
          <w:color w:val="000000" w:themeColor="text1"/>
          <w:kern w:val="0"/>
          <w:szCs w:val="21"/>
        </w:rPr>
        <w:t>159333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）的申购赎回代办券商。自</w:t>
      </w:r>
      <w:r w:rsidR="002A7DE0" w:rsidRPr="002A7DE0">
        <w:rPr>
          <w:rFonts w:ascii="宋体" w:eastAsia="宋体" w:hAnsi="宋体" w:cs="宋体"/>
          <w:color w:val="000000" w:themeColor="text1"/>
          <w:kern w:val="0"/>
          <w:szCs w:val="21"/>
        </w:rPr>
        <w:t>2025年5月26日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起，投资者可通过</w:t>
      </w:r>
      <w:r w:rsidR="009329B9" w:rsidRPr="009329B9">
        <w:rPr>
          <w:rFonts w:ascii="宋体" w:eastAsia="宋体" w:hAnsi="宋体" w:cs="宋体" w:hint="eastAsia"/>
          <w:color w:val="000000" w:themeColor="text1"/>
          <w:kern w:val="0"/>
          <w:szCs w:val="21"/>
        </w:rPr>
        <w:t>上述机构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办理</w:t>
      </w:r>
      <w:r w:rsidR="00F8607F" w:rsidRPr="00F8607F">
        <w:rPr>
          <w:rFonts w:ascii="宋体" w:eastAsia="宋体" w:hAnsi="宋体" w:cs="宋体" w:hint="eastAsia"/>
          <w:color w:val="000000" w:themeColor="text1"/>
          <w:kern w:val="0"/>
          <w:szCs w:val="21"/>
        </w:rPr>
        <w:t>港股央企红利</w:t>
      </w:r>
      <w:r w:rsidR="00F8607F" w:rsidRPr="00F8607F">
        <w:rPr>
          <w:rFonts w:ascii="宋体" w:eastAsia="宋体" w:hAnsi="宋体" w:cs="宋体"/>
          <w:color w:val="000000" w:themeColor="text1"/>
          <w:kern w:val="0"/>
          <w:szCs w:val="21"/>
        </w:rPr>
        <w:t>ETF</w:t>
      </w: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的申购赎回业务。</w:t>
      </w:r>
    </w:p>
    <w:p w:rsidR="00BF3CDD" w:rsidRPr="00CF647A" w:rsidRDefault="00BF3CDD" w:rsidP="00CF647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CF647A" w:rsidRPr="00CF647A" w:rsidRDefault="00CF647A" w:rsidP="00CF647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投资者可通过以下渠道咨询详情</w:t>
      </w:r>
      <w:r w:rsidRPr="00CF647A">
        <w:rPr>
          <w:rFonts w:ascii="宋体" w:eastAsia="宋体" w:hAnsi="宋体" w:cs="宋体"/>
          <w:color w:val="000000" w:themeColor="text1"/>
          <w:kern w:val="0"/>
          <w:szCs w:val="21"/>
        </w:rPr>
        <w:t>:</w:t>
      </w:r>
    </w:p>
    <w:p w:rsidR="002A7DE0" w:rsidRPr="002A7DE0" w:rsidRDefault="00CF647A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1、</w:t>
      </w:r>
      <w:r w:rsidR="002A7DE0"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长江证券股份有限公司</w:t>
      </w:r>
    </w:p>
    <w:p w:rsidR="002A7DE0" w:rsidRPr="002A7DE0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客服电话：</w:t>
      </w:r>
      <w:r w:rsidRPr="002A7DE0">
        <w:rPr>
          <w:rFonts w:ascii="宋体" w:eastAsia="宋体" w:hAnsi="宋体" w:cs="宋体"/>
          <w:color w:val="000000" w:themeColor="text1"/>
          <w:kern w:val="0"/>
          <w:szCs w:val="21"/>
        </w:rPr>
        <w:t>95579 或4008-888-999</w:t>
      </w:r>
    </w:p>
    <w:p w:rsidR="00CF647A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网址：</w:t>
      </w:r>
      <w:r w:rsidRPr="002A7DE0">
        <w:rPr>
          <w:rFonts w:ascii="宋体" w:eastAsia="宋体" w:hAnsi="宋体" w:cs="宋体"/>
          <w:color w:val="000000" w:themeColor="text1"/>
          <w:kern w:val="0"/>
          <w:szCs w:val="21"/>
        </w:rPr>
        <w:t>www.95579.com</w:t>
      </w:r>
    </w:p>
    <w:p w:rsidR="008C266D" w:rsidRDefault="008C266D" w:rsidP="008C266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2A7DE0" w:rsidRPr="002A7DE0" w:rsidRDefault="009329B9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2、</w:t>
      </w:r>
      <w:r w:rsidR="002A7DE0"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国新证券股份有限公司</w:t>
      </w:r>
    </w:p>
    <w:p w:rsidR="002A7DE0" w:rsidRPr="002A7DE0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客服电话：</w:t>
      </w:r>
      <w:r w:rsidRPr="002A7DE0">
        <w:rPr>
          <w:rFonts w:ascii="宋体" w:eastAsia="宋体" w:hAnsi="宋体" w:cs="宋体"/>
          <w:color w:val="000000" w:themeColor="text1"/>
          <w:kern w:val="0"/>
          <w:szCs w:val="21"/>
        </w:rPr>
        <w:t>95390</w:t>
      </w:r>
    </w:p>
    <w:p w:rsidR="002A7DE0" w:rsidRPr="002A7DE0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网址：</w:t>
      </w:r>
      <w:r w:rsidRPr="002A7DE0">
        <w:rPr>
          <w:rFonts w:ascii="宋体" w:eastAsia="宋体" w:hAnsi="宋体" w:cs="宋体"/>
          <w:color w:val="000000" w:themeColor="text1"/>
          <w:kern w:val="0"/>
          <w:szCs w:val="21"/>
        </w:rPr>
        <w:t>crsec.com.cn</w:t>
      </w:r>
    </w:p>
    <w:p w:rsidR="002A7DE0" w:rsidRPr="002A7DE0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2A7DE0" w:rsidRPr="002A7DE0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2A7DE0">
        <w:rPr>
          <w:rFonts w:ascii="宋体" w:eastAsia="宋体" w:hAnsi="宋体" w:cs="宋体"/>
          <w:color w:val="000000" w:themeColor="text1"/>
          <w:kern w:val="0"/>
          <w:szCs w:val="21"/>
        </w:rPr>
        <w:t>3、红塔证券股份有限公司</w:t>
      </w:r>
    </w:p>
    <w:p w:rsidR="002A7DE0" w:rsidRPr="002A7DE0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客服电话：</w:t>
      </w:r>
      <w:r w:rsidRPr="002A7DE0">
        <w:rPr>
          <w:rFonts w:ascii="宋体" w:eastAsia="宋体" w:hAnsi="宋体" w:cs="宋体"/>
          <w:color w:val="000000" w:themeColor="text1"/>
          <w:kern w:val="0"/>
          <w:szCs w:val="21"/>
        </w:rPr>
        <w:t>956060</w:t>
      </w:r>
    </w:p>
    <w:p w:rsidR="005656E1" w:rsidRPr="005656E1" w:rsidRDefault="002A7DE0" w:rsidP="002A7DE0">
      <w:pPr>
        <w:autoSpaceDE w:val="0"/>
        <w:autoSpaceDN w:val="0"/>
        <w:adjustRightInd w:val="0"/>
        <w:spacing w:line="360" w:lineRule="auto"/>
        <w:ind w:firstLineChars="200" w:firstLine="420"/>
        <w:rPr>
          <w:rFonts w:hAnsi="宋体"/>
          <w:color w:val="000000" w:themeColor="text1"/>
        </w:rPr>
      </w:pPr>
      <w:r w:rsidRPr="002A7DE0">
        <w:rPr>
          <w:rFonts w:ascii="宋体" w:eastAsia="宋体" w:hAnsi="宋体" w:cs="宋体" w:hint="eastAsia"/>
          <w:color w:val="000000" w:themeColor="text1"/>
          <w:kern w:val="0"/>
          <w:szCs w:val="21"/>
        </w:rPr>
        <w:t>网址：</w:t>
      </w:r>
      <w:r w:rsidRPr="002A7DE0">
        <w:rPr>
          <w:rFonts w:ascii="宋体" w:eastAsia="宋体" w:hAnsi="宋体" w:cs="宋体"/>
          <w:color w:val="000000" w:themeColor="text1"/>
          <w:kern w:val="0"/>
          <w:szCs w:val="21"/>
        </w:rPr>
        <w:t>https://www.hongtastock.com/</w:t>
      </w:r>
    </w:p>
    <w:p w:rsidR="005656E1" w:rsidRPr="005656E1" w:rsidRDefault="005656E1" w:rsidP="005656E1">
      <w:pPr>
        <w:autoSpaceDE w:val="0"/>
        <w:autoSpaceDN w:val="0"/>
        <w:adjustRightInd w:val="0"/>
        <w:spacing w:line="360" w:lineRule="auto"/>
        <w:ind w:firstLineChars="200" w:firstLine="420"/>
        <w:rPr>
          <w:rFonts w:hAnsi="宋体"/>
          <w:color w:val="000000" w:themeColor="text1"/>
        </w:rPr>
      </w:pPr>
    </w:p>
    <w:p w:rsidR="00B37097" w:rsidRPr="004C500E" w:rsidRDefault="002A7DE0" w:rsidP="00B3709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4</w:t>
      </w:r>
      <w:r w:rsidR="00CF647A" w:rsidRPr="004C500E">
        <w:rPr>
          <w:rFonts w:ascii="宋体" w:eastAsia="宋体" w:hAnsi="宋体" w:hint="eastAsia"/>
          <w:color w:val="000000" w:themeColor="text1"/>
        </w:rPr>
        <w:t>、</w:t>
      </w:r>
      <w:r w:rsidR="00B37097" w:rsidRPr="004C500E">
        <w:rPr>
          <w:rFonts w:ascii="宋体" w:eastAsia="宋体" w:hAnsi="宋体" w:hint="eastAsia"/>
          <w:color w:val="000000" w:themeColor="text1"/>
        </w:rPr>
        <w:t>万家基金管理有限公司</w:t>
      </w:r>
    </w:p>
    <w:p w:rsidR="00B37097" w:rsidRPr="004C500E" w:rsidRDefault="00B37097" w:rsidP="00B3709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/>
          <w:color w:val="000000" w:themeColor="text1"/>
        </w:rPr>
      </w:pPr>
      <w:r w:rsidRPr="004C500E">
        <w:rPr>
          <w:rFonts w:ascii="宋体" w:eastAsia="宋体" w:hAnsi="宋体" w:hint="eastAsia"/>
          <w:color w:val="000000" w:themeColor="text1"/>
        </w:rPr>
        <w:t>客服电话：400-888-0800</w:t>
      </w:r>
    </w:p>
    <w:p w:rsidR="00CF647A" w:rsidRPr="004C500E" w:rsidRDefault="00B37097" w:rsidP="00B3709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/>
          <w:color w:val="000000" w:themeColor="text1"/>
        </w:rPr>
      </w:pPr>
      <w:r w:rsidRPr="004C500E">
        <w:rPr>
          <w:rFonts w:ascii="宋体" w:eastAsia="宋体" w:hAnsi="宋体" w:hint="eastAsia"/>
          <w:color w:val="000000" w:themeColor="text1"/>
        </w:rPr>
        <w:t>网址：</w:t>
      </w:r>
      <w:hyperlink r:id="rId6" w:history="1">
        <w:r w:rsidR="00BF3CDD" w:rsidRPr="004C500E">
          <w:rPr>
            <w:rFonts w:hint="eastAsia"/>
            <w:color w:val="000000" w:themeColor="text1"/>
          </w:rPr>
          <w:t>www.wjasset.com</w:t>
        </w:r>
      </w:hyperlink>
    </w:p>
    <w:p w:rsidR="00BF3CDD" w:rsidRPr="00CF647A" w:rsidRDefault="00BF3CDD" w:rsidP="00B37097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CF647A" w:rsidRPr="00CF647A" w:rsidRDefault="0058396C" w:rsidP="0058396C">
      <w:pPr>
        <w:autoSpaceDE w:val="0"/>
        <w:autoSpaceDN w:val="0"/>
        <w:adjustRightInd w:val="0"/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58396C">
        <w:rPr>
          <w:rFonts w:ascii="宋体" w:eastAsia="宋体" w:hAnsi="宋体" w:cs="宋体" w:hint="eastAsia"/>
          <w:color w:val="000000" w:themeColor="text1"/>
          <w:kern w:val="0"/>
          <w:szCs w:val="21"/>
        </w:rPr>
        <w:t>风险提示：敬请投资者于投资前认真阅读各基金的《基金合同》和《招募说明书》等法律文件，基金管理人承诺以诚实信用、勤勉尽责的原则管理和运用基金资产，但不承诺基金</w:t>
      </w:r>
      <w:r w:rsidRPr="0058396C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投资最低收益、也不保证基金投资一定赢利，请投资者在充分考虑风险的情况下谨慎做出投资决策，在做出投资决策后，基金运营状况与基金净值变化引致的投资风险，由投资者自行负担。</w:t>
      </w:r>
    </w:p>
    <w:p w:rsidR="00CF647A" w:rsidRPr="00CF647A" w:rsidRDefault="00CF647A" w:rsidP="00CF647A">
      <w:pPr>
        <w:autoSpaceDE w:val="0"/>
        <w:autoSpaceDN w:val="0"/>
        <w:adjustRightInd w:val="0"/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特此公告。</w:t>
      </w:r>
    </w:p>
    <w:p w:rsidR="00CF647A" w:rsidRPr="00CF647A" w:rsidRDefault="00CF647A" w:rsidP="00CF647A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F647A">
        <w:rPr>
          <w:rFonts w:ascii="宋体" w:eastAsia="宋体" w:hAnsi="宋体" w:cs="宋体" w:hint="eastAsia"/>
          <w:color w:val="000000" w:themeColor="text1"/>
          <w:kern w:val="0"/>
          <w:szCs w:val="21"/>
        </w:rPr>
        <w:t>万家基金管理有限公司</w:t>
      </w:r>
    </w:p>
    <w:p w:rsidR="00771827" w:rsidRPr="00CF647A" w:rsidRDefault="00044073" w:rsidP="00CF647A">
      <w:pPr>
        <w:wordWrap w:val="0"/>
        <w:spacing w:line="360" w:lineRule="auto"/>
        <w:jc w:val="right"/>
        <w:rPr>
          <w:rFonts w:ascii="宋体" w:eastAsia="宋体" w:hAnsi="宋体"/>
          <w:color w:val="000000" w:themeColor="text1"/>
          <w:szCs w:val="21"/>
        </w:rPr>
      </w:pPr>
      <w:r w:rsidRPr="00044073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二〇二五年五月二十六日</w:t>
      </w:r>
    </w:p>
    <w:sectPr w:rsidR="00771827" w:rsidRPr="00CF647A" w:rsidSect="0091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DD" w:rsidRDefault="007846DD" w:rsidP="005675B9">
      <w:r>
        <w:separator/>
      </w:r>
    </w:p>
  </w:endnote>
  <w:endnote w:type="continuationSeparator" w:id="0">
    <w:p w:rsidR="007846DD" w:rsidRDefault="007846DD" w:rsidP="00567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DD" w:rsidRDefault="007846DD" w:rsidP="005675B9">
      <w:r>
        <w:separator/>
      </w:r>
    </w:p>
  </w:footnote>
  <w:footnote w:type="continuationSeparator" w:id="0">
    <w:p w:rsidR="007846DD" w:rsidRDefault="007846DD" w:rsidP="00567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1F1"/>
    <w:rsid w:val="00007AE9"/>
    <w:rsid w:val="000174F9"/>
    <w:rsid w:val="00044073"/>
    <w:rsid w:val="000556A1"/>
    <w:rsid w:val="00072E12"/>
    <w:rsid w:val="00085CCF"/>
    <w:rsid w:val="0009375E"/>
    <w:rsid w:val="00147EB3"/>
    <w:rsid w:val="001A3B09"/>
    <w:rsid w:val="001A4BFA"/>
    <w:rsid w:val="00236882"/>
    <w:rsid w:val="00293B9C"/>
    <w:rsid w:val="002A7DE0"/>
    <w:rsid w:val="002B36DC"/>
    <w:rsid w:val="002F01F1"/>
    <w:rsid w:val="00340168"/>
    <w:rsid w:val="00374F21"/>
    <w:rsid w:val="0039202E"/>
    <w:rsid w:val="003E68A3"/>
    <w:rsid w:val="00400CF0"/>
    <w:rsid w:val="00450301"/>
    <w:rsid w:val="004C500E"/>
    <w:rsid w:val="004C7530"/>
    <w:rsid w:val="005656E1"/>
    <w:rsid w:val="005675B9"/>
    <w:rsid w:val="0058396C"/>
    <w:rsid w:val="005877CF"/>
    <w:rsid w:val="005A3DB3"/>
    <w:rsid w:val="005F4D00"/>
    <w:rsid w:val="006205DC"/>
    <w:rsid w:val="006356D9"/>
    <w:rsid w:val="006F6448"/>
    <w:rsid w:val="00703133"/>
    <w:rsid w:val="00735317"/>
    <w:rsid w:val="00741BCE"/>
    <w:rsid w:val="007625F8"/>
    <w:rsid w:val="00771827"/>
    <w:rsid w:val="007846DD"/>
    <w:rsid w:val="00787512"/>
    <w:rsid w:val="007D160A"/>
    <w:rsid w:val="00822D44"/>
    <w:rsid w:val="0084270C"/>
    <w:rsid w:val="008C266D"/>
    <w:rsid w:val="008E50E6"/>
    <w:rsid w:val="00915D7B"/>
    <w:rsid w:val="00921237"/>
    <w:rsid w:val="009320AF"/>
    <w:rsid w:val="009329B9"/>
    <w:rsid w:val="0097509A"/>
    <w:rsid w:val="0097766F"/>
    <w:rsid w:val="009C4F9F"/>
    <w:rsid w:val="009D672B"/>
    <w:rsid w:val="00A26449"/>
    <w:rsid w:val="00A626B6"/>
    <w:rsid w:val="00A76187"/>
    <w:rsid w:val="00A87D36"/>
    <w:rsid w:val="00AE3AEF"/>
    <w:rsid w:val="00B37097"/>
    <w:rsid w:val="00B96C56"/>
    <w:rsid w:val="00BA5544"/>
    <w:rsid w:val="00BC37D6"/>
    <w:rsid w:val="00BF3CDD"/>
    <w:rsid w:val="00C331EF"/>
    <w:rsid w:val="00C41F9E"/>
    <w:rsid w:val="00C71A3C"/>
    <w:rsid w:val="00CF1949"/>
    <w:rsid w:val="00CF647A"/>
    <w:rsid w:val="00D0124A"/>
    <w:rsid w:val="00D22B83"/>
    <w:rsid w:val="00D42214"/>
    <w:rsid w:val="00D4286E"/>
    <w:rsid w:val="00DB1528"/>
    <w:rsid w:val="00DF22CC"/>
    <w:rsid w:val="00E03B31"/>
    <w:rsid w:val="00E133A8"/>
    <w:rsid w:val="00E2790E"/>
    <w:rsid w:val="00EA53F4"/>
    <w:rsid w:val="00ED3DB0"/>
    <w:rsid w:val="00ED60DC"/>
    <w:rsid w:val="00F4444E"/>
    <w:rsid w:val="00F46EE0"/>
    <w:rsid w:val="00F65EEA"/>
    <w:rsid w:val="00F76A7D"/>
    <w:rsid w:val="00F8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47A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370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709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7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675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7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675B9"/>
    <w:rPr>
      <w:sz w:val="18"/>
      <w:szCs w:val="18"/>
    </w:rPr>
  </w:style>
  <w:style w:type="paragraph" w:customStyle="1" w:styleId="CharChar">
    <w:name w:val="Char Char"/>
    <w:basedOn w:val="a"/>
    <w:rsid w:val="00F65EE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jass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4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曹琦</dc:creator>
  <cp:keywords/>
  <dc:description/>
  <cp:lastModifiedBy>ZHONGM</cp:lastModifiedBy>
  <cp:revision>2</cp:revision>
  <dcterms:created xsi:type="dcterms:W3CDTF">2025-05-25T16:00:00Z</dcterms:created>
  <dcterms:modified xsi:type="dcterms:W3CDTF">2025-05-25T16:00:00Z</dcterms:modified>
</cp:coreProperties>
</file>