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1950FA" w:rsidRDefault="00893436" w:rsidP="001950FA">
      <w:pPr>
        <w:widowControl/>
        <w:spacing w:line="360" w:lineRule="auto"/>
        <w:jc w:val="center"/>
        <w:rPr>
          <w:rFonts w:ascii="宋体" w:eastAsia="宋体" w:hAnsi="宋体" w:cs="宋体"/>
          <w:b/>
          <w:kern w:val="0"/>
          <w:sz w:val="28"/>
          <w:szCs w:val="28"/>
        </w:rPr>
      </w:pPr>
      <w:r w:rsidRPr="001950FA">
        <w:rPr>
          <w:rFonts w:ascii="宋体" w:eastAsia="宋体" w:hAnsi="宋体" w:cs="宋体" w:hint="eastAsia"/>
          <w:b/>
          <w:kern w:val="0"/>
          <w:sz w:val="28"/>
          <w:szCs w:val="28"/>
        </w:rPr>
        <w:t>国泰上证国有企业红利交易型开放式指数证券投资基金发起式联接基金分红公告</w:t>
      </w:r>
    </w:p>
    <w:p w:rsidR="00893436" w:rsidRPr="001950FA" w:rsidRDefault="00893436" w:rsidP="001950FA">
      <w:pPr>
        <w:spacing w:line="360" w:lineRule="auto"/>
        <w:jc w:val="center"/>
        <w:rPr>
          <w:rFonts w:ascii="宋体" w:eastAsia="宋体" w:hAnsi="宋体"/>
          <w:color w:val="000000"/>
          <w:sz w:val="21"/>
          <w:szCs w:val="21"/>
        </w:rPr>
      </w:pPr>
      <w:r w:rsidRPr="001950FA">
        <w:rPr>
          <w:rFonts w:ascii="宋体" w:eastAsia="宋体" w:hAnsi="宋体"/>
          <w:color w:val="000000"/>
          <w:sz w:val="21"/>
          <w:szCs w:val="21"/>
        </w:rPr>
        <w:t>公告送出日期：</w:t>
      </w:r>
      <w:r w:rsidRPr="001950FA">
        <w:rPr>
          <w:rFonts w:ascii="宋体" w:eastAsia="宋体" w:hAnsi="宋体" w:cs="宋体"/>
          <w:bCs/>
          <w:sz w:val="21"/>
          <w:szCs w:val="21"/>
        </w:rPr>
        <w:t>2025年5月24日</w:t>
      </w:r>
    </w:p>
    <w:p w:rsidR="00893436" w:rsidRPr="001950FA" w:rsidRDefault="00893436" w:rsidP="00B14D73">
      <w:pPr>
        <w:spacing w:line="360" w:lineRule="auto"/>
        <w:jc w:val="center"/>
        <w:rPr>
          <w:rFonts w:ascii="宋体" w:eastAsia="宋体" w:hAnsi="宋体"/>
          <w:color w:val="000000"/>
          <w:sz w:val="21"/>
          <w:szCs w:val="21"/>
        </w:rPr>
      </w:pPr>
    </w:p>
    <w:p w:rsidR="00893436" w:rsidRPr="001950FA" w:rsidRDefault="00893436" w:rsidP="00B14D73">
      <w:pPr>
        <w:pStyle w:val="2"/>
        <w:spacing w:line="360" w:lineRule="auto"/>
        <w:rPr>
          <w:rFonts w:ascii="宋体" w:eastAsia="宋体" w:hAnsi="宋体"/>
          <w:bCs w:val="0"/>
          <w:color w:val="000000"/>
          <w:sz w:val="21"/>
          <w:szCs w:val="21"/>
        </w:rPr>
      </w:pPr>
      <w:bookmarkStart w:id="0" w:name="_Toc275961418"/>
      <w:r w:rsidRPr="001950FA">
        <w:rPr>
          <w:rFonts w:ascii="宋体" w:eastAsia="宋体" w:hAnsi="宋体"/>
          <w:bCs w:val="0"/>
          <w:color w:val="000000"/>
          <w:sz w:val="21"/>
          <w:szCs w:val="21"/>
        </w:rPr>
        <w:t>1 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8"/>
        <w:gridCol w:w="2552"/>
        <w:gridCol w:w="2268"/>
        <w:gridCol w:w="2451"/>
      </w:tblGrid>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国泰上证国有企业红利交易型开放式指数证券投资基金发起式联接基金</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基金简称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国泰上证国有企业红利ETF发起联接</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基金主代码</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021701</w:t>
            </w:r>
          </w:p>
        </w:tc>
      </w:tr>
      <w:tr w:rsidR="0039192C" w:rsidRPr="001950FA" w:rsidTr="00FE7BF2">
        <w:trPr>
          <w:jc w:val="center"/>
        </w:trPr>
        <w:tc>
          <w:tcPr>
            <w:tcW w:w="4920" w:type="dxa"/>
            <w:gridSpan w:val="2"/>
            <w:vAlign w:val="center"/>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基金合同生效日</w:t>
            </w:r>
          </w:p>
        </w:tc>
        <w:tc>
          <w:tcPr>
            <w:tcW w:w="4719" w:type="dxa"/>
            <w:gridSpan w:val="2"/>
            <w:vAlign w:val="center"/>
          </w:tcPr>
          <w:p w:rsidR="0039192C" w:rsidRPr="001950FA" w:rsidRDefault="003E51F2" w:rsidP="00B14D73">
            <w:pPr>
              <w:spacing w:line="360" w:lineRule="auto"/>
              <w:rPr>
                <w:rFonts w:ascii="宋体" w:eastAsia="宋体" w:hAnsi="宋体"/>
                <w:sz w:val="21"/>
                <w:szCs w:val="21"/>
              </w:rPr>
            </w:pPr>
            <w:r w:rsidRPr="001950FA">
              <w:rPr>
                <w:rFonts w:ascii="宋体" w:eastAsia="宋体" w:hAnsi="宋体"/>
                <w:sz w:val="21"/>
                <w:szCs w:val="21"/>
              </w:rPr>
              <w:t>2024年6月19日</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基金管理人名称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国泰基金管理有限公司</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基金托管人名称</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中信建投证券股份有限公司</w:t>
            </w:r>
          </w:p>
        </w:tc>
      </w:tr>
      <w:tr w:rsidR="0039192C" w:rsidRPr="001950FA" w:rsidTr="00FE7BF2">
        <w:trPr>
          <w:jc w:val="center"/>
        </w:trPr>
        <w:tc>
          <w:tcPr>
            <w:tcW w:w="4920" w:type="dxa"/>
            <w:gridSpan w:val="2"/>
          </w:tcPr>
          <w:p w:rsidR="0039192C" w:rsidRPr="001950FA" w:rsidRDefault="0039192C"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公告依据</w:t>
            </w:r>
          </w:p>
        </w:tc>
        <w:tc>
          <w:tcPr>
            <w:tcW w:w="4719" w:type="dxa"/>
            <w:gridSpan w:val="2"/>
            <w:vAlign w:val="center"/>
          </w:tcPr>
          <w:p w:rsidR="0039192C"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《中华人民共和国证券投资基金法》、《公开募集证券投资基金运作管理办法》、《国泰上证国有企业红利交易型开放式指数证券投资基金发起式联接基金基金合同》等</w:t>
            </w:r>
          </w:p>
        </w:tc>
      </w:tr>
      <w:tr w:rsidR="00893436" w:rsidRPr="001950FA" w:rsidTr="00FE7BF2">
        <w:trPr>
          <w:jc w:val="center"/>
        </w:trPr>
        <w:tc>
          <w:tcPr>
            <w:tcW w:w="4920" w:type="dxa"/>
            <w:gridSpan w:val="2"/>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收益分配基准日</w:t>
            </w:r>
          </w:p>
        </w:tc>
        <w:tc>
          <w:tcPr>
            <w:tcW w:w="4719" w:type="dxa"/>
            <w:gridSpan w:val="2"/>
          </w:tcPr>
          <w:p w:rsidR="00893436" w:rsidRPr="001950FA" w:rsidRDefault="0039192C" w:rsidP="00B14D73">
            <w:pPr>
              <w:spacing w:line="360" w:lineRule="auto"/>
              <w:rPr>
                <w:rFonts w:ascii="宋体" w:eastAsia="宋体" w:hAnsi="宋体"/>
                <w:sz w:val="21"/>
                <w:szCs w:val="21"/>
              </w:rPr>
            </w:pPr>
            <w:r w:rsidRPr="001950FA">
              <w:rPr>
                <w:rFonts w:ascii="宋体" w:eastAsia="宋体" w:hAnsi="宋体"/>
                <w:sz w:val="21"/>
                <w:szCs w:val="21"/>
              </w:rPr>
              <w:t>2025年5月21日</w:t>
            </w:r>
          </w:p>
        </w:tc>
      </w:tr>
      <w:tr w:rsidR="00893436" w:rsidRPr="001950FA" w:rsidTr="00FE7BF2">
        <w:trPr>
          <w:jc w:val="center"/>
        </w:trPr>
        <w:tc>
          <w:tcPr>
            <w:tcW w:w="4920" w:type="dxa"/>
            <w:gridSpan w:val="2"/>
            <w:vMerge w:val="restart"/>
            <w:vAlign w:val="center"/>
          </w:tcPr>
          <w:p w:rsidR="00893436" w:rsidRPr="001950FA" w:rsidRDefault="00893436" w:rsidP="00791A52">
            <w:pPr>
              <w:spacing w:line="360" w:lineRule="auto"/>
              <w:rPr>
                <w:rFonts w:ascii="宋体" w:eastAsia="宋体" w:hAnsi="宋体"/>
                <w:color w:val="000000"/>
                <w:sz w:val="21"/>
                <w:szCs w:val="21"/>
              </w:rPr>
            </w:pPr>
            <w:r w:rsidRPr="001950FA">
              <w:rPr>
                <w:rFonts w:ascii="宋体" w:eastAsia="宋体" w:hAnsi="宋体"/>
                <w:color w:val="000000"/>
                <w:sz w:val="21"/>
                <w:szCs w:val="21"/>
              </w:rPr>
              <w:t>有关年度分红次数的说明</w:t>
            </w:r>
          </w:p>
        </w:tc>
        <w:tc>
          <w:tcPr>
            <w:tcW w:w="4719" w:type="dxa"/>
            <w:gridSpan w:val="2"/>
            <w:vAlign w:val="center"/>
          </w:tcPr>
          <w:p w:rsidR="00893436" w:rsidRPr="001950FA" w:rsidRDefault="009732A4" w:rsidP="00B14D73">
            <w:pPr>
              <w:spacing w:line="360" w:lineRule="auto"/>
              <w:rPr>
                <w:rFonts w:ascii="宋体" w:eastAsia="宋体" w:hAnsi="宋体"/>
                <w:sz w:val="21"/>
                <w:szCs w:val="21"/>
              </w:rPr>
            </w:pPr>
            <w:r w:rsidRPr="001950FA">
              <w:rPr>
                <w:rFonts w:ascii="宋体" w:eastAsia="宋体" w:hAnsi="宋体"/>
                <w:sz w:val="21"/>
                <w:szCs w:val="21"/>
              </w:rPr>
              <w:t>本次分红为2025年度第五次分红。</w:t>
            </w:r>
          </w:p>
        </w:tc>
      </w:tr>
      <w:tr w:rsidR="00266A99" w:rsidRPr="001950FA" w:rsidTr="00FE7BF2">
        <w:trPr>
          <w:jc w:val="center"/>
        </w:trPr>
        <w:tc>
          <w:tcPr>
            <w:tcW w:w="4920" w:type="dxa"/>
            <w:gridSpan w:val="2"/>
          </w:tcPr>
          <w:p w:rsidR="00266A99" w:rsidRPr="001950FA" w:rsidRDefault="00266A99"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下属分级基金的基金简称</w:t>
            </w:r>
          </w:p>
        </w:tc>
        <w:tc>
          <w:tcPr>
            <w:tcW w:w="2268" w:type="dxa"/>
          </w:tcPr>
          <w:p w:rsidR="00266A99" w:rsidRPr="001950FA" w:rsidRDefault="00266A99" w:rsidP="00B14D73">
            <w:pPr>
              <w:spacing w:line="360" w:lineRule="auto"/>
              <w:rPr>
                <w:rFonts w:ascii="宋体" w:eastAsia="宋体" w:hAnsi="宋体"/>
                <w:sz w:val="21"/>
                <w:szCs w:val="21"/>
              </w:rPr>
            </w:pPr>
            <w:r w:rsidRPr="001950FA">
              <w:rPr>
                <w:rFonts w:ascii="宋体" w:eastAsia="宋体" w:hAnsi="宋体"/>
                <w:sz w:val="21"/>
                <w:szCs w:val="21"/>
              </w:rPr>
              <w:t>国泰上证国有企业红利ETF发起联接A</w:t>
            </w:r>
          </w:p>
        </w:tc>
        <w:tc>
          <w:tcPr>
            <w:tcW w:w="2451" w:type="dxa"/>
          </w:tcPr>
          <w:p w:rsidR="00266A99" w:rsidRPr="001950FA" w:rsidRDefault="00266A99" w:rsidP="00B14D73">
            <w:pPr>
              <w:spacing w:line="360" w:lineRule="auto"/>
              <w:rPr>
                <w:rFonts w:ascii="宋体" w:eastAsia="宋体" w:hAnsi="宋体"/>
                <w:sz w:val="21"/>
                <w:szCs w:val="21"/>
              </w:rPr>
            </w:pPr>
            <w:r w:rsidRPr="001950FA">
              <w:rPr>
                <w:rFonts w:ascii="宋体" w:eastAsia="宋体" w:hAnsi="宋体"/>
                <w:sz w:val="21"/>
                <w:szCs w:val="21"/>
              </w:rPr>
              <w:t>国泰上证国有企业红利ETF发起联接C</w:t>
            </w:r>
          </w:p>
        </w:tc>
      </w:tr>
      <w:tr w:rsidR="00266A99" w:rsidRPr="001950FA" w:rsidTr="00FE7BF2">
        <w:trPr>
          <w:jc w:val="center"/>
        </w:trPr>
        <w:tc>
          <w:tcPr>
            <w:tcW w:w="4920" w:type="dxa"/>
            <w:gridSpan w:val="2"/>
          </w:tcPr>
          <w:p w:rsidR="00266A99" w:rsidRPr="001950FA" w:rsidRDefault="00266A99"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下属分级基金的交易代码</w:t>
            </w:r>
          </w:p>
        </w:tc>
        <w:tc>
          <w:tcPr>
            <w:tcW w:w="2268" w:type="dxa"/>
          </w:tcPr>
          <w:p w:rsidR="00266A99" w:rsidRPr="001950FA" w:rsidRDefault="00266A99" w:rsidP="00B14D73">
            <w:pPr>
              <w:spacing w:line="360" w:lineRule="auto"/>
              <w:rPr>
                <w:rFonts w:ascii="宋体" w:eastAsia="宋体" w:hAnsi="宋体"/>
                <w:sz w:val="21"/>
                <w:szCs w:val="21"/>
              </w:rPr>
            </w:pPr>
            <w:r w:rsidRPr="001950FA">
              <w:rPr>
                <w:rFonts w:ascii="宋体" w:eastAsia="宋体" w:hAnsi="宋体"/>
                <w:sz w:val="21"/>
                <w:szCs w:val="21"/>
              </w:rPr>
              <w:t>021701</w:t>
            </w:r>
          </w:p>
        </w:tc>
        <w:tc>
          <w:tcPr>
            <w:tcW w:w="2451" w:type="dxa"/>
          </w:tcPr>
          <w:p w:rsidR="00266A99" w:rsidRPr="001950FA" w:rsidRDefault="00266A99" w:rsidP="00B14D73">
            <w:pPr>
              <w:spacing w:line="360" w:lineRule="auto"/>
              <w:rPr>
                <w:rFonts w:ascii="宋体" w:eastAsia="宋体" w:hAnsi="宋体"/>
                <w:sz w:val="21"/>
                <w:szCs w:val="21"/>
              </w:rPr>
            </w:pPr>
            <w:r w:rsidRPr="001950FA">
              <w:rPr>
                <w:rFonts w:ascii="宋体" w:eastAsia="宋体" w:hAnsi="宋体"/>
                <w:sz w:val="21"/>
                <w:szCs w:val="21"/>
              </w:rPr>
              <w:t>021702</w:t>
            </w:r>
          </w:p>
        </w:tc>
      </w:tr>
      <w:tr w:rsidR="00FE7BF2" w:rsidRPr="001950FA" w:rsidTr="00FE7BF2">
        <w:trPr>
          <w:jc w:val="center"/>
        </w:trPr>
        <w:tc>
          <w:tcPr>
            <w:tcW w:w="2368" w:type="dxa"/>
            <w:vMerge w:val="restart"/>
            <w:vAlign w:val="center"/>
          </w:tcPr>
          <w:p w:rsidR="00FE7BF2" w:rsidRPr="001950FA" w:rsidRDefault="00FE7BF2"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截止基准日下属分级基金的相关指标</w:t>
            </w:r>
          </w:p>
        </w:tc>
        <w:tc>
          <w:tcPr>
            <w:tcW w:w="2552" w:type="dxa"/>
          </w:tcPr>
          <w:p w:rsidR="00FE7BF2" w:rsidRPr="001950FA" w:rsidRDefault="00FE7BF2"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基准日下属分级基金份额净值</w:t>
            </w:r>
            <w:r w:rsidRPr="001950FA">
              <w:rPr>
                <w:rFonts w:ascii="宋体" w:eastAsia="宋体" w:hAnsi="宋体" w:hint="eastAsia"/>
                <w:sz w:val="21"/>
                <w:szCs w:val="21"/>
              </w:rPr>
              <w:t>（单位：</w:t>
            </w:r>
            <w:r w:rsidRPr="001950FA">
              <w:rPr>
                <w:rFonts w:ascii="宋体" w:eastAsia="宋体" w:hAnsi="宋体" w:hint="eastAsia"/>
                <w:color w:val="000000"/>
                <w:kern w:val="0"/>
                <w:sz w:val="21"/>
                <w:szCs w:val="21"/>
              </w:rPr>
              <w:t>元</w:t>
            </w:r>
            <w:r w:rsidRPr="001950FA">
              <w:rPr>
                <w:rFonts w:ascii="宋体" w:eastAsia="宋体" w:hAnsi="宋体" w:hint="eastAsia"/>
                <w:sz w:val="21"/>
                <w:szCs w:val="21"/>
              </w:rPr>
              <w:t>）</w:t>
            </w:r>
          </w:p>
        </w:tc>
        <w:tc>
          <w:tcPr>
            <w:tcW w:w="2268" w:type="dxa"/>
          </w:tcPr>
          <w:p w:rsidR="00FE7BF2" w:rsidRPr="001950FA" w:rsidRDefault="00FE7BF2" w:rsidP="00B14D73">
            <w:pPr>
              <w:spacing w:line="360" w:lineRule="auto"/>
              <w:rPr>
                <w:rFonts w:ascii="宋体" w:eastAsia="宋体" w:hAnsi="宋体"/>
                <w:sz w:val="21"/>
                <w:szCs w:val="21"/>
              </w:rPr>
            </w:pPr>
            <w:r w:rsidRPr="001950FA">
              <w:rPr>
                <w:rFonts w:ascii="宋体" w:eastAsia="宋体" w:hAnsi="宋体"/>
                <w:sz w:val="21"/>
                <w:szCs w:val="21"/>
              </w:rPr>
              <w:t>0.9828</w:t>
            </w:r>
          </w:p>
        </w:tc>
        <w:tc>
          <w:tcPr>
            <w:tcW w:w="2451" w:type="dxa"/>
          </w:tcPr>
          <w:p w:rsidR="00FE7BF2" w:rsidRPr="001950FA" w:rsidRDefault="00FE7BF2" w:rsidP="00B14D73">
            <w:pPr>
              <w:spacing w:line="360" w:lineRule="auto"/>
              <w:rPr>
                <w:rFonts w:ascii="宋体" w:eastAsia="宋体" w:hAnsi="宋体"/>
                <w:sz w:val="21"/>
                <w:szCs w:val="21"/>
              </w:rPr>
            </w:pPr>
            <w:r w:rsidRPr="001950FA">
              <w:rPr>
                <w:rFonts w:ascii="宋体" w:eastAsia="宋体" w:hAnsi="宋体"/>
                <w:sz w:val="21"/>
                <w:szCs w:val="21"/>
              </w:rPr>
              <w:t>0.9810</w:t>
            </w:r>
          </w:p>
        </w:tc>
      </w:tr>
      <w:tr w:rsidR="00FE7BF2" w:rsidRPr="001950FA" w:rsidTr="00FE7BF2">
        <w:trPr>
          <w:trHeight w:val="405"/>
          <w:jc w:val="center"/>
        </w:trPr>
        <w:tc>
          <w:tcPr>
            <w:tcW w:w="2368" w:type="dxa"/>
            <w:vMerge/>
          </w:tcPr>
          <w:p w:rsidR="00FE7BF2" w:rsidRPr="001950FA" w:rsidRDefault="00FE7BF2" w:rsidP="00B14D73">
            <w:pPr>
              <w:spacing w:line="360" w:lineRule="auto"/>
              <w:rPr>
                <w:rFonts w:ascii="宋体" w:eastAsia="宋体" w:hAnsi="宋体"/>
                <w:color w:val="000000"/>
                <w:sz w:val="21"/>
                <w:szCs w:val="21"/>
              </w:rPr>
            </w:pPr>
          </w:p>
        </w:tc>
        <w:tc>
          <w:tcPr>
            <w:tcW w:w="2552" w:type="dxa"/>
            <w:vAlign w:val="center"/>
          </w:tcPr>
          <w:p w:rsidR="00FE7BF2" w:rsidRPr="001950FA" w:rsidRDefault="00FE7BF2"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基准日下属分级基金可供分配利润</w:t>
            </w:r>
            <w:r w:rsidRPr="001950FA">
              <w:rPr>
                <w:rFonts w:ascii="宋体" w:eastAsia="宋体" w:hAnsi="宋体" w:hint="eastAsia"/>
                <w:sz w:val="21"/>
                <w:szCs w:val="21"/>
              </w:rPr>
              <w:t>（单位：</w:t>
            </w:r>
            <w:r w:rsidRPr="001950FA">
              <w:rPr>
                <w:rFonts w:ascii="宋体" w:eastAsia="宋体" w:hAnsi="宋体" w:hint="eastAsia"/>
                <w:color w:val="000000"/>
                <w:kern w:val="0"/>
                <w:sz w:val="21"/>
                <w:szCs w:val="21"/>
              </w:rPr>
              <w:t>元</w:t>
            </w:r>
            <w:r w:rsidRPr="001950FA">
              <w:rPr>
                <w:rFonts w:ascii="宋体" w:eastAsia="宋体" w:hAnsi="宋体" w:hint="eastAsia"/>
                <w:sz w:val="21"/>
                <w:szCs w:val="21"/>
              </w:rPr>
              <w:t>）</w:t>
            </w:r>
          </w:p>
        </w:tc>
        <w:tc>
          <w:tcPr>
            <w:tcW w:w="2268" w:type="dxa"/>
          </w:tcPr>
          <w:p w:rsidR="00FE7BF2" w:rsidRPr="001950FA" w:rsidRDefault="00FE7BF2" w:rsidP="00B14D73">
            <w:pPr>
              <w:spacing w:line="360" w:lineRule="auto"/>
              <w:rPr>
                <w:rFonts w:ascii="宋体" w:eastAsia="宋体" w:hAnsi="宋体"/>
                <w:sz w:val="21"/>
                <w:szCs w:val="21"/>
              </w:rPr>
            </w:pPr>
            <w:r w:rsidRPr="001950FA">
              <w:rPr>
                <w:rFonts w:ascii="宋体" w:eastAsia="宋体" w:hAnsi="宋体"/>
                <w:sz w:val="21"/>
                <w:szCs w:val="21"/>
              </w:rPr>
              <w:t>-</w:t>
            </w:r>
          </w:p>
        </w:tc>
        <w:tc>
          <w:tcPr>
            <w:tcW w:w="2451" w:type="dxa"/>
          </w:tcPr>
          <w:p w:rsidR="00FE7BF2" w:rsidRPr="001950FA" w:rsidRDefault="00FE7BF2" w:rsidP="00B14D73">
            <w:pPr>
              <w:spacing w:line="360" w:lineRule="auto"/>
              <w:rPr>
                <w:rFonts w:ascii="宋体" w:eastAsia="宋体" w:hAnsi="宋体"/>
                <w:sz w:val="21"/>
                <w:szCs w:val="21"/>
              </w:rPr>
            </w:pPr>
            <w:r w:rsidRPr="001950FA">
              <w:rPr>
                <w:rFonts w:ascii="宋体" w:eastAsia="宋体" w:hAnsi="宋体"/>
                <w:sz w:val="21"/>
                <w:szCs w:val="21"/>
              </w:rPr>
              <w:t>-</w:t>
            </w:r>
          </w:p>
        </w:tc>
      </w:tr>
      <w:tr w:rsidR="00FE7BF2" w:rsidRPr="001950FA" w:rsidTr="00FE7BF2">
        <w:trPr>
          <w:jc w:val="center"/>
        </w:trPr>
        <w:tc>
          <w:tcPr>
            <w:tcW w:w="4920" w:type="dxa"/>
            <w:gridSpan w:val="2"/>
          </w:tcPr>
          <w:p w:rsidR="00FE7BF2" w:rsidRPr="001950FA" w:rsidRDefault="00FE7BF2" w:rsidP="0061143B">
            <w:pPr>
              <w:spacing w:line="360" w:lineRule="auto"/>
              <w:rPr>
                <w:rFonts w:ascii="宋体" w:eastAsia="宋体" w:hAnsi="宋体"/>
                <w:color w:val="000000"/>
                <w:sz w:val="21"/>
                <w:szCs w:val="21"/>
              </w:rPr>
            </w:pPr>
            <w:r w:rsidRPr="001950FA">
              <w:rPr>
                <w:rFonts w:ascii="宋体" w:eastAsia="宋体" w:hAnsi="宋体"/>
                <w:color w:val="000000"/>
                <w:sz w:val="21"/>
                <w:szCs w:val="21"/>
              </w:rPr>
              <w:t>本次下属分级基金分红方案（单位：元/10份基金份额）</w:t>
            </w:r>
          </w:p>
        </w:tc>
        <w:tc>
          <w:tcPr>
            <w:tcW w:w="2268" w:type="dxa"/>
          </w:tcPr>
          <w:p w:rsidR="00FE7BF2" w:rsidRPr="001950FA" w:rsidRDefault="00FE7BF2" w:rsidP="0061143B">
            <w:pPr>
              <w:spacing w:line="360" w:lineRule="auto"/>
              <w:rPr>
                <w:rFonts w:ascii="宋体" w:eastAsia="宋体" w:hAnsi="宋体"/>
                <w:sz w:val="21"/>
                <w:szCs w:val="21"/>
              </w:rPr>
            </w:pPr>
            <w:r w:rsidRPr="001950FA">
              <w:rPr>
                <w:rFonts w:ascii="宋体" w:eastAsia="宋体" w:hAnsi="宋体" w:hint="eastAsia"/>
                <w:sz w:val="21"/>
                <w:szCs w:val="21"/>
              </w:rPr>
              <w:t>0.020</w:t>
            </w:r>
          </w:p>
        </w:tc>
        <w:tc>
          <w:tcPr>
            <w:tcW w:w="2451" w:type="dxa"/>
          </w:tcPr>
          <w:p w:rsidR="00FE7BF2" w:rsidRPr="001950FA" w:rsidRDefault="00FE7BF2" w:rsidP="0061143B">
            <w:pPr>
              <w:spacing w:line="360" w:lineRule="auto"/>
              <w:rPr>
                <w:rFonts w:ascii="宋体" w:eastAsia="宋体" w:hAnsi="宋体"/>
                <w:sz w:val="21"/>
                <w:szCs w:val="21"/>
              </w:rPr>
            </w:pPr>
            <w:r w:rsidRPr="001950FA">
              <w:rPr>
                <w:rFonts w:ascii="宋体" w:eastAsia="宋体" w:hAnsi="宋体" w:hint="eastAsia"/>
                <w:sz w:val="21"/>
                <w:szCs w:val="21"/>
              </w:rPr>
              <w:t>0.020</w:t>
            </w:r>
          </w:p>
        </w:tc>
      </w:tr>
    </w:tbl>
    <w:p w:rsidR="00FE7BF2" w:rsidRPr="001950FA" w:rsidRDefault="00FE7BF2" w:rsidP="00B14D73">
      <w:pPr>
        <w:spacing w:line="360" w:lineRule="auto"/>
        <w:rPr>
          <w:rFonts w:ascii="宋体" w:eastAsia="宋体" w:hAnsi="宋体"/>
          <w:sz w:val="21"/>
          <w:szCs w:val="21"/>
        </w:rPr>
      </w:pPr>
    </w:p>
    <w:p w:rsidR="00CA4775" w:rsidRDefault="00617B4A">
      <w:pPr>
        <w:spacing w:line="360" w:lineRule="auto"/>
        <w:rPr>
          <w:rFonts w:ascii="宋体" w:eastAsia="宋体" w:hAnsi="宋体"/>
          <w:sz w:val="21"/>
          <w:szCs w:val="21"/>
        </w:rPr>
      </w:pPr>
      <w:r>
        <w:rPr>
          <w:rFonts w:ascii="宋体" w:eastAsia="宋体" w:hAnsi="宋体"/>
          <w:sz w:val="21"/>
          <w:szCs w:val="21"/>
        </w:rPr>
        <w:t>注：（1）本基金在基金收益评价日对基金相对业绩比较基准的超额收益率以及基金的可供分配利润进行评价，收益评价日核定的基金份额净值增长率超过业绩比较基准同期增长率或者基金可供分配利润金额大于零时，基金管理人可进行收益分配；</w:t>
      </w:r>
    </w:p>
    <w:p w:rsidR="00893436" w:rsidRPr="001950FA" w:rsidRDefault="00F45E48" w:rsidP="00B14D73">
      <w:pPr>
        <w:spacing w:line="360" w:lineRule="auto"/>
        <w:rPr>
          <w:rFonts w:ascii="宋体" w:eastAsia="宋体" w:hAnsi="宋体"/>
          <w:sz w:val="21"/>
          <w:szCs w:val="21"/>
        </w:rPr>
      </w:pPr>
      <w:r w:rsidRPr="001950FA">
        <w:rPr>
          <w:rFonts w:ascii="宋体" w:eastAsia="宋体" w:hAnsi="宋体"/>
          <w:sz w:val="21"/>
          <w:szCs w:val="21"/>
        </w:rPr>
        <w:t>（2）当基金收益分配根据基金相对业绩比较基准的超额收益率决定时，基于本基金的特点，本基金收益分配无需以弥补亏损为前提，收益分配后各类基金份额净值有可能低于面值。</w:t>
      </w:r>
    </w:p>
    <w:p w:rsidR="00893436" w:rsidRPr="001950FA" w:rsidRDefault="00893436" w:rsidP="00B14D73">
      <w:pPr>
        <w:pStyle w:val="2"/>
        <w:spacing w:line="360" w:lineRule="auto"/>
        <w:rPr>
          <w:rFonts w:ascii="宋体" w:eastAsia="宋体" w:hAnsi="宋体"/>
          <w:bCs w:val="0"/>
          <w:color w:val="000000"/>
          <w:sz w:val="21"/>
          <w:szCs w:val="21"/>
        </w:rPr>
      </w:pPr>
      <w:bookmarkStart w:id="1" w:name="_Toc275961419"/>
      <w:r w:rsidRPr="001950FA">
        <w:rPr>
          <w:rFonts w:ascii="宋体" w:eastAsia="宋体" w:hAnsi="宋体"/>
          <w:bCs w:val="0"/>
          <w:color w:val="000000"/>
          <w:sz w:val="21"/>
          <w:szCs w:val="21"/>
        </w:rPr>
        <w:t>2 与分红相关的其他信息</w:t>
      </w:r>
      <w:bookmarkEnd w:id="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4"/>
        <w:gridCol w:w="1"/>
        <w:gridCol w:w="6404"/>
      </w:tblGrid>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权益登记日</w:t>
            </w:r>
          </w:p>
        </w:tc>
        <w:tc>
          <w:tcPr>
            <w:tcW w:w="4355" w:type="dxa"/>
            <w:gridSpan w:val="2"/>
          </w:tcPr>
          <w:p w:rsidR="00893436" w:rsidRPr="001950FA" w:rsidRDefault="00362297" w:rsidP="00B14D73">
            <w:pPr>
              <w:spacing w:line="360" w:lineRule="auto"/>
              <w:rPr>
                <w:rFonts w:ascii="宋体" w:eastAsia="宋体" w:hAnsi="宋体"/>
                <w:sz w:val="21"/>
                <w:szCs w:val="21"/>
              </w:rPr>
            </w:pPr>
            <w:r w:rsidRPr="001950FA">
              <w:rPr>
                <w:rFonts w:ascii="宋体" w:eastAsia="宋体" w:hAnsi="宋体"/>
                <w:sz w:val="21"/>
                <w:szCs w:val="21"/>
              </w:rPr>
              <w:t>2025年5月27日</w:t>
            </w:r>
          </w:p>
        </w:tc>
      </w:tr>
      <w:tr w:rsidR="0099338F" w:rsidRPr="001950FA" w:rsidTr="0083403A">
        <w:trPr>
          <w:jc w:val="center"/>
        </w:trPr>
        <w:tc>
          <w:tcPr>
            <w:tcW w:w="4355" w:type="dxa"/>
          </w:tcPr>
          <w:p w:rsidR="0099338F" w:rsidRPr="001950FA" w:rsidRDefault="0099338F"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除息日</w:t>
            </w:r>
          </w:p>
        </w:tc>
        <w:tc>
          <w:tcPr>
            <w:tcW w:w="8710" w:type="dxa"/>
            <w:hMerge w:val="restart"/>
          </w:tcPr>
          <w:p w:rsidR="0099338F" w:rsidRPr="001950FA" w:rsidRDefault="0099338F" w:rsidP="00791A52">
            <w:pPr>
              <w:spacing w:line="360" w:lineRule="auto"/>
              <w:rPr>
                <w:rFonts w:ascii="宋体" w:eastAsia="宋体" w:hAnsi="宋体"/>
                <w:sz w:val="21"/>
                <w:szCs w:val="21"/>
              </w:rPr>
            </w:pPr>
            <w:r w:rsidRPr="001950FA">
              <w:rPr>
                <w:rFonts w:ascii="宋体" w:eastAsia="宋体" w:hAnsi="宋体"/>
                <w:sz w:val="21"/>
                <w:szCs w:val="21"/>
              </w:rPr>
              <w:t>2025年5月27日</w:t>
            </w:r>
            <w:bookmarkStart w:id="2" w:name="_GoBack"/>
            <w:bookmarkEnd w:id="2"/>
          </w:p>
        </w:tc>
        <w:tc>
          <w:tcPr>
            <w:tcW w:w="4355" w:type="dxa"/>
            <w:hMerge/>
          </w:tcPr>
          <w:p w:rsidR="0099338F" w:rsidRPr="001950FA" w:rsidRDefault="0099338F" w:rsidP="006D2BF1">
            <w:pPr>
              <w:spacing w:line="360" w:lineRule="auto"/>
              <w:rPr>
                <w:rFonts w:ascii="宋体" w:eastAsia="宋体" w:hAnsi="宋体"/>
                <w:sz w:val="21"/>
                <w:szCs w:val="21"/>
              </w:rPr>
            </w:pPr>
            <w:r w:rsidRPr="001950FA">
              <w:rPr>
                <w:rFonts w:ascii="宋体" w:eastAsia="宋体" w:hAnsi="宋体"/>
                <w:sz w:val="21"/>
                <w:szCs w:val="21"/>
              </w:rPr>
              <w:t>2025年5月27日（场外）</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现金红利发放日</w:t>
            </w:r>
          </w:p>
        </w:tc>
        <w:tc>
          <w:tcPr>
            <w:tcW w:w="4355" w:type="dxa"/>
            <w:gridSpan w:val="2"/>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2025年5月28日</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分红对象</w:t>
            </w:r>
          </w:p>
        </w:tc>
        <w:tc>
          <w:tcPr>
            <w:tcW w:w="4355" w:type="dxa"/>
            <w:gridSpan w:val="2"/>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权益登记日在注册登记机构登记在册的本基金全体基金份额持有人</w:t>
            </w:r>
          </w:p>
        </w:tc>
      </w:tr>
      <w:tr w:rsidR="00893436" w:rsidRPr="001950FA" w:rsidTr="0083403A">
        <w:trPr>
          <w:jc w:val="center"/>
        </w:trPr>
        <w:tc>
          <w:tcPr>
            <w:tcW w:w="4355" w:type="dxa"/>
            <w:shd w:val="clear" w:color="auto" w:fill="auto"/>
            <w:vAlign w:val="center"/>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红利再投资相关事项的说明</w:t>
            </w:r>
          </w:p>
        </w:tc>
        <w:tc>
          <w:tcPr>
            <w:tcW w:w="4355" w:type="dxa"/>
            <w:gridSpan w:val="2"/>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选择红利再投资方式的投资者，其红利将按照2025年5月27日除息后的基金份额净值为计算基准确定再投资份额。本基金管理人对红利再投资所确定的基金份额于2025年5月28日直接计入其基金账户，2025年5月29日起投资者可以查询、赎回。</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税收相关事项的说明</w:t>
            </w:r>
          </w:p>
        </w:tc>
        <w:tc>
          <w:tcPr>
            <w:tcW w:w="4355" w:type="dxa"/>
            <w:gridSpan w:val="2"/>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根据财政部、国家税务总局的财税字【2002】128号《关于开放式证券投资基金有关税收问题的通知》，投资者(包括个人和机构投资者)从基金利润分配中取得的收入，暂不征收个人所得税和企业所得税。</w:t>
            </w:r>
          </w:p>
        </w:tc>
      </w:tr>
      <w:tr w:rsidR="00893436" w:rsidRPr="001950FA" w:rsidTr="0083403A">
        <w:trPr>
          <w:jc w:val="center"/>
        </w:trPr>
        <w:tc>
          <w:tcPr>
            <w:tcW w:w="4355" w:type="dxa"/>
          </w:tcPr>
          <w:p w:rsidR="00893436" w:rsidRPr="001950FA" w:rsidRDefault="00893436" w:rsidP="00B14D73">
            <w:pPr>
              <w:spacing w:line="360" w:lineRule="auto"/>
              <w:rPr>
                <w:rFonts w:ascii="宋体" w:eastAsia="宋体" w:hAnsi="宋体"/>
                <w:color w:val="000000"/>
                <w:sz w:val="21"/>
                <w:szCs w:val="21"/>
              </w:rPr>
            </w:pPr>
            <w:r w:rsidRPr="001950FA">
              <w:rPr>
                <w:rFonts w:ascii="宋体" w:eastAsia="宋体" w:hAnsi="宋体"/>
                <w:color w:val="000000"/>
                <w:sz w:val="21"/>
                <w:szCs w:val="21"/>
              </w:rPr>
              <w:t>费用相关事项的说明</w:t>
            </w:r>
          </w:p>
        </w:tc>
        <w:tc>
          <w:tcPr>
            <w:tcW w:w="4355" w:type="dxa"/>
            <w:gridSpan w:val="2"/>
            <w:shd w:val="clear" w:color="auto" w:fill="auto"/>
          </w:tcPr>
          <w:p w:rsidR="00893436" w:rsidRPr="001950FA" w:rsidRDefault="00BA7F58" w:rsidP="00B14D73">
            <w:pPr>
              <w:spacing w:line="360" w:lineRule="auto"/>
              <w:rPr>
                <w:rFonts w:ascii="宋体" w:eastAsia="宋体" w:hAnsi="宋体"/>
                <w:sz w:val="21"/>
                <w:szCs w:val="21"/>
              </w:rPr>
            </w:pPr>
            <w:r w:rsidRPr="001950FA">
              <w:rPr>
                <w:rFonts w:ascii="宋体" w:eastAsia="宋体" w:hAnsi="宋体"/>
                <w:sz w:val="21"/>
                <w:szCs w:val="21"/>
              </w:rPr>
              <w:t>本基金本次分红免收分红手续费。</w:t>
            </w:r>
          </w:p>
        </w:tc>
      </w:tr>
    </w:tbl>
    <w:p w:rsidR="00893436" w:rsidRPr="001950FA" w:rsidRDefault="00893436" w:rsidP="00B14D73">
      <w:pPr>
        <w:pStyle w:val="2"/>
        <w:spacing w:line="360" w:lineRule="auto"/>
        <w:rPr>
          <w:rFonts w:ascii="宋体" w:eastAsia="宋体" w:hAnsi="宋体"/>
          <w:bCs w:val="0"/>
          <w:color w:val="000000"/>
          <w:sz w:val="21"/>
          <w:szCs w:val="21"/>
        </w:rPr>
      </w:pPr>
      <w:bookmarkStart w:id="3" w:name="_Toc275961420"/>
      <w:r w:rsidRPr="001950FA">
        <w:rPr>
          <w:rFonts w:ascii="宋体" w:eastAsia="宋体" w:hAnsi="宋体"/>
          <w:bCs w:val="0"/>
          <w:color w:val="000000"/>
          <w:sz w:val="21"/>
          <w:szCs w:val="21"/>
        </w:rPr>
        <w:t>3 其他需要提示的事项</w:t>
      </w:r>
      <w:bookmarkEnd w:id="3"/>
    </w:p>
    <w:p w:rsidR="00CA4775" w:rsidRDefault="00617B4A">
      <w:pPr>
        <w:spacing w:line="360" w:lineRule="auto"/>
        <w:ind w:firstLineChars="200" w:firstLine="420"/>
        <w:rPr>
          <w:rFonts w:ascii="宋体" w:eastAsia="宋体" w:hAnsi="宋体"/>
          <w:sz w:val="21"/>
          <w:szCs w:val="21"/>
        </w:rPr>
      </w:pPr>
      <w:r>
        <w:rPr>
          <w:rFonts w:ascii="宋体" w:eastAsia="宋体" w:hAnsi="宋体"/>
          <w:sz w:val="21"/>
          <w:szCs w:val="21"/>
        </w:rPr>
        <w:t>（1）提示</w:t>
      </w:r>
    </w:p>
    <w:p w:rsidR="00CA4775" w:rsidRDefault="00617B4A">
      <w:pPr>
        <w:spacing w:line="360" w:lineRule="auto"/>
        <w:ind w:firstLineChars="200" w:firstLine="420"/>
        <w:rPr>
          <w:rFonts w:ascii="宋体" w:eastAsia="宋体" w:hAnsi="宋体"/>
          <w:sz w:val="21"/>
          <w:szCs w:val="21"/>
        </w:rPr>
      </w:pPr>
      <w:r>
        <w:rPr>
          <w:rFonts w:ascii="宋体" w:eastAsia="宋体" w:hAnsi="宋体"/>
          <w:sz w:val="21"/>
          <w:szCs w:val="21"/>
        </w:rPr>
        <w:t>权益登记日以后（含权益登记日）申请申购或转入的基金份额不享有本次分红权益，权益登记日以后（含权益登记日）申请赎回或转出的基金份额享有本次分红权益。</w:t>
      </w:r>
    </w:p>
    <w:p w:rsidR="00CA4775" w:rsidRDefault="00617B4A">
      <w:pPr>
        <w:spacing w:line="360" w:lineRule="auto"/>
        <w:ind w:firstLineChars="200" w:firstLine="420"/>
        <w:rPr>
          <w:rFonts w:ascii="宋体" w:eastAsia="宋体" w:hAnsi="宋体"/>
          <w:sz w:val="21"/>
          <w:szCs w:val="21"/>
        </w:rPr>
      </w:pPr>
      <w:r>
        <w:rPr>
          <w:rFonts w:ascii="宋体" w:eastAsia="宋体" w:hAnsi="宋体"/>
          <w:sz w:val="21"/>
          <w:szCs w:val="21"/>
        </w:rPr>
        <w:t>（2）咨询办法</w:t>
      </w:r>
    </w:p>
    <w:p w:rsidR="00CA4775" w:rsidRDefault="00617B4A">
      <w:pPr>
        <w:spacing w:line="360" w:lineRule="auto"/>
        <w:ind w:firstLineChars="200" w:firstLine="420"/>
        <w:rPr>
          <w:rFonts w:ascii="宋体" w:eastAsia="宋体" w:hAnsi="宋体"/>
          <w:sz w:val="21"/>
          <w:szCs w:val="21"/>
        </w:rPr>
      </w:pPr>
      <w:r>
        <w:rPr>
          <w:rFonts w:ascii="宋体" w:eastAsia="宋体" w:hAnsi="宋体"/>
          <w:sz w:val="21"/>
          <w:szCs w:val="21"/>
        </w:rPr>
        <w:t>1）国泰基金管理有限公司网站：www.gtfund.com；</w:t>
      </w:r>
    </w:p>
    <w:p w:rsidR="00CA4775" w:rsidRDefault="00617B4A">
      <w:pPr>
        <w:spacing w:line="360" w:lineRule="auto"/>
        <w:ind w:firstLineChars="200" w:firstLine="420"/>
        <w:rPr>
          <w:rFonts w:ascii="宋体" w:eastAsia="宋体" w:hAnsi="宋体"/>
          <w:sz w:val="21"/>
          <w:szCs w:val="21"/>
        </w:rPr>
      </w:pPr>
      <w:r>
        <w:rPr>
          <w:rFonts w:ascii="宋体" w:eastAsia="宋体" w:hAnsi="宋体"/>
          <w:sz w:val="21"/>
          <w:szCs w:val="21"/>
        </w:rPr>
        <w:t>2）国泰基金管理有限公司客户服务热线：400-888-8688（免长途话费）、021-31089000；</w:t>
      </w:r>
    </w:p>
    <w:p w:rsidR="00364C2A" w:rsidRDefault="00284B1B" w:rsidP="0083403A">
      <w:pPr>
        <w:spacing w:line="360" w:lineRule="auto"/>
        <w:ind w:firstLineChars="200" w:firstLine="420"/>
        <w:rPr>
          <w:rFonts w:ascii="宋体" w:eastAsia="宋体" w:hAnsi="宋体"/>
          <w:sz w:val="21"/>
          <w:szCs w:val="21"/>
        </w:rPr>
      </w:pPr>
      <w:r w:rsidRPr="001950FA">
        <w:rPr>
          <w:rFonts w:ascii="宋体" w:eastAsia="宋体" w:hAnsi="宋体"/>
          <w:sz w:val="21"/>
          <w:szCs w:val="21"/>
        </w:rPr>
        <w:t>3）国泰基金管理有限公司直销网点及本基金各销售机构的相关网点。</w:t>
      </w:r>
    </w:p>
    <w:p w:rsidR="00157206" w:rsidRDefault="00157206" w:rsidP="0083403A">
      <w:pPr>
        <w:spacing w:line="360" w:lineRule="auto"/>
        <w:ind w:firstLineChars="200" w:firstLine="420"/>
        <w:rPr>
          <w:rFonts w:ascii="宋体" w:eastAsia="宋体" w:hAnsi="宋体"/>
          <w:sz w:val="21"/>
          <w:szCs w:val="21"/>
        </w:rPr>
      </w:pPr>
    </w:p>
    <w:p w:rsidR="00157206" w:rsidRDefault="00157206" w:rsidP="0083403A">
      <w:pPr>
        <w:spacing w:line="360" w:lineRule="auto"/>
        <w:ind w:firstLineChars="200" w:firstLine="420"/>
        <w:rPr>
          <w:rFonts w:ascii="宋体" w:eastAsia="宋体" w:hAnsi="宋体"/>
          <w:sz w:val="21"/>
          <w:szCs w:val="21"/>
        </w:rPr>
      </w:pPr>
    </w:p>
    <w:p w:rsidR="00157206" w:rsidRDefault="00157206" w:rsidP="0083403A">
      <w:pPr>
        <w:spacing w:line="360" w:lineRule="auto"/>
        <w:ind w:firstLineChars="200" w:firstLine="420"/>
        <w:rPr>
          <w:rFonts w:ascii="宋体" w:eastAsia="宋体" w:hAnsi="宋体"/>
          <w:sz w:val="21"/>
          <w:szCs w:val="21"/>
        </w:rPr>
      </w:pPr>
    </w:p>
    <w:p w:rsidR="00784965" w:rsidRDefault="00784965" w:rsidP="0083403A">
      <w:pPr>
        <w:spacing w:line="360" w:lineRule="auto"/>
        <w:ind w:firstLineChars="200" w:firstLine="420"/>
        <w:rPr>
          <w:rFonts w:ascii="宋体" w:eastAsia="宋体" w:hAnsi="宋体"/>
          <w:sz w:val="21"/>
          <w:szCs w:val="21"/>
        </w:rPr>
      </w:pPr>
    </w:p>
    <w:p w:rsidR="00157206" w:rsidRPr="007F5690" w:rsidRDefault="00157206" w:rsidP="00157206">
      <w:pPr>
        <w:spacing w:line="360" w:lineRule="auto"/>
        <w:jc w:val="right"/>
        <w:rPr>
          <w:rFonts w:ascii="宋体" w:eastAsia="宋体" w:hAnsi="宋体"/>
          <w:color w:val="000000"/>
          <w:sz w:val="21"/>
          <w:szCs w:val="21"/>
        </w:rPr>
      </w:pPr>
      <w:r w:rsidRPr="007F5690">
        <w:rPr>
          <w:rFonts w:ascii="宋体" w:eastAsia="宋体" w:hAnsi="宋体"/>
          <w:color w:val="000000"/>
          <w:sz w:val="21"/>
          <w:szCs w:val="21"/>
        </w:rPr>
        <w:t>国泰基金管理有限公司</w:t>
      </w:r>
    </w:p>
    <w:p w:rsidR="00157206" w:rsidRPr="007F5690" w:rsidRDefault="00157206" w:rsidP="00157206">
      <w:pPr>
        <w:spacing w:line="360" w:lineRule="auto"/>
        <w:jc w:val="right"/>
        <w:rPr>
          <w:rFonts w:ascii="宋体" w:eastAsia="宋体" w:hAnsi="宋体"/>
          <w:color w:val="000000"/>
          <w:sz w:val="21"/>
          <w:szCs w:val="21"/>
        </w:rPr>
      </w:pPr>
      <w:r w:rsidRPr="007F5690">
        <w:rPr>
          <w:rFonts w:ascii="宋体" w:eastAsia="宋体" w:hAnsi="宋体"/>
          <w:color w:val="000000"/>
          <w:sz w:val="21"/>
          <w:szCs w:val="21"/>
        </w:rPr>
        <w:t>二〇二五年五月二十四日</w:t>
      </w:r>
    </w:p>
    <w:sectPr w:rsidR="00157206" w:rsidRPr="007F5690"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B4A" w:rsidRDefault="00617B4A" w:rsidP="00893436">
      <w:r>
        <w:separator/>
      </w:r>
    </w:p>
  </w:endnote>
  <w:endnote w:type="continuationSeparator" w:id="0">
    <w:p w:rsidR="00617B4A" w:rsidRDefault="00617B4A"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B4A" w:rsidRDefault="00617B4A" w:rsidP="00893436">
      <w:r>
        <w:separator/>
      </w:r>
    </w:p>
  </w:footnote>
  <w:footnote w:type="continuationSeparator" w:id="0">
    <w:p w:rsidR="00617B4A" w:rsidRDefault="00617B4A"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41353"/>
    <w:rsid w:val="00053698"/>
    <w:rsid w:val="00057AC1"/>
    <w:rsid w:val="00085F5C"/>
    <w:rsid w:val="0009778C"/>
    <w:rsid w:val="000A19B2"/>
    <w:rsid w:val="000C39F6"/>
    <w:rsid w:val="000E2D66"/>
    <w:rsid w:val="00111BD0"/>
    <w:rsid w:val="00135CA1"/>
    <w:rsid w:val="00157206"/>
    <w:rsid w:val="0016074B"/>
    <w:rsid w:val="0017077E"/>
    <w:rsid w:val="001950FA"/>
    <w:rsid w:val="00226206"/>
    <w:rsid w:val="00242E4D"/>
    <w:rsid w:val="00266A99"/>
    <w:rsid w:val="00284B1B"/>
    <w:rsid w:val="002A63B7"/>
    <w:rsid w:val="002B6A76"/>
    <w:rsid w:val="003160F8"/>
    <w:rsid w:val="0032061C"/>
    <w:rsid w:val="00323007"/>
    <w:rsid w:val="003340A3"/>
    <w:rsid w:val="00362297"/>
    <w:rsid w:val="0039192C"/>
    <w:rsid w:val="003E51F2"/>
    <w:rsid w:val="00410642"/>
    <w:rsid w:val="00413675"/>
    <w:rsid w:val="0046617D"/>
    <w:rsid w:val="0046784D"/>
    <w:rsid w:val="00486934"/>
    <w:rsid w:val="004966BA"/>
    <w:rsid w:val="0050279B"/>
    <w:rsid w:val="00506E3A"/>
    <w:rsid w:val="005715B6"/>
    <w:rsid w:val="005C74A7"/>
    <w:rsid w:val="00602C3F"/>
    <w:rsid w:val="00617B4A"/>
    <w:rsid w:val="006602FD"/>
    <w:rsid w:val="006649D0"/>
    <w:rsid w:val="00687863"/>
    <w:rsid w:val="006A2E06"/>
    <w:rsid w:val="00721B55"/>
    <w:rsid w:val="00784965"/>
    <w:rsid w:val="00791A52"/>
    <w:rsid w:val="007C7B20"/>
    <w:rsid w:val="007D292D"/>
    <w:rsid w:val="0083403A"/>
    <w:rsid w:val="008656F5"/>
    <w:rsid w:val="00880E4A"/>
    <w:rsid w:val="00893436"/>
    <w:rsid w:val="008B4234"/>
    <w:rsid w:val="008D1F66"/>
    <w:rsid w:val="009302F7"/>
    <w:rsid w:val="009732A4"/>
    <w:rsid w:val="0099338F"/>
    <w:rsid w:val="009B4BCB"/>
    <w:rsid w:val="00A628C4"/>
    <w:rsid w:val="00A81C93"/>
    <w:rsid w:val="00A83087"/>
    <w:rsid w:val="00A92D2B"/>
    <w:rsid w:val="00AB6D44"/>
    <w:rsid w:val="00B11F02"/>
    <w:rsid w:val="00B14D73"/>
    <w:rsid w:val="00B44BBE"/>
    <w:rsid w:val="00B77B08"/>
    <w:rsid w:val="00BA2102"/>
    <w:rsid w:val="00BA7F58"/>
    <w:rsid w:val="00BD7533"/>
    <w:rsid w:val="00BF5698"/>
    <w:rsid w:val="00C33DDD"/>
    <w:rsid w:val="00C3473F"/>
    <w:rsid w:val="00C82C9D"/>
    <w:rsid w:val="00CA4775"/>
    <w:rsid w:val="00CB3D18"/>
    <w:rsid w:val="00CC333F"/>
    <w:rsid w:val="00CC53FB"/>
    <w:rsid w:val="00CF600F"/>
    <w:rsid w:val="00D20292"/>
    <w:rsid w:val="00D64565"/>
    <w:rsid w:val="00DA77C4"/>
    <w:rsid w:val="00DB6924"/>
    <w:rsid w:val="00E24390"/>
    <w:rsid w:val="00E379B4"/>
    <w:rsid w:val="00E8116A"/>
    <w:rsid w:val="00EA4820"/>
    <w:rsid w:val="00F0033B"/>
    <w:rsid w:val="00F055D7"/>
    <w:rsid w:val="00F4212E"/>
    <w:rsid w:val="00F45E48"/>
    <w:rsid w:val="00FC4488"/>
    <w:rsid w:val="00FE7BF2"/>
    <w:rsid w:val="00FF0B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436"/>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253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201</Words>
  <Characters>1148</Characters>
  <Application>Microsoft Office Word</Application>
  <DocSecurity>4</DocSecurity>
  <Lines>9</Lines>
  <Paragraphs>2</Paragraphs>
  <ScaleCrop>false</ScaleCrop>
  <Company>微软中国</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2025-05-23T16:00:00Z</dcterms:created>
  <dcterms:modified xsi:type="dcterms:W3CDTF">2025-05-23T16:00:00Z</dcterms:modified>
</cp:coreProperties>
</file>