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06" w:rsidRDefault="00EC2A93">
      <w:pPr>
        <w:jc w:val="center"/>
        <w:rPr>
          <w:rFonts w:eastAsiaTheme="minorEastAsia"/>
          <w:b/>
          <w:sz w:val="30"/>
          <w:szCs w:val="30"/>
        </w:rPr>
      </w:pPr>
      <w:bookmarkStart w:id="0" w:name="_Hlk197504572"/>
      <w:r>
        <w:rPr>
          <w:rFonts w:eastAsiaTheme="minorEastAsia"/>
          <w:b/>
          <w:sz w:val="30"/>
          <w:szCs w:val="30"/>
        </w:rPr>
        <w:t>浙江浙商证券资产管理有限公司</w:t>
      </w:r>
      <w:bookmarkEnd w:id="0"/>
    </w:p>
    <w:p w:rsidR="003F7F06" w:rsidRDefault="00EC2A93">
      <w:pPr>
        <w:jc w:val="center"/>
        <w:rPr>
          <w:rFonts w:eastAsiaTheme="minorEastAsia"/>
          <w:b/>
          <w:sz w:val="30"/>
          <w:szCs w:val="30"/>
        </w:rPr>
      </w:pPr>
      <w:r>
        <w:rPr>
          <w:rFonts w:eastAsiaTheme="minorEastAsia"/>
          <w:b/>
          <w:sz w:val="30"/>
          <w:szCs w:val="30"/>
        </w:rPr>
        <w:t>关于</w:t>
      </w:r>
      <w:r>
        <w:rPr>
          <w:rFonts w:eastAsiaTheme="minorEastAsia" w:hint="eastAsia"/>
          <w:b/>
          <w:sz w:val="30"/>
          <w:szCs w:val="30"/>
        </w:rPr>
        <w:t>浙商汇金新兴消费灵活配置混合型证券投资基金</w:t>
      </w:r>
      <w:r>
        <w:rPr>
          <w:rFonts w:eastAsiaTheme="minorEastAsia"/>
          <w:b/>
          <w:sz w:val="30"/>
          <w:szCs w:val="30"/>
        </w:rPr>
        <w:t>变更业绩比较基准并修订基金合同</w:t>
      </w:r>
      <w:r>
        <w:rPr>
          <w:rFonts w:eastAsiaTheme="minorEastAsia" w:hint="eastAsia"/>
          <w:b/>
          <w:sz w:val="30"/>
          <w:szCs w:val="30"/>
        </w:rPr>
        <w:t>等法律文件</w:t>
      </w:r>
      <w:r>
        <w:rPr>
          <w:rFonts w:eastAsiaTheme="minorEastAsia"/>
          <w:b/>
          <w:sz w:val="30"/>
          <w:szCs w:val="30"/>
        </w:rPr>
        <w:t>的</w:t>
      </w:r>
      <w:r>
        <w:rPr>
          <w:rFonts w:eastAsiaTheme="minorEastAsia" w:hint="eastAsia"/>
          <w:b/>
          <w:sz w:val="30"/>
          <w:szCs w:val="30"/>
        </w:rPr>
        <w:t>公告</w:t>
      </w:r>
    </w:p>
    <w:p w:rsidR="003F7F06" w:rsidRDefault="003F7F06">
      <w:pPr>
        <w:adjustRightInd w:val="0"/>
        <w:snapToGrid w:val="0"/>
        <w:spacing w:line="360" w:lineRule="auto"/>
        <w:ind w:firstLineChars="200" w:firstLine="480"/>
        <w:rPr>
          <w:rFonts w:ascii="宋体" w:hAnsi="宋体" w:cs="宋体"/>
          <w:sz w:val="24"/>
        </w:rPr>
      </w:pPr>
    </w:p>
    <w:p w:rsidR="003F7F06" w:rsidRDefault="00EC2A93">
      <w:pPr>
        <w:adjustRightInd w:val="0"/>
        <w:snapToGrid w:val="0"/>
        <w:spacing w:line="360" w:lineRule="auto"/>
        <w:ind w:firstLineChars="200" w:firstLine="480"/>
        <w:rPr>
          <w:rFonts w:eastAsiaTheme="minorEastAsia"/>
          <w:sz w:val="24"/>
        </w:rPr>
      </w:pPr>
      <w:r>
        <w:rPr>
          <w:rFonts w:ascii="宋体" w:hAnsi="宋体" w:cs="宋体" w:hint="eastAsia"/>
          <w:sz w:val="24"/>
        </w:rPr>
        <w:t>浙江浙商证券资产管理有限公司（以下简称“基金管理人”或“本公司”）管理的浙商汇金新兴消费灵活配置混合型证券投资基金（以下简称“本基金”）由原浙商汇金大消费集合资产管理计划转型而来，浙商汇金大消费集合资产管理计划依据《证券公司客户资产管理业务试行办法》、《证券公司集合资产管理业务实施细则》及其他有关规定募集，并经中国证券监督管理委员会（以下简称“中国证监会”）核准。本基金经中国证券监督管理委员会</w:t>
      </w:r>
      <w:r>
        <w:rPr>
          <w:rFonts w:ascii="宋体" w:hAnsi="宋体" w:cs="宋体" w:hint="eastAsia"/>
          <w:sz w:val="24"/>
        </w:rPr>
        <w:t>2020</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15</w:t>
      </w:r>
      <w:r>
        <w:rPr>
          <w:rFonts w:ascii="宋体" w:hAnsi="宋体" w:cs="宋体" w:hint="eastAsia"/>
          <w:sz w:val="24"/>
        </w:rPr>
        <w:t>日证监许可</w:t>
      </w:r>
      <w:r>
        <w:rPr>
          <w:rFonts w:ascii="宋体" w:hAnsi="宋体" w:cs="宋体" w:hint="eastAsia"/>
          <w:sz w:val="24"/>
        </w:rPr>
        <w:t>[2020]717</w:t>
      </w:r>
      <w:r>
        <w:rPr>
          <w:rFonts w:ascii="宋体" w:hAnsi="宋体" w:cs="宋体" w:hint="eastAsia"/>
          <w:sz w:val="24"/>
        </w:rPr>
        <w:t>号《关于准予浙商汇金大消费集合资产管理计划变更注册的批复》准予变更注册</w:t>
      </w:r>
      <w:r>
        <w:rPr>
          <w:rFonts w:ascii="宋体" w:hAnsi="宋体" w:cs="宋体" w:hint="eastAsia"/>
          <w:sz w:val="24"/>
        </w:rPr>
        <w:t>，自</w:t>
      </w:r>
      <w:r>
        <w:rPr>
          <w:rFonts w:ascii="宋体" w:hAnsi="宋体" w:cs="宋体" w:hint="eastAsia"/>
          <w:sz w:val="24"/>
        </w:rPr>
        <w:t>2020</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29</w:t>
      </w:r>
      <w:r>
        <w:rPr>
          <w:rFonts w:ascii="宋体" w:hAnsi="宋体" w:cs="宋体" w:hint="eastAsia"/>
          <w:sz w:val="24"/>
        </w:rPr>
        <w:t>日起，《浙商汇金新兴消费灵活配置混合型证券投资基金基金合同》生效</w:t>
      </w:r>
      <w:r>
        <w:rPr>
          <w:rFonts w:ascii="宋体" w:eastAsiaTheme="minorEastAsia" w:hAnsi="宋体" w:cs="宋体" w:hint="eastAsia"/>
          <w:sz w:val="24"/>
        </w:rPr>
        <w:t>，</w:t>
      </w:r>
      <w:r>
        <w:rPr>
          <w:rFonts w:eastAsiaTheme="minorEastAsia" w:hint="eastAsia"/>
          <w:sz w:val="24"/>
        </w:rPr>
        <w:t>业绩比较基准为“</w:t>
      </w:r>
      <w:r>
        <w:rPr>
          <w:rFonts w:eastAsiaTheme="minorEastAsia"/>
          <w:sz w:val="24"/>
        </w:rPr>
        <w:t>中证主要消费行业指数收益率</w:t>
      </w:r>
      <w:r>
        <w:rPr>
          <w:rFonts w:eastAsiaTheme="minorEastAsia" w:hint="eastAsia"/>
          <w:sz w:val="24"/>
        </w:rPr>
        <w:t>×</w:t>
      </w:r>
      <w:r>
        <w:rPr>
          <w:rFonts w:eastAsiaTheme="minorEastAsia"/>
          <w:sz w:val="24"/>
        </w:rPr>
        <w:t>70%+</w:t>
      </w:r>
      <w:r>
        <w:rPr>
          <w:rFonts w:eastAsiaTheme="minorEastAsia"/>
          <w:sz w:val="24"/>
        </w:rPr>
        <w:t>中债总财富指数</w:t>
      </w:r>
      <w:r>
        <w:rPr>
          <w:rFonts w:eastAsiaTheme="minorEastAsia"/>
          <w:sz w:val="24"/>
        </w:rPr>
        <w:t>(</w:t>
      </w:r>
      <w:r>
        <w:rPr>
          <w:rFonts w:eastAsiaTheme="minorEastAsia"/>
          <w:sz w:val="24"/>
        </w:rPr>
        <w:t>总值</w:t>
      </w:r>
      <w:r>
        <w:rPr>
          <w:rFonts w:eastAsiaTheme="minorEastAsia"/>
          <w:sz w:val="24"/>
        </w:rPr>
        <w:t>)</w:t>
      </w:r>
      <w:r>
        <w:rPr>
          <w:rFonts w:eastAsiaTheme="minorEastAsia"/>
          <w:sz w:val="24"/>
        </w:rPr>
        <w:t>收益率</w:t>
      </w:r>
      <w:r>
        <w:rPr>
          <w:rFonts w:eastAsiaTheme="minorEastAsia" w:hint="eastAsia"/>
          <w:sz w:val="24"/>
        </w:rPr>
        <w:t>×</w:t>
      </w:r>
      <w:r>
        <w:rPr>
          <w:rFonts w:eastAsiaTheme="minorEastAsia"/>
          <w:sz w:val="24"/>
        </w:rPr>
        <w:t>30%</w:t>
      </w:r>
      <w:r>
        <w:rPr>
          <w:rFonts w:eastAsiaTheme="minorEastAsia" w:hint="eastAsia"/>
          <w:sz w:val="24"/>
        </w:rPr>
        <w:t>”。</w:t>
      </w:r>
    </w:p>
    <w:p w:rsidR="003F7F06" w:rsidRDefault="00EC2A93">
      <w:pPr>
        <w:adjustRightInd w:val="0"/>
        <w:snapToGrid w:val="0"/>
        <w:spacing w:line="360" w:lineRule="auto"/>
        <w:ind w:firstLineChars="200" w:firstLine="480"/>
        <w:rPr>
          <w:rFonts w:eastAsiaTheme="minorEastAsia"/>
          <w:sz w:val="24"/>
        </w:rPr>
      </w:pPr>
      <w:r>
        <w:rPr>
          <w:rFonts w:eastAsiaTheme="minorEastAsia"/>
          <w:sz w:val="24"/>
        </w:rPr>
        <w:t>鉴于基金运作后投资策略、基金业绩体现出的实际风险收益特征以及更好地保护基金份额持有人利益，</w:t>
      </w:r>
      <w:r>
        <w:rPr>
          <w:rFonts w:eastAsiaTheme="minorEastAsia" w:hint="eastAsia"/>
          <w:sz w:val="24"/>
        </w:rPr>
        <w:t>以更科学、合理的业绩比较基准评价基金的业绩表现。基金管理人经与基金托管人中国光大银行股份有限公司协商一致，决定自</w:t>
      </w:r>
      <w:r>
        <w:rPr>
          <w:rFonts w:eastAsiaTheme="minorEastAsia" w:hint="eastAsia"/>
          <w:sz w:val="24"/>
        </w:rPr>
        <w:t>2025</w:t>
      </w:r>
      <w:r>
        <w:rPr>
          <w:rFonts w:eastAsiaTheme="minorEastAsia" w:hint="eastAsia"/>
          <w:sz w:val="24"/>
        </w:rPr>
        <w:t>年</w:t>
      </w:r>
      <w:r>
        <w:rPr>
          <w:rFonts w:eastAsiaTheme="minorEastAsia" w:hint="eastAsia"/>
          <w:sz w:val="24"/>
        </w:rPr>
        <w:t>5</w:t>
      </w:r>
      <w:r>
        <w:rPr>
          <w:rFonts w:eastAsiaTheme="minorEastAsia" w:hint="eastAsia"/>
          <w:sz w:val="24"/>
        </w:rPr>
        <w:t>月</w:t>
      </w:r>
      <w:r>
        <w:rPr>
          <w:rFonts w:eastAsiaTheme="minorEastAsia" w:hint="eastAsia"/>
          <w:sz w:val="24"/>
        </w:rPr>
        <w:t>2</w:t>
      </w:r>
      <w:r>
        <w:rPr>
          <w:rFonts w:eastAsiaTheme="minorEastAsia" w:hint="eastAsia"/>
          <w:sz w:val="24"/>
        </w:rPr>
        <w:t>3</w:t>
      </w:r>
      <w:r>
        <w:rPr>
          <w:rFonts w:eastAsiaTheme="minorEastAsia" w:hint="eastAsia"/>
          <w:sz w:val="24"/>
        </w:rPr>
        <w:t>日起</w:t>
      </w:r>
      <w:r>
        <w:rPr>
          <w:rFonts w:eastAsiaTheme="minorEastAsia"/>
          <w:sz w:val="24"/>
        </w:rPr>
        <w:t>变更</w:t>
      </w:r>
      <w:r>
        <w:rPr>
          <w:rFonts w:eastAsiaTheme="minorEastAsia" w:hint="eastAsia"/>
          <w:sz w:val="24"/>
        </w:rPr>
        <w:t>本基金的</w:t>
      </w:r>
      <w:r>
        <w:rPr>
          <w:rFonts w:eastAsiaTheme="minorEastAsia"/>
          <w:sz w:val="24"/>
        </w:rPr>
        <w:t>业绩比较基准</w:t>
      </w:r>
      <w:r>
        <w:rPr>
          <w:rFonts w:eastAsiaTheme="minorEastAsia" w:hint="eastAsia"/>
          <w:sz w:val="24"/>
        </w:rPr>
        <w:t>并</w:t>
      </w:r>
      <w:r>
        <w:rPr>
          <w:rFonts w:eastAsiaTheme="minorEastAsia"/>
          <w:sz w:val="24"/>
        </w:rPr>
        <w:t>修订《</w:t>
      </w:r>
      <w:r>
        <w:rPr>
          <w:rFonts w:ascii="宋体" w:hAnsi="宋体" w:cs="宋体" w:hint="eastAsia"/>
          <w:sz w:val="24"/>
        </w:rPr>
        <w:t>浙商汇金新兴消费灵活配置混合型证券投资基金基金合同</w:t>
      </w:r>
      <w:r>
        <w:rPr>
          <w:rFonts w:eastAsiaTheme="minorEastAsia"/>
          <w:sz w:val="24"/>
        </w:rPr>
        <w:t>》（以下简称基金合同）等</w:t>
      </w:r>
      <w:r>
        <w:rPr>
          <w:rFonts w:eastAsiaTheme="minorEastAsia"/>
          <w:sz w:val="24"/>
        </w:rPr>
        <w:t>法律文件，现拟变更业绩比较基准和修订基金合同等法律文件的具体事项如下：</w:t>
      </w:r>
    </w:p>
    <w:p w:rsidR="003F7F06" w:rsidRDefault="003F7F06">
      <w:pPr>
        <w:adjustRightInd w:val="0"/>
        <w:snapToGrid w:val="0"/>
        <w:spacing w:line="360" w:lineRule="auto"/>
        <w:ind w:firstLineChars="200" w:firstLine="482"/>
        <w:rPr>
          <w:rFonts w:eastAsiaTheme="minorEastAsia"/>
          <w:b/>
          <w:bCs/>
          <w:sz w:val="24"/>
        </w:rPr>
      </w:pPr>
    </w:p>
    <w:p w:rsidR="003F7F06" w:rsidRDefault="00EC2A93">
      <w:pPr>
        <w:adjustRightInd w:val="0"/>
        <w:snapToGrid w:val="0"/>
        <w:spacing w:line="360" w:lineRule="auto"/>
        <w:ind w:firstLineChars="200" w:firstLine="482"/>
        <w:rPr>
          <w:rFonts w:eastAsiaTheme="minorEastAsia"/>
          <w:b/>
          <w:bCs/>
          <w:sz w:val="24"/>
        </w:rPr>
      </w:pPr>
      <w:r>
        <w:rPr>
          <w:rFonts w:eastAsiaTheme="minorEastAsia"/>
          <w:b/>
          <w:bCs/>
          <w:sz w:val="24"/>
        </w:rPr>
        <w:t>一、业绩比较基准变更</w:t>
      </w:r>
    </w:p>
    <w:p w:rsidR="003F7F06" w:rsidRDefault="00EC2A93">
      <w:pPr>
        <w:adjustRightInd w:val="0"/>
        <w:snapToGrid w:val="0"/>
        <w:spacing w:line="360" w:lineRule="auto"/>
        <w:ind w:firstLineChars="200" w:firstLine="480"/>
        <w:rPr>
          <w:rFonts w:eastAsiaTheme="minorEastAsia"/>
          <w:sz w:val="24"/>
        </w:rPr>
      </w:pPr>
      <w:r>
        <w:rPr>
          <w:rFonts w:eastAsiaTheme="minorEastAsia"/>
          <w:sz w:val="24"/>
        </w:rPr>
        <w:t>本基金的业绩比较基准由</w:t>
      </w:r>
      <w:r>
        <w:rPr>
          <w:rFonts w:eastAsiaTheme="minorEastAsia"/>
          <w:sz w:val="24"/>
        </w:rPr>
        <w:t>“</w:t>
      </w:r>
      <w:r>
        <w:rPr>
          <w:rFonts w:eastAsiaTheme="minorEastAsia"/>
          <w:sz w:val="24"/>
        </w:rPr>
        <w:t>中证主要消费行业指数收益率</w:t>
      </w:r>
      <w:r>
        <w:rPr>
          <w:rFonts w:eastAsiaTheme="minorEastAsia" w:hint="eastAsia"/>
          <w:sz w:val="24"/>
        </w:rPr>
        <w:t>×</w:t>
      </w:r>
      <w:r>
        <w:rPr>
          <w:rFonts w:eastAsiaTheme="minorEastAsia"/>
          <w:sz w:val="24"/>
        </w:rPr>
        <w:t>70%+</w:t>
      </w:r>
      <w:r>
        <w:rPr>
          <w:rFonts w:eastAsiaTheme="minorEastAsia"/>
          <w:sz w:val="24"/>
        </w:rPr>
        <w:t>中债总财富指数</w:t>
      </w:r>
      <w:r>
        <w:rPr>
          <w:rFonts w:eastAsiaTheme="minorEastAsia"/>
          <w:sz w:val="24"/>
        </w:rPr>
        <w:t>(</w:t>
      </w:r>
      <w:r>
        <w:rPr>
          <w:rFonts w:eastAsiaTheme="minorEastAsia"/>
          <w:sz w:val="24"/>
        </w:rPr>
        <w:t>总值</w:t>
      </w:r>
      <w:r>
        <w:rPr>
          <w:rFonts w:eastAsiaTheme="minorEastAsia"/>
          <w:sz w:val="24"/>
        </w:rPr>
        <w:t>)</w:t>
      </w:r>
      <w:r>
        <w:rPr>
          <w:rFonts w:eastAsiaTheme="minorEastAsia"/>
          <w:sz w:val="24"/>
        </w:rPr>
        <w:t>收益率</w:t>
      </w:r>
      <w:r>
        <w:rPr>
          <w:rFonts w:eastAsiaTheme="minorEastAsia" w:hint="eastAsia"/>
          <w:sz w:val="24"/>
        </w:rPr>
        <w:t>×</w:t>
      </w:r>
      <w:r>
        <w:rPr>
          <w:rFonts w:eastAsiaTheme="minorEastAsia"/>
          <w:sz w:val="24"/>
        </w:rPr>
        <w:t>30%”</w:t>
      </w:r>
      <w:r>
        <w:rPr>
          <w:rFonts w:eastAsiaTheme="minorEastAsia"/>
          <w:sz w:val="24"/>
        </w:rPr>
        <w:t>，拟变更为</w:t>
      </w:r>
      <w:r>
        <w:rPr>
          <w:rFonts w:eastAsiaTheme="minorEastAsia"/>
          <w:sz w:val="24"/>
        </w:rPr>
        <w:t>“</w:t>
      </w:r>
      <w:r>
        <w:rPr>
          <w:rFonts w:eastAsiaTheme="minorEastAsia"/>
          <w:sz w:val="24"/>
        </w:rPr>
        <w:t>中证新生代消费主题指数收益率</w:t>
      </w:r>
      <w:r>
        <w:rPr>
          <w:rFonts w:eastAsiaTheme="minorEastAsia" w:hint="eastAsia"/>
          <w:sz w:val="24"/>
        </w:rPr>
        <w:t>×</w:t>
      </w:r>
      <w:r>
        <w:rPr>
          <w:rFonts w:eastAsiaTheme="minorEastAsia"/>
          <w:sz w:val="24"/>
        </w:rPr>
        <w:t>70%+</w:t>
      </w:r>
      <w:r>
        <w:rPr>
          <w:rFonts w:eastAsiaTheme="minorEastAsia"/>
          <w:sz w:val="24"/>
        </w:rPr>
        <w:t>中债总财富指数</w:t>
      </w:r>
      <w:r>
        <w:rPr>
          <w:rFonts w:eastAsiaTheme="minorEastAsia"/>
          <w:sz w:val="24"/>
        </w:rPr>
        <w:t>(</w:t>
      </w:r>
      <w:r>
        <w:rPr>
          <w:rFonts w:eastAsiaTheme="minorEastAsia"/>
          <w:sz w:val="24"/>
        </w:rPr>
        <w:t>总值</w:t>
      </w:r>
      <w:r>
        <w:rPr>
          <w:rFonts w:eastAsiaTheme="minorEastAsia"/>
          <w:sz w:val="24"/>
        </w:rPr>
        <w:t>)</w:t>
      </w:r>
      <w:r>
        <w:rPr>
          <w:rFonts w:eastAsiaTheme="minorEastAsia"/>
          <w:sz w:val="24"/>
        </w:rPr>
        <w:t>收益率</w:t>
      </w:r>
      <w:r>
        <w:rPr>
          <w:rFonts w:eastAsiaTheme="minorEastAsia" w:hint="eastAsia"/>
          <w:sz w:val="24"/>
        </w:rPr>
        <w:t>×</w:t>
      </w:r>
      <w:r>
        <w:rPr>
          <w:rFonts w:eastAsiaTheme="minorEastAsia"/>
          <w:sz w:val="24"/>
        </w:rPr>
        <w:t>30%”</w:t>
      </w:r>
    </w:p>
    <w:p w:rsidR="003F7F06" w:rsidRDefault="003F7F06">
      <w:pPr>
        <w:adjustRightInd w:val="0"/>
        <w:snapToGrid w:val="0"/>
        <w:spacing w:line="360" w:lineRule="auto"/>
        <w:ind w:firstLineChars="200" w:firstLine="482"/>
        <w:rPr>
          <w:rFonts w:eastAsiaTheme="minorEastAsia"/>
          <w:b/>
          <w:bCs/>
          <w:sz w:val="24"/>
        </w:rPr>
      </w:pPr>
    </w:p>
    <w:p w:rsidR="003F7F06" w:rsidRDefault="00EC2A93">
      <w:pPr>
        <w:adjustRightInd w:val="0"/>
        <w:snapToGrid w:val="0"/>
        <w:spacing w:line="360" w:lineRule="auto"/>
        <w:ind w:firstLineChars="200" w:firstLine="482"/>
        <w:rPr>
          <w:rFonts w:eastAsiaTheme="minorEastAsia"/>
          <w:b/>
          <w:bCs/>
          <w:sz w:val="24"/>
        </w:rPr>
      </w:pPr>
      <w:r>
        <w:rPr>
          <w:rFonts w:eastAsiaTheme="minorEastAsia"/>
          <w:b/>
          <w:bCs/>
          <w:sz w:val="24"/>
        </w:rPr>
        <w:t>二、基金合同修订说明</w:t>
      </w:r>
    </w:p>
    <w:p w:rsidR="003F7F06" w:rsidRDefault="00EC2A93">
      <w:pPr>
        <w:adjustRightInd w:val="0"/>
        <w:snapToGrid w:val="0"/>
        <w:spacing w:line="360" w:lineRule="auto"/>
        <w:ind w:firstLineChars="200" w:firstLine="480"/>
        <w:rPr>
          <w:rFonts w:eastAsiaTheme="minorEastAsia"/>
          <w:sz w:val="24"/>
        </w:rPr>
      </w:pPr>
      <w:r>
        <w:rPr>
          <w:rFonts w:eastAsiaTheme="minorEastAsia"/>
          <w:sz w:val="24"/>
        </w:rPr>
        <w:t>《</w:t>
      </w:r>
      <w:r>
        <w:rPr>
          <w:rFonts w:ascii="宋体" w:hAnsi="宋体" w:cs="宋体"/>
          <w:sz w:val="24"/>
        </w:rPr>
        <w:t>浙商汇金新兴消费灵活配置混合型证券投资基金</w:t>
      </w:r>
      <w:r>
        <w:rPr>
          <w:rFonts w:eastAsiaTheme="minorEastAsia"/>
          <w:sz w:val="24"/>
        </w:rPr>
        <w:t>基金合同》</w:t>
      </w:r>
      <w:r>
        <w:rPr>
          <w:rFonts w:eastAsiaTheme="minorEastAsia"/>
          <w:sz w:val="24"/>
        </w:rPr>
        <w:t>“</w:t>
      </w:r>
      <w:r>
        <w:rPr>
          <w:rFonts w:eastAsiaTheme="minorEastAsia"/>
          <w:sz w:val="24"/>
        </w:rPr>
        <w:t>第十二部分基金的投资</w:t>
      </w:r>
      <w:r>
        <w:rPr>
          <w:rFonts w:eastAsiaTheme="minorEastAsia"/>
          <w:sz w:val="24"/>
        </w:rPr>
        <w:t>”</w:t>
      </w:r>
      <w:r>
        <w:rPr>
          <w:rFonts w:eastAsiaTheme="minorEastAsia"/>
          <w:sz w:val="24"/>
        </w:rPr>
        <w:t>中</w:t>
      </w:r>
      <w:r>
        <w:rPr>
          <w:rFonts w:eastAsiaTheme="minorEastAsia"/>
          <w:sz w:val="24"/>
        </w:rPr>
        <w:t>“</w:t>
      </w:r>
      <w:r>
        <w:rPr>
          <w:rFonts w:eastAsiaTheme="minorEastAsia"/>
          <w:sz w:val="24"/>
        </w:rPr>
        <w:t>五、业绩比较基准</w:t>
      </w:r>
      <w:r>
        <w:rPr>
          <w:rFonts w:eastAsiaTheme="minorEastAsia"/>
          <w:sz w:val="24"/>
        </w:rPr>
        <w:t>”</w:t>
      </w:r>
      <w:r>
        <w:rPr>
          <w:rFonts w:eastAsiaTheme="minorEastAsia"/>
          <w:sz w:val="24"/>
        </w:rPr>
        <w:t>，修订为：</w:t>
      </w:r>
    </w:p>
    <w:p w:rsidR="003F7F06" w:rsidRDefault="00EC2A93">
      <w:pPr>
        <w:spacing w:line="360" w:lineRule="auto"/>
        <w:ind w:firstLineChars="200" w:firstLine="480"/>
        <w:rPr>
          <w:bCs/>
          <w:sz w:val="24"/>
        </w:rPr>
      </w:pPr>
      <w:r>
        <w:rPr>
          <w:rFonts w:eastAsiaTheme="minorEastAsia"/>
          <w:sz w:val="24"/>
        </w:rPr>
        <w:lastRenderedPageBreak/>
        <w:t>“</w:t>
      </w:r>
      <w:r>
        <w:rPr>
          <w:rFonts w:hint="eastAsia"/>
          <w:bCs/>
          <w:sz w:val="24"/>
        </w:rPr>
        <w:t>本基金投资的业绩比较基准为：中证新生代消费主题指数收益率×</w:t>
      </w:r>
      <w:r>
        <w:rPr>
          <w:rFonts w:hint="eastAsia"/>
          <w:bCs/>
          <w:sz w:val="24"/>
        </w:rPr>
        <w:t>70%+</w:t>
      </w:r>
      <w:r>
        <w:rPr>
          <w:rFonts w:hint="eastAsia"/>
          <w:bCs/>
          <w:sz w:val="24"/>
        </w:rPr>
        <w:t>中债总财富指数（总值）收益率×</w:t>
      </w:r>
      <w:r>
        <w:rPr>
          <w:rFonts w:hint="eastAsia"/>
          <w:bCs/>
          <w:sz w:val="24"/>
          <w:szCs w:val="21"/>
        </w:rPr>
        <w:t>30%</w:t>
      </w:r>
    </w:p>
    <w:p w:rsidR="003F7F06" w:rsidRDefault="00EC2A93">
      <w:pPr>
        <w:spacing w:line="360" w:lineRule="auto"/>
        <w:ind w:firstLineChars="200" w:firstLine="480"/>
        <w:rPr>
          <w:bCs/>
          <w:sz w:val="24"/>
        </w:rPr>
      </w:pPr>
      <w:r>
        <w:rPr>
          <w:rFonts w:hint="eastAsia"/>
          <w:bCs/>
          <w:sz w:val="24"/>
        </w:rPr>
        <w:t>中证新生代消费主题指数是由</w:t>
      </w:r>
      <w:hyperlink r:id="rId7" w:tgtFrame="https://www.baidu.com/_blank" w:history="1">
        <w:r>
          <w:rPr>
            <w:rFonts w:hint="eastAsia"/>
            <w:bCs/>
            <w:sz w:val="24"/>
          </w:rPr>
          <w:t>中证指数有限公司</w:t>
        </w:r>
      </w:hyperlink>
      <w:r>
        <w:rPr>
          <w:rFonts w:hint="eastAsia"/>
          <w:bCs/>
          <w:sz w:val="24"/>
        </w:rPr>
        <w:t>编制并发布的</w:t>
      </w:r>
      <w:r>
        <w:rPr>
          <w:bCs/>
          <w:sz w:val="24"/>
        </w:rPr>
        <w:t>‌</w:t>
      </w:r>
      <w:r>
        <w:rPr>
          <w:rFonts w:hint="eastAsia"/>
          <w:bCs/>
          <w:sz w:val="24"/>
        </w:rPr>
        <w:t>。该指数选取食品饮料、服饰装扮、休闲娱乐以及其他生活用品及服务等领域中符合新生代消费特征的上市公司证券作为指数样本，以反映新生代消费主题上市公司证券的整体表现。</w:t>
      </w:r>
      <w:r>
        <w:rPr>
          <w:bCs/>
          <w:sz w:val="24"/>
        </w:rPr>
        <w:t>‌</w:t>
      </w:r>
    </w:p>
    <w:p w:rsidR="003F7F06" w:rsidRDefault="00EC2A93">
      <w:pPr>
        <w:spacing w:line="360" w:lineRule="auto"/>
        <w:ind w:firstLineChars="200" w:firstLine="480"/>
        <w:rPr>
          <w:bCs/>
          <w:sz w:val="24"/>
        </w:rPr>
      </w:pPr>
      <w:r>
        <w:rPr>
          <w:rFonts w:hint="eastAsia"/>
          <w:bCs/>
          <w:sz w:val="24"/>
        </w:rPr>
        <w:t>中债总财富指数（总值）收益率由中央国债登记结算有限责任公司编制并发布，其指数样本涵盖上海证券交易所、深圳证券交易所以</w:t>
      </w:r>
      <w:r>
        <w:rPr>
          <w:rFonts w:hint="eastAsia"/>
          <w:bCs/>
          <w:sz w:val="24"/>
        </w:rPr>
        <w:t>及银行间市场的各类券种，综合反映了债券市场整体价格和回报情况，是目前市场上较为权威的反映债券市场整体走势的基准指数之一。该指数合理、透明、公开，具有较好的市场接受度，适合作为本基金的债券投资业绩比较基准。</w:t>
      </w:r>
    </w:p>
    <w:p w:rsidR="003F7F06" w:rsidRDefault="00EC2A93">
      <w:pPr>
        <w:spacing w:line="360" w:lineRule="auto"/>
        <w:ind w:firstLineChars="200" w:firstLine="480"/>
        <w:rPr>
          <w:rFonts w:eastAsiaTheme="minorEastAsia"/>
          <w:sz w:val="24"/>
        </w:rPr>
      </w:pPr>
      <w:r>
        <w:rPr>
          <w:rFonts w:hint="eastAsia"/>
          <w:bCs/>
          <w:sz w:val="24"/>
        </w:rPr>
        <w:t>若未来市场发生变化导致业绩比较基准不再适用或者有更加适合的业绩比较基准，经基金管理人和基金托管人协商一致，根据市场发展状况及本基金的投资范围和投资策略，调整本基金的业绩比较基准。业绩比较基准的变更应按照监管部门要求履行适当的程序并在变更实施日前在指定媒介予以公告，无需召开基金份额持有人大会。</w:t>
      </w:r>
      <w:r>
        <w:rPr>
          <w:rFonts w:eastAsiaTheme="minorEastAsia"/>
          <w:sz w:val="24"/>
        </w:rPr>
        <w:t>”</w:t>
      </w:r>
    </w:p>
    <w:p w:rsidR="003F7F06" w:rsidRDefault="003F7F06">
      <w:pPr>
        <w:adjustRightInd w:val="0"/>
        <w:snapToGrid w:val="0"/>
        <w:spacing w:line="360" w:lineRule="auto"/>
        <w:ind w:firstLineChars="200" w:firstLine="482"/>
        <w:rPr>
          <w:rFonts w:eastAsiaTheme="minorEastAsia"/>
          <w:b/>
          <w:bCs/>
          <w:sz w:val="24"/>
        </w:rPr>
      </w:pPr>
    </w:p>
    <w:p w:rsidR="003F7F06" w:rsidRDefault="00EC2A93">
      <w:pPr>
        <w:adjustRightInd w:val="0"/>
        <w:snapToGrid w:val="0"/>
        <w:spacing w:line="360" w:lineRule="auto"/>
        <w:ind w:firstLineChars="200" w:firstLine="482"/>
        <w:rPr>
          <w:rFonts w:eastAsiaTheme="minorEastAsia"/>
          <w:b/>
          <w:bCs/>
          <w:sz w:val="24"/>
        </w:rPr>
      </w:pPr>
      <w:r>
        <w:rPr>
          <w:rFonts w:eastAsiaTheme="minorEastAsia" w:hint="eastAsia"/>
          <w:b/>
          <w:bCs/>
          <w:sz w:val="24"/>
        </w:rPr>
        <w:t>三、其他</w:t>
      </w:r>
      <w:r>
        <w:rPr>
          <w:rFonts w:eastAsiaTheme="minorEastAsia" w:hint="eastAsia"/>
          <w:b/>
          <w:bCs/>
          <w:sz w:val="24"/>
        </w:rPr>
        <w:t>说明事项</w:t>
      </w:r>
    </w:p>
    <w:p w:rsidR="003F7F06" w:rsidRDefault="00EC2A93">
      <w:pPr>
        <w:adjustRightInd w:val="0"/>
        <w:snapToGrid w:val="0"/>
        <w:spacing w:line="360" w:lineRule="auto"/>
        <w:ind w:firstLineChars="200" w:firstLine="480"/>
        <w:rPr>
          <w:rFonts w:eastAsiaTheme="minorEastAsia"/>
          <w:sz w:val="24"/>
        </w:rPr>
      </w:pPr>
      <w:r>
        <w:rPr>
          <w:rFonts w:eastAsiaTheme="minorEastAsia" w:hint="eastAsia"/>
          <w:sz w:val="24"/>
        </w:rPr>
        <w:t>1</w:t>
      </w:r>
      <w:r>
        <w:rPr>
          <w:rFonts w:eastAsiaTheme="minorEastAsia" w:hint="eastAsia"/>
          <w:sz w:val="24"/>
        </w:rPr>
        <w:t>、本基金上述变更业绩比较基准并修订基金合同等法律文件的事项对基金份额持有人利益无实质性不利影响，亦不涉及基金合同当事人权利义务关系发生重大变化。本基金管理人已就相关事项履行规定程序，符合法律法规及基金合同的规定。</w:t>
      </w:r>
    </w:p>
    <w:p w:rsidR="003F7F06" w:rsidRDefault="00EC2A93">
      <w:pPr>
        <w:adjustRightInd w:val="0"/>
        <w:snapToGrid w:val="0"/>
        <w:spacing w:line="360" w:lineRule="auto"/>
        <w:ind w:firstLineChars="200" w:firstLine="480"/>
        <w:rPr>
          <w:rFonts w:eastAsiaTheme="minorEastAsia"/>
          <w:sz w:val="24"/>
        </w:rPr>
      </w:pPr>
      <w:r>
        <w:rPr>
          <w:rFonts w:eastAsiaTheme="minorEastAsia" w:hint="eastAsia"/>
          <w:sz w:val="24"/>
        </w:rPr>
        <w:t>2</w:t>
      </w:r>
      <w:r>
        <w:rPr>
          <w:rFonts w:eastAsiaTheme="minorEastAsia" w:hint="eastAsia"/>
          <w:sz w:val="24"/>
        </w:rPr>
        <w:t>、基金管理人在本基金招募说明书（更新）和基金产品资料概要（更新）中，对涉及上述修订的内容进行相应更新。本公司于本公告日在基金管理人指定网站（</w:t>
      </w:r>
      <w:r>
        <w:rPr>
          <w:rFonts w:eastAsiaTheme="minorEastAsia" w:hint="eastAsia"/>
          <w:sz w:val="24"/>
        </w:rPr>
        <w:t>www.stocke.com.cn</w:t>
      </w:r>
      <w:r>
        <w:rPr>
          <w:rFonts w:eastAsiaTheme="minorEastAsia" w:hint="eastAsia"/>
          <w:sz w:val="24"/>
        </w:rPr>
        <w:t>）和中国证监会电子披露网站（</w:t>
      </w:r>
      <w:r>
        <w:rPr>
          <w:rFonts w:eastAsiaTheme="minorEastAsia" w:hint="eastAsia"/>
          <w:sz w:val="24"/>
        </w:rPr>
        <w:t>http://eid.csrc.gov.cn/fund</w:t>
      </w:r>
      <w:r>
        <w:rPr>
          <w:rFonts w:eastAsiaTheme="minorEastAsia" w:hint="eastAsia"/>
          <w:sz w:val="24"/>
        </w:rPr>
        <w:t>）</w:t>
      </w:r>
      <w:r>
        <w:rPr>
          <w:rFonts w:eastAsiaTheme="minorEastAsia" w:hint="eastAsia"/>
          <w:sz w:val="24"/>
        </w:rPr>
        <w:t xml:space="preserve"> </w:t>
      </w:r>
      <w:r>
        <w:rPr>
          <w:rFonts w:eastAsiaTheme="minorEastAsia" w:hint="eastAsia"/>
          <w:sz w:val="24"/>
        </w:rPr>
        <w:t>同时公布修改后的基金合同</w:t>
      </w:r>
      <w:r>
        <w:rPr>
          <w:rFonts w:eastAsiaTheme="minorEastAsia" w:hint="eastAsia"/>
          <w:sz w:val="24"/>
        </w:rPr>
        <w:t>、招募说明书（更新）及基金产品资料概要更新。</w:t>
      </w:r>
    </w:p>
    <w:p w:rsidR="003F7F06" w:rsidRDefault="00EC2A93">
      <w:pPr>
        <w:adjustRightInd w:val="0"/>
        <w:snapToGrid w:val="0"/>
        <w:spacing w:line="360" w:lineRule="auto"/>
        <w:ind w:firstLine="570"/>
        <w:rPr>
          <w:rFonts w:eastAsiaTheme="minorEastAsia"/>
          <w:sz w:val="24"/>
        </w:rPr>
      </w:pPr>
      <w:r>
        <w:rPr>
          <w:rFonts w:eastAsiaTheme="minorEastAsia" w:hint="eastAsia"/>
          <w:sz w:val="24"/>
        </w:rPr>
        <w:t>3</w:t>
      </w:r>
      <w:r>
        <w:rPr>
          <w:rFonts w:eastAsiaTheme="minorEastAsia" w:hint="eastAsia"/>
          <w:sz w:val="24"/>
        </w:rPr>
        <w:t>、本公告仅对本基金变更业绩比较基准并修订基金合同等法律文件的事项予以说明。投资者欲了解上述基金的详细情况，请仔细阅读刊登于基金管理人指定网站（</w:t>
      </w:r>
      <w:r>
        <w:rPr>
          <w:rFonts w:eastAsiaTheme="minorEastAsia" w:hint="eastAsia"/>
          <w:sz w:val="24"/>
        </w:rPr>
        <w:t>www.stocke.com.cn</w:t>
      </w:r>
      <w:r>
        <w:rPr>
          <w:rFonts w:eastAsiaTheme="minorEastAsia" w:hint="eastAsia"/>
          <w:sz w:val="24"/>
        </w:rPr>
        <w:t>）的基金合同、招募说明书等法律文件。投资者可以拨打客户服务电话（</w:t>
      </w:r>
      <w:r>
        <w:rPr>
          <w:rFonts w:eastAsiaTheme="minorEastAsia" w:hint="eastAsia"/>
          <w:sz w:val="24"/>
        </w:rPr>
        <w:t>95345</w:t>
      </w:r>
      <w:r>
        <w:rPr>
          <w:rFonts w:eastAsiaTheme="minorEastAsia" w:hint="eastAsia"/>
          <w:sz w:val="24"/>
        </w:rPr>
        <w:t>）或访问本基金管理人指定网站（</w:t>
      </w:r>
      <w:r>
        <w:rPr>
          <w:rFonts w:eastAsiaTheme="minorEastAsia" w:hint="eastAsia"/>
          <w:sz w:val="24"/>
        </w:rPr>
        <w:t>www.stocke.com.cn</w:t>
      </w:r>
      <w:r>
        <w:rPr>
          <w:rFonts w:eastAsiaTheme="minorEastAsia" w:hint="eastAsia"/>
          <w:sz w:val="24"/>
        </w:rPr>
        <w:t>）</w:t>
      </w:r>
      <w:r>
        <w:rPr>
          <w:rFonts w:eastAsiaTheme="minorEastAsia" w:hint="eastAsia"/>
          <w:sz w:val="24"/>
        </w:rPr>
        <w:lastRenderedPageBreak/>
        <w:t>获取相关信息。</w:t>
      </w:r>
    </w:p>
    <w:p w:rsidR="003F7F06" w:rsidRDefault="00EC2A93">
      <w:pPr>
        <w:adjustRightInd w:val="0"/>
        <w:snapToGrid w:val="0"/>
        <w:spacing w:line="360" w:lineRule="auto"/>
        <w:ind w:firstLine="570"/>
        <w:rPr>
          <w:rFonts w:eastAsiaTheme="minorEastAsia"/>
          <w:sz w:val="24"/>
        </w:rPr>
      </w:pPr>
      <w:r>
        <w:rPr>
          <w:rFonts w:eastAsiaTheme="minorEastAsia" w:hint="eastAsia"/>
          <w:sz w:val="24"/>
        </w:rPr>
        <w:t>特此公告。</w:t>
      </w:r>
    </w:p>
    <w:p w:rsidR="003F7F06" w:rsidRDefault="00EC2A93">
      <w:pPr>
        <w:adjustRightInd w:val="0"/>
        <w:snapToGrid w:val="0"/>
        <w:spacing w:line="360" w:lineRule="auto"/>
        <w:ind w:firstLine="570"/>
        <w:jc w:val="right"/>
        <w:rPr>
          <w:rFonts w:eastAsiaTheme="minorEastAsia"/>
          <w:sz w:val="24"/>
        </w:rPr>
      </w:pPr>
      <w:r>
        <w:rPr>
          <w:rFonts w:eastAsiaTheme="minorEastAsia"/>
          <w:sz w:val="24"/>
        </w:rPr>
        <w:t>浙江浙商证券资产管理有限公司</w:t>
      </w:r>
    </w:p>
    <w:p w:rsidR="003F7F06" w:rsidRDefault="00EC2A93">
      <w:pPr>
        <w:adjustRightInd w:val="0"/>
        <w:snapToGrid w:val="0"/>
        <w:spacing w:line="360" w:lineRule="auto"/>
        <w:ind w:firstLine="570"/>
        <w:jc w:val="right"/>
        <w:rPr>
          <w:rFonts w:eastAsiaTheme="minorEastAsia"/>
          <w:sz w:val="28"/>
        </w:rPr>
      </w:pPr>
      <w:r>
        <w:rPr>
          <w:rFonts w:eastAsiaTheme="minorEastAsia" w:hint="eastAsia"/>
          <w:sz w:val="24"/>
        </w:rPr>
        <w:t>2025</w:t>
      </w:r>
      <w:r>
        <w:rPr>
          <w:rFonts w:eastAsiaTheme="minorEastAsia"/>
          <w:sz w:val="24"/>
        </w:rPr>
        <w:t>年</w:t>
      </w:r>
      <w:r>
        <w:rPr>
          <w:rFonts w:eastAsiaTheme="minorEastAsia" w:hint="eastAsia"/>
          <w:sz w:val="24"/>
        </w:rPr>
        <w:t>5</w:t>
      </w:r>
      <w:r>
        <w:rPr>
          <w:rFonts w:eastAsiaTheme="minorEastAsia"/>
          <w:sz w:val="24"/>
        </w:rPr>
        <w:t>月</w:t>
      </w:r>
      <w:r>
        <w:rPr>
          <w:rFonts w:eastAsiaTheme="minorEastAsia" w:hint="eastAsia"/>
          <w:sz w:val="24"/>
        </w:rPr>
        <w:t>2</w:t>
      </w:r>
      <w:r>
        <w:rPr>
          <w:rFonts w:eastAsiaTheme="minorEastAsia" w:hint="eastAsia"/>
          <w:sz w:val="24"/>
        </w:rPr>
        <w:t>3</w:t>
      </w:r>
      <w:bookmarkStart w:id="1" w:name="_GoBack"/>
      <w:bookmarkEnd w:id="1"/>
      <w:r>
        <w:rPr>
          <w:rFonts w:eastAsiaTheme="minorEastAsia"/>
          <w:sz w:val="24"/>
        </w:rPr>
        <w:t>日</w:t>
      </w:r>
    </w:p>
    <w:sectPr w:rsidR="003F7F06" w:rsidSect="003F7F0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F06" w:rsidRDefault="003F7F06" w:rsidP="003F7F06">
      <w:r>
        <w:separator/>
      </w:r>
    </w:p>
  </w:endnote>
  <w:endnote w:type="continuationSeparator" w:id="0">
    <w:p w:rsidR="003F7F06" w:rsidRDefault="003F7F06" w:rsidP="003F7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61919"/>
    </w:sdtPr>
    <w:sdtEndPr>
      <w:rPr>
        <w:sz w:val="24"/>
        <w:szCs w:val="24"/>
      </w:rPr>
    </w:sdtEndPr>
    <w:sdtContent>
      <w:p w:rsidR="003F7F06" w:rsidRDefault="003F7F06">
        <w:pPr>
          <w:pStyle w:val="a8"/>
          <w:jc w:val="center"/>
          <w:rPr>
            <w:sz w:val="24"/>
            <w:szCs w:val="24"/>
          </w:rPr>
        </w:pPr>
        <w:r>
          <w:rPr>
            <w:sz w:val="24"/>
            <w:szCs w:val="24"/>
          </w:rPr>
          <w:fldChar w:fldCharType="begin"/>
        </w:r>
        <w:r w:rsidR="00EC2A93">
          <w:rPr>
            <w:sz w:val="24"/>
            <w:szCs w:val="24"/>
          </w:rPr>
          <w:instrText>PAGE   \* MERGEFORMAT</w:instrText>
        </w:r>
        <w:r>
          <w:rPr>
            <w:sz w:val="24"/>
            <w:szCs w:val="24"/>
          </w:rPr>
          <w:fldChar w:fldCharType="separate"/>
        </w:r>
        <w:r w:rsidR="00EC2A93" w:rsidRPr="00EC2A93">
          <w:rPr>
            <w:noProof/>
            <w:sz w:val="24"/>
            <w:szCs w:val="24"/>
            <w:lang w:val="zh-CN"/>
          </w:rPr>
          <w:t>1</w:t>
        </w:r>
        <w:r>
          <w:rPr>
            <w:sz w:val="24"/>
            <w:szCs w:val="24"/>
          </w:rPr>
          <w:fldChar w:fldCharType="end"/>
        </w:r>
      </w:p>
    </w:sdtContent>
  </w:sdt>
  <w:p w:rsidR="003F7F06" w:rsidRDefault="003F7F0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F06" w:rsidRDefault="003F7F06" w:rsidP="003F7F06">
      <w:r>
        <w:separator/>
      </w:r>
    </w:p>
  </w:footnote>
  <w:footnote w:type="continuationSeparator" w:id="0">
    <w:p w:rsidR="003F7F06" w:rsidRDefault="003F7F06" w:rsidP="003F7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06" w:rsidRDefault="003F7F06">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stylePaneFormatFilter w:val="3F01"/>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JhN2M4ZDY2ZTk1N2M2NWRmMjFlOWFjM2UwMjFiNjQifQ=="/>
  </w:docVars>
  <w:rsids>
    <w:rsidRoot w:val="00070F95"/>
    <w:rsid w:val="000109D0"/>
    <w:rsid w:val="00016313"/>
    <w:rsid w:val="000225A7"/>
    <w:rsid w:val="00032C38"/>
    <w:rsid w:val="00035B4B"/>
    <w:rsid w:val="000369FB"/>
    <w:rsid w:val="0004744F"/>
    <w:rsid w:val="00057875"/>
    <w:rsid w:val="00070F95"/>
    <w:rsid w:val="000756E8"/>
    <w:rsid w:val="000757A3"/>
    <w:rsid w:val="000837F7"/>
    <w:rsid w:val="000838D7"/>
    <w:rsid w:val="00093C6B"/>
    <w:rsid w:val="000A7E93"/>
    <w:rsid w:val="000B000F"/>
    <w:rsid w:val="000D1BB6"/>
    <w:rsid w:val="000D562B"/>
    <w:rsid w:val="000F2BEC"/>
    <w:rsid w:val="00105040"/>
    <w:rsid w:val="00111412"/>
    <w:rsid w:val="001236C1"/>
    <w:rsid w:val="00130470"/>
    <w:rsid w:val="0013458E"/>
    <w:rsid w:val="00135292"/>
    <w:rsid w:val="00137813"/>
    <w:rsid w:val="00143C1B"/>
    <w:rsid w:val="00147209"/>
    <w:rsid w:val="00172649"/>
    <w:rsid w:val="00182C1B"/>
    <w:rsid w:val="00196F67"/>
    <w:rsid w:val="001B0864"/>
    <w:rsid w:val="001B5170"/>
    <w:rsid w:val="001C4360"/>
    <w:rsid w:val="001C5F68"/>
    <w:rsid w:val="001D428E"/>
    <w:rsid w:val="001E0214"/>
    <w:rsid w:val="001E2410"/>
    <w:rsid w:val="001E28EF"/>
    <w:rsid w:val="001E2A65"/>
    <w:rsid w:val="001E47CD"/>
    <w:rsid w:val="001F15FD"/>
    <w:rsid w:val="00200951"/>
    <w:rsid w:val="00211B15"/>
    <w:rsid w:val="00212FBA"/>
    <w:rsid w:val="00222182"/>
    <w:rsid w:val="002264D9"/>
    <w:rsid w:val="0024085B"/>
    <w:rsid w:val="00256E12"/>
    <w:rsid w:val="00261C60"/>
    <w:rsid w:val="00266F46"/>
    <w:rsid w:val="00267974"/>
    <w:rsid w:val="002708F6"/>
    <w:rsid w:val="00270DF9"/>
    <w:rsid w:val="0028597E"/>
    <w:rsid w:val="00291B5A"/>
    <w:rsid w:val="00291E5F"/>
    <w:rsid w:val="00292F12"/>
    <w:rsid w:val="00294C60"/>
    <w:rsid w:val="00295909"/>
    <w:rsid w:val="002A2DAA"/>
    <w:rsid w:val="002A64C4"/>
    <w:rsid w:val="002B0DDB"/>
    <w:rsid w:val="002B3978"/>
    <w:rsid w:val="002C106E"/>
    <w:rsid w:val="002C5FA1"/>
    <w:rsid w:val="002D7C8A"/>
    <w:rsid w:val="002E5A9C"/>
    <w:rsid w:val="002F74A0"/>
    <w:rsid w:val="003060AE"/>
    <w:rsid w:val="00306F38"/>
    <w:rsid w:val="003116AD"/>
    <w:rsid w:val="00322816"/>
    <w:rsid w:val="00323971"/>
    <w:rsid w:val="00337525"/>
    <w:rsid w:val="003517EC"/>
    <w:rsid w:val="0035295D"/>
    <w:rsid w:val="00355D09"/>
    <w:rsid w:val="0035724C"/>
    <w:rsid w:val="00367F82"/>
    <w:rsid w:val="003712B5"/>
    <w:rsid w:val="00375E49"/>
    <w:rsid w:val="00386E28"/>
    <w:rsid w:val="00391881"/>
    <w:rsid w:val="003A0114"/>
    <w:rsid w:val="003A091D"/>
    <w:rsid w:val="003A3406"/>
    <w:rsid w:val="003A3C25"/>
    <w:rsid w:val="003A5925"/>
    <w:rsid w:val="003B054D"/>
    <w:rsid w:val="003B251F"/>
    <w:rsid w:val="003B48EA"/>
    <w:rsid w:val="003D670C"/>
    <w:rsid w:val="003E0748"/>
    <w:rsid w:val="003E0ED6"/>
    <w:rsid w:val="003E110D"/>
    <w:rsid w:val="003E2BDD"/>
    <w:rsid w:val="003F28D5"/>
    <w:rsid w:val="003F4F49"/>
    <w:rsid w:val="003F7F06"/>
    <w:rsid w:val="00432E49"/>
    <w:rsid w:val="00433352"/>
    <w:rsid w:val="00443C0B"/>
    <w:rsid w:val="004549C3"/>
    <w:rsid w:val="00464858"/>
    <w:rsid w:val="004653AE"/>
    <w:rsid w:val="00467830"/>
    <w:rsid w:val="00475DD3"/>
    <w:rsid w:val="00487DEC"/>
    <w:rsid w:val="004914C3"/>
    <w:rsid w:val="004938E3"/>
    <w:rsid w:val="004C3B61"/>
    <w:rsid w:val="004C4B8C"/>
    <w:rsid w:val="004D2AFD"/>
    <w:rsid w:val="004E05EB"/>
    <w:rsid w:val="004E7DEC"/>
    <w:rsid w:val="004F3CA2"/>
    <w:rsid w:val="004F3F65"/>
    <w:rsid w:val="00503CEA"/>
    <w:rsid w:val="005101F4"/>
    <w:rsid w:val="005211D8"/>
    <w:rsid w:val="00524CCB"/>
    <w:rsid w:val="005329A9"/>
    <w:rsid w:val="00532DA8"/>
    <w:rsid w:val="00546EC8"/>
    <w:rsid w:val="00546F9B"/>
    <w:rsid w:val="005547AD"/>
    <w:rsid w:val="00560957"/>
    <w:rsid w:val="0057104A"/>
    <w:rsid w:val="00577D9E"/>
    <w:rsid w:val="005809DD"/>
    <w:rsid w:val="005822A0"/>
    <w:rsid w:val="005859B3"/>
    <w:rsid w:val="00585BDC"/>
    <w:rsid w:val="00596010"/>
    <w:rsid w:val="005A0E63"/>
    <w:rsid w:val="005A722C"/>
    <w:rsid w:val="005B2F5D"/>
    <w:rsid w:val="005B5B45"/>
    <w:rsid w:val="005B6578"/>
    <w:rsid w:val="005B79F6"/>
    <w:rsid w:val="005C04C5"/>
    <w:rsid w:val="005E128C"/>
    <w:rsid w:val="005E768B"/>
    <w:rsid w:val="00600E83"/>
    <w:rsid w:val="006074ED"/>
    <w:rsid w:val="00624A6C"/>
    <w:rsid w:val="00630E93"/>
    <w:rsid w:val="00636C76"/>
    <w:rsid w:val="00645779"/>
    <w:rsid w:val="00654DD2"/>
    <w:rsid w:val="00690B5C"/>
    <w:rsid w:val="00691BAB"/>
    <w:rsid w:val="0069620A"/>
    <w:rsid w:val="006A3015"/>
    <w:rsid w:val="006B1232"/>
    <w:rsid w:val="006B13D5"/>
    <w:rsid w:val="006B48F5"/>
    <w:rsid w:val="006B52CA"/>
    <w:rsid w:val="006B598F"/>
    <w:rsid w:val="006B62C7"/>
    <w:rsid w:val="006D3C4C"/>
    <w:rsid w:val="006E35CB"/>
    <w:rsid w:val="00705847"/>
    <w:rsid w:val="00710BFA"/>
    <w:rsid w:val="00725C09"/>
    <w:rsid w:val="00725E35"/>
    <w:rsid w:val="00726141"/>
    <w:rsid w:val="00734F42"/>
    <w:rsid w:val="007361FF"/>
    <w:rsid w:val="00750308"/>
    <w:rsid w:val="0075468A"/>
    <w:rsid w:val="00756C5A"/>
    <w:rsid w:val="00766B26"/>
    <w:rsid w:val="00766BE9"/>
    <w:rsid w:val="00775585"/>
    <w:rsid w:val="007A3447"/>
    <w:rsid w:val="007B0054"/>
    <w:rsid w:val="007B3A78"/>
    <w:rsid w:val="007B5526"/>
    <w:rsid w:val="007B7C08"/>
    <w:rsid w:val="00801F32"/>
    <w:rsid w:val="008042BC"/>
    <w:rsid w:val="008042BF"/>
    <w:rsid w:val="00815C11"/>
    <w:rsid w:val="00824E93"/>
    <w:rsid w:val="00830572"/>
    <w:rsid w:val="008408DD"/>
    <w:rsid w:val="008620D6"/>
    <w:rsid w:val="0086345E"/>
    <w:rsid w:val="008646F6"/>
    <w:rsid w:val="008677AF"/>
    <w:rsid w:val="008706E9"/>
    <w:rsid w:val="0088221E"/>
    <w:rsid w:val="00884405"/>
    <w:rsid w:val="00887FBC"/>
    <w:rsid w:val="008948BB"/>
    <w:rsid w:val="00895565"/>
    <w:rsid w:val="0089734E"/>
    <w:rsid w:val="008A30A7"/>
    <w:rsid w:val="008A31BB"/>
    <w:rsid w:val="008A3289"/>
    <w:rsid w:val="008A4D73"/>
    <w:rsid w:val="008B14B9"/>
    <w:rsid w:val="008B23CF"/>
    <w:rsid w:val="008B3E25"/>
    <w:rsid w:val="008B6EF0"/>
    <w:rsid w:val="008C77F8"/>
    <w:rsid w:val="008D1896"/>
    <w:rsid w:val="008D47AA"/>
    <w:rsid w:val="008D4B20"/>
    <w:rsid w:val="008E0350"/>
    <w:rsid w:val="00901B8A"/>
    <w:rsid w:val="009054FA"/>
    <w:rsid w:val="00915756"/>
    <w:rsid w:val="00931C28"/>
    <w:rsid w:val="00936425"/>
    <w:rsid w:val="0093654C"/>
    <w:rsid w:val="00942161"/>
    <w:rsid w:val="009645EC"/>
    <w:rsid w:val="0097353C"/>
    <w:rsid w:val="009740BE"/>
    <w:rsid w:val="00976FFD"/>
    <w:rsid w:val="009804A1"/>
    <w:rsid w:val="009858E3"/>
    <w:rsid w:val="009A013A"/>
    <w:rsid w:val="009A3CDB"/>
    <w:rsid w:val="009C4FB0"/>
    <w:rsid w:val="009D02D6"/>
    <w:rsid w:val="009D7351"/>
    <w:rsid w:val="009E112B"/>
    <w:rsid w:val="009E3C63"/>
    <w:rsid w:val="009F0295"/>
    <w:rsid w:val="009F1094"/>
    <w:rsid w:val="00A0071D"/>
    <w:rsid w:val="00A10100"/>
    <w:rsid w:val="00A14AB3"/>
    <w:rsid w:val="00A21FDB"/>
    <w:rsid w:val="00A2269B"/>
    <w:rsid w:val="00A30C73"/>
    <w:rsid w:val="00A31393"/>
    <w:rsid w:val="00A3170A"/>
    <w:rsid w:val="00A475C4"/>
    <w:rsid w:val="00A500CD"/>
    <w:rsid w:val="00A52080"/>
    <w:rsid w:val="00A57611"/>
    <w:rsid w:val="00A83ED7"/>
    <w:rsid w:val="00A865E2"/>
    <w:rsid w:val="00A90D17"/>
    <w:rsid w:val="00A929D5"/>
    <w:rsid w:val="00A955E8"/>
    <w:rsid w:val="00AA2203"/>
    <w:rsid w:val="00AA7DEF"/>
    <w:rsid w:val="00AB0676"/>
    <w:rsid w:val="00AB4D41"/>
    <w:rsid w:val="00AB6452"/>
    <w:rsid w:val="00AD2F13"/>
    <w:rsid w:val="00AD60ED"/>
    <w:rsid w:val="00AD7705"/>
    <w:rsid w:val="00AE752E"/>
    <w:rsid w:val="00AF1E2C"/>
    <w:rsid w:val="00AF2039"/>
    <w:rsid w:val="00AF4052"/>
    <w:rsid w:val="00B00881"/>
    <w:rsid w:val="00B12159"/>
    <w:rsid w:val="00B12E45"/>
    <w:rsid w:val="00B218E6"/>
    <w:rsid w:val="00B318C6"/>
    <w:rsid w:val="00B32ED4"/>
    <w:rsid w:val="00B34DAE"/>
    <w:rsid w:val="00B71E60"/>
    <w:rsid w:val="00B74ADA"/>
    <w:rsid w:val="00B83D8D"/>
    <w:rsid w:val="00B85889"/>
    <w:rsid w:val="00B938A1"/>
    <w:rsid w:val="00BA5271"/>
    <w:rsid w:val="00BB7331"/>
    <w:rsid w:val="00BB7BC6"/>
    <w:rsid w:val="00BC2E56"/>
    <w:rsid w:val="00BD0F3B"/>
    <w:rsid w:val="00BE3F46"/>
    <w:rsid w:val="00BF7630"/>
    <w:rsid w:val="00C03EA0"/>
    <w:rsid w:val="00C113CF"/>
    <w:rsid w:val="00C220AC"/>
    <w:rsid w:val="00C232C7"/>
    <w:rsid w:val="00C23629"/>
    <w:rsid w:val="00C33467"/>
    <w:rsid w:val="00C402F3"/>
    <w:rsid w:val="00C44B90"/>
    <w:rsid w:val="00C453FB"/>
    <w:rsid w:val="00C46178"/>
    <w:rsid w:val="00C53930"/>
    <w:rsid w:val="00C75D39"/>
    <w:rsid w:val="00C836DE"/>
    <w:rsid w:val="00C90636"/>
    <w:rsid w:val="00CA2FA5"/>
    <w:rsid w:val="00CC4EB5"/>
    <w:rsid w:val="00CC6A40"/>
    <w:rsid w:val="00CD29C7"/>
    <w:rsid w:val="00CD465E"/>
    <w:rsid w:val="00CE0343"/>
    <w:rsid w:val="00CE4702"/>
    <w:rsid w:val="00CF3DDE"/>
    <w:rsid w:val="00CF4770"/>
    <w:rsid w:val="00CF4C89"/>
    <w:rsid w:val="00D16317"/>
    <w:rsid w:val="00D20A93"/>
    <w:rsid w:val="00D22E83"/>
    <w:rsid w:val="00D27BBE"/>
    <w:rsid w:val="00D40307"/>
    <w:rsid w:val="00D41BDA"/>
    <w:rsid w:val="00D44C9A"/>
    <w:rsid w:val="00D455A2"/>
    <w:rsid w:val="00D501E8"/>
    <w:rsid w:val="00D55B0B"/>
    <w:rsid w:val="00D6665E"/>
    <w:rsid w:val="00D724D5"/>
    <w:rsid w:val="00D735FE"/>
    <w:rsid w:val="00D742EA"/>
    <w:rsid w:val="00D825F6"/>
    <w:rsid w:val="00D964B1"/>
    <w:rsid w:val="00DA62DF"/>
    <w:rsid w:val="00DA6CE1"/>
    <w:rsid w:val="00DB1063"/>
    <w:rsid w:val="00DB31F5"/>
    <w:rsid w:val="00DD1512"/>
    <w:rsid w:val="00DF5E5D"/>
    <w:rsid w:val="00DF6C61"/>
    <w:rsid w:val="00E03C3C"/>
    <w:rsid w:val="00E13B69"/>
    <w:rsid w:val="00E23D84"/>
    <w:rsid w:val="00E323FA"/>
    <w:rsid w:val="00E352C7"/>
    <w:rsid w:val="00E56D14"/>
    <w:rsid w:val="00E65348"/>
    <w:rsid w:val="00E73835"/>
    <w:rsid w:val="00E847EB"/>
    <w:rsid w:val="00E858E4"/>
    <w:rsid w:val="00E93C41"/>
    <w:rsid w:val="00E94188"/>
    <w:rsid w:val="00E95660"/>
    <w:rsid w:val="00E96B36"/>
    <w:rsid w:val="00EA3473"/>
    <w:rsid w:val="00EB15A6"/>
    <w:rsid w:val="00EC2A93"/>
    <w:rsid w:val="00EC2F2B"/>
    <w:rsid w:val="00EC4C4A"/>
    <w:rsid w:val="00ED3F08"/>
    <w:rsid w:val="00EE5726"/>
    <w:rsid w:val="00EF005B"/>
    <w:rsid w:val="00EF0EBE"/>
    <w:rsid w:val="00F02C5F"/>
    <w:rsid w:val="00F03887"/>
    <w:rsid w:val="00F03F23"/>
    <w:rsid w:val="00F055C6"/>
    <w:rsid w:val="00F175EF"/>
    <w:rsid w:val="00F177EC"/>
    <w:rsid w:val="00F30C53"/>
    <w:rsid w:val="00F355FA"/>
    <w:rsid w:val="00F370D2"/>
    <w:rsid w:val="00F403C0"/>
    <w:rsid w:val="00F41180"/>
    <w:rsid w:val="00F51661"/>
    <w:rsid w:val="00F532C9"/>
    <w:rsid w:val="00F562C0"/>
    <w:rsid w:val="00F61575"/>
    <w:rsid w:val="00F647D6"/>
    <w:rsid w:val="00F737ED"/>
    <w:rsid w:val="00F81B17"/>
    <w:rsid w:val="00F85E23"/>
    <w:rsid w:val="00F86099"/>
    <w:rsid w:val="00F949CA"/>
    <w:rsid w:val="00FB08F7"/>
    <w:rsid w:val="00FB0C63"/>
    <w:rsid w:val="00FB7885"/>
    <w:rsid w:val="00FC4B2E"/>
    <w:rsid w:val="00FF026E"/>
    <w:rsid w:val="00FF430F"/>
    <w:rsid w:val="28C53843"/>
    <w:rsid w:val="29665505"/>
    <w:rsid w:val="3D4D5E7E"/>
    <w:rsid w:val="5A644BD2"/>
    <w:rsid w:val="5C4B3235"/>
    <w:rsid w:val="6F00062E"/>
    <w:rsid w:val="706376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iPriority="99"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F7F06"/>
    <w:rPr>
      <w:rFonts w:ascii="宋体"/>
      <w:sz w:val="18"/>
      <w:szCs w:val="18"/>
    </w:rPr>
  </w:style>
  <w:style w:type="paragraph" w:styleId="a4">
    <w:name w:val="annotation text"/>
    <w:basedOn w:val="a"/>
    <w:semiHidden/>
    <w:qFormat/>
    <w:rsid w:val="003F7F06"/>
    <w:pPr>
      <w:jc w:val="left"/>
    </w:pPr>
  </w:style>
  <w:style w:type="paragraph" w:styleId="a5">
    <w:name w:val="Body Text Indent"/>
    <w:basedOn w:val="a"/>
    <w:link w:val="Char0"/>
    <w:qFormat/>
    <w:rsid w:val="003F7F06"/>
    <w:pPr>
      <w:spacing w:line="400" w:lineRule="exact"/>
      <w:ind w:firstLineChars="192" w:firstLine="538"/>
    </w:pPr>
    <w:rPr>
      <w:rFonts w:ascii="仿宋_GB2312" w:eastAsia="仿宋_GB2312" w:hAnsi="宋体"/>
      <w:color w:val="000000"/>
      <w:sz w:val="28"/>
    </w:rPr>
  </w:style>
  <w:style w:type="paragraph" w:styleId="a6">
    <w:name w:val="Date"/>
    <w:basedOn w:val="a"/>
    <w:next w:val="a"/>
    <w:qFormat/>
    <w:rsid w:val="003F7F06"/>
    <w:pPr>
      <w:ind w:leftChars="2500" w:left="100"/>
    </w:pPr>
    <w:rPr>
      <w:rFonts w:ascii="仿宋_GB2312" w:eastAsia="仿宋_GB2312"/>
      <w:sz w:val="28"/>
    </w:rPr>
  </w:style>
  <w:style w:type="paragraph" w:styleId="a7">
    <w:name w:val="Balloon Text"/>
    <w:basedOn w:val="a"/>
    <w:semiHidden/>
    <w:qFormat/>
    <w:rsid w:val="003F7F06"/>
    <w:rPr>
      <w:sz w:val="18"/>
      <w:szCs w:val="18"/>
    </w:rPr>
  </w:style>
  <w:style w:type="paragraph" w:styleId="a8">
    <w:name w:val="footer"/>
    <w:basedOn w:val="a"/>
    <w:link w:val="Char1"/>
    <w:uiPriority w:val="99"/>
    <w:qFormat/>
    <w:rsid w:val="003F7F06"/>
    <w:pPr>
      <w:tabs>
        <w:tab w:val="center" w:pos="4153"/>
        <w:tab w:val="right" w:pos="8306"/>
      </w:tabs>
      <w:snapToGrid w:val="0"/>
      <w:jc w:val="left"/>
    </w:pPr>
    <w:rPr>
      <w:sz w:val="18"/>
      <w:szCs w:val="18"/>
    </w:rPr>
  </w:style>
  <w:style w:type="paragraph" w:styleId="a9">
    <w:name w:val="header"/>
    <w:basedOn w:val="a"/>
    <w:qFormat/>
    <w:rsid w:val="003F7F06"/>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semiHidden/>
    <w:rsid w:val="003F7F06"/>
    <w:rPr>
      <w:b/>
      <w:bCs/>
    </w:rPr>
  </w:style>
  <w:style w:type="table" w:styleId="ab">
    <w:name w:val="Table Grid"/>
    <w:basedOn w:val="a1"/>
    <w:uiPriority w:val="39"/>
    <w:qFormat/>
    <w:rsid w:val="003F7F0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3F7F06"/>
  </w:style>
  <w:style w:type="character" w:styleId="ad">
    <w:name w:val="annotation reference"/>
    <w:semiHidden/>
    <w:qFormat/>
    <w:rsid w:val="003F7F06"/>
    <w:rPr>
      <w:sz w:val="21"/>
      <w:szCs w:val="21"/>
    </w:rPr>
  </w:style>
  <w:style w:type="paragraph" w:customStyle="1" w:styleId="CharCharCharChar">
    <w:name w:val="Char Char Char Char"/>
    <w:basedOn w:val="a"/>
    <w:qFormat/>
    <w:rsid w:val="003F7F06"/>
    <w:pPr>
      <w:tabs>
        <w:tab w:val="left" w:pos="360"/>
      </w:tabs>
    </w:pPr>
    <w:rPr>
      <w:sz w:val="24"/>
    </w:rPr>
  </w:style>
  <w:style w:type="paragraph" w:customStyle="1" w:styleId="CharCharCharChar1">
    <w:name w:val="Char Char Char Char1"/>
    <w:basedOn w:val="a"/>
    <w:qFormat/>
    <w:rsid w:val="003F7F06"/>
    <w:pPr>
      <w:tabs>
        <w:tab w:val="left" w:pos="360"/>
      </w:tabs>
    </w:pPr>
    <w:rPr>
      <w:sz w:val="24"/>
    </w:rPr>
  </w:style>
  <w:style w:type="character" w:customStyle="1" w:styleId="Char">
    <w:name w:val="文档结构图 Char"/>
    <w:link w:val="a3"/>
    <w:qFormat/>
    <w:rsid w:val="003F7F06"/>
    <w:rPr>
      <w:rFonts w:ascii="宋体"/>
      <w:kern w:val="2"/>
      <w:sz w:val="18"/>
      <w:szCs w:val="18"/>
    </w:rPr>
  </w:style>
  <w:style w:type="character" w:customStyle="1" w:styleId="Char1">
    <w:name w:val="页脚 Char"/>
    <w:basedOn w:val="a0"/>
    <w:link w:val="a8"/>
    <w:uiPriority w:val="99"/>
    <w:qFormat/>
    <w:rsid w:val="003F7F06"/>
    <w:rPr>
      <w:kern w:val="2"/>
      <w:sz w:val="18"/>
      <w:szCs w:val="18"/>
    </w:rPr>
  </w:style>
  <w:style w:type="paragraph" w:styleId="ae">
    <w:name w:val="List Paragraph"/>
    <w:basedOn w:val="a"/>
    <w:uiPriority w:val="34"/>
    <w:qFormat/>
    <w:rsid w:val="003F7F06"/>
    <w:pPr>
      <w:ind w:firstLineChars="200" w:firstLine="420"/>
    </w:pPr>
  </w:style>
  <w:style w:type="character" w:customStyle="1" w:styleId="Char0">
    <w:name w:val="正文文本缩进 Char"/>
    <w:basedOn w:val="a0"/>
    <w:link w:val="a5"/>
    <w:qFormat/>
    <w:rsid w:val="003F7F06"/>
    <w:rPr>
      <w:rFonts w:ascii="仿宋_GB2312" w:eastAsia="仿宋_GB2312" w:hAnsi="宋体"/>
      <w:color w:val="000000"/>
      <w:kern w:val="2"/>
      <w:sz w:val="28"/>
      <w:szCs w:val="24"/>
    </w:rPr>
  </w:style>
  <w:style w:type="paragraph" w:customStyle="1" w:styleId="1">
    <w:name w:val="修订1"/>
    <w:hidden/>
    <w:uiPriority w:val="99"/>
    <w:unhideWhenUsed/>
    <w:qFormat/>
    <w:rsid w:val="003F7F0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idu.com/s?rsv_dl=re_dqa_generate&amp;sa=re_dqa_generate&amp;wd=%E4%B8%AD%E8%AF%81%E6%8C%87%E6%95%B0%E6%9C%89%E9%99%90%E5%85%AC%E5%8F%B8&amp;rsv_pq=8730c24f0140a15c&amp;oq=%E4%B8%AD%E8%AF%81%E6%96%B0%E7%94%9F%E4%BB%A3%E6%B6%88%E8%B4%B9%E4%B8%BB%E9%A2%98%E6%8C%87%E6%95%B0%E6%98%AF%E7%94%B1%E8%B0%81%E7%BC%96%E5%88%B6%E5%BC%80%E5%8F%91%E7%9A%84,%E5%AE%83%E7%9A%84%E6%A0%B7%E6%9C%AC%E9%80%89%E8%87%AA%E5%93%AA%E9%87%8C&amp;rsv_t=addbbNKAOrBHuHhtuQkxL1rYjkRvgUDHSy/t5Qs9+6OBgfKS5BU1ngJONRg&amp;tn=baidu&amp;ie=utf-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14B2-7968-4DB7-9115-42AB4E13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1947</Characters>
  <Application>Microsoft Office Word</Application>
  <DocSecurity>4</DocSecurity>
  <Lines>16</Lines>
  <Paragraphs>4</Paragraphs>
  <ScaleCrop>false</ScaleCrop>
  <Company>zrfm</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浙江浙商证券资产管理有限公司关于浙商汇金新兴消费灵活配置混合型证券投资基金变更业绩比较基准并修订基金合同等法律文件的公告</dc:title>
  <dc:creator>caoll</dc:creator>
  <cp:lastModifiedBy>ZHONGM</cp:lastModifiedBy>
  <cp:revision>2</cp:revision>
  <cp:lastPrinted>2009-10-13T09:15:00Z</cp:lastPrinted>
  <dcterms:created xsi:type="dcterms:W3CDTF">2025-05-22T16:02:00Z</dcterms:created>
  <dcterms:modified xsi:type="dcterms:W3CDTF">2025-05-22T16:02:00Z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DF8181918CF64AC381D4E88720F6CEEA_13</vt:lpwstr>
  </property>
  <property fmtid="{D5CDD505-2E9C-101B-9397-08002B2CF9AE}" pid="4" name="KSOTemplateDocerSaveRecord">
    <vt:lpwstr>eyJoZGlkIjoiYWE3Njk0NDYzMzhmYTU1ZjRlOWMzMzI4MDMxMDRlMzkiLCJ1c2VySWQiOiI5Nzc1NjkyNzIifQ==</vt:lpwstr>
  </property>
</Properties>
</file>