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3B" w:rsidRPr="001F12D1" w:rsidRDefault="00E82ECC" w:rsidP="00177B3B">
      <w:pPr>
        <w:pStyle w:val="font14"/>
        <w:jc w:val="center"/>
        <w:rPr>
          <w:rFonts w:asciiTheme="majorEastAsia" w:eastAsiaTheme="majorEastAsia" w:hAnsiTheme="majorEastAsia"/>
        </w:rPr>
      </w:pPr>
      <w:r w:rsidRPr="001F12D1">
        <w:rPr>
          <w:rStyle w:val="a8"/>
          <w:rFonts w:asciiTheme="majorEastAsia" w:eastAsiaTheme="majorEastAsia" w:hAnsiTheme="majorEastAsia" w:hint="eastAsia"/>
          <w:sz w:val="24"/>
          <w:szCs w:val="24"/>
        </w:rPr>
        <w:t>易方达基金管理有限公司</w:t>
      </w:r>
      <w:r w:rsidR="002B36C1">
        <w:rPr>
          <w:rStyle w:val="a8"/>
          <w:rFonts w:asciiTheme="majorEastAsia" w:eastAsiaTheme="majorEastAsia" w:hAnsiTheme="majorEastAsia" w:hint="eastAsia"/>
          <w:sz w:val="24"/>
          <w:szCs w:val="24"/>
        </w:rPr>
        <w:t>关于旗下基金</w:t>
      </w:r>
      <w:r w:rsidRPr="00C251FE">
        <w:rPr>
          <w:rStyle w:val="a8"/>
          <w:rFonts w:asciiTheme="majorEastAsia" w:eastAsiaTheme="majorEastAsia" w:hAnsiTheme="majorEastAsia" w:hint="eastAsia"/>
          <w:sz w:val="24"/>
          <w:szCs w:val="24"/>
        </w:rPr>
        <w:t>关联交易事项的公告</w:t>
      </w:r>
    </w:p>
    <w:p w:rsidR="00177B3B" w:rsidRPr="001F12D1" w:rsidRDefault="00E82ECC" w:rsidP="00D1620F">
      <w:pPr>
        <w:pStyle w:val="Default"/>
        <w:spacing w:line="360" w:lineRule="auto"/>
        <w:ind w:firstLineChars="210" w:firstLine="504"/>
        <w:jc w:val="both"/>
        <w:rPr>
          <w:rFonts w:asciiTheme="majorEastAsia" w:eastAsiaTheme="majorEastAsia" w:hAnsiTheme="majorEastAsia"/>
        </w:rPr>
      </w:pPr>
      <w:r w:rsidRPr="006B6352">
        <w:rPr>
          <w:rFonts w:asciiTheme="majorEastAsia" w:eastAsiaTheme="majorEastAsia" w:hAnsiTheme="majorEastAsia" w:hint="eastAsia"/>
        </w:rPr>
        <w:t>根据《公开募集证券投资基金运作管理办法》《公开募集证券投资基金信息披露管理办法》及相关法律法规、基金合同及招募说</w:t>
      </w:r>
      <w:bookmarkStart w:id="0" w:name="_GoBack"/>
      <w:bookmarkEnd w:id="0"/>
      <w:r w:rsidRPr="006B6352">
        <w:rPr>
          <w:rFonts w:asciiTheme="majorEastAsia" w:eastAsiaTheme="majorEastAsia" w:hAnsiTheme="majorEastAsia" w:hint="eastAsia"/>
        </w:rPr>
        <w:t>明书等规定，在履行规定审批程序并经基金托管人同意后，</w:t>
      </w:r>
      <w:r w:rsidR="005D1206" w:rsidRPr="005D1206">
        <w:rPr>
          <w:rFonts w:asciiTheme="majorEastAsia" w:eastAsiaTheme="majorEastAsia" w:hAnsiTheme="majorEastAsia" w:hint="eastAsia"/>
        </w:rPr>
        <w:t>易方达基金管理有限公司</w:t>
      </w:r>
      <w:r w:rsidRPr="00AF7FC5">
        <w:rPr>
          <w:rFonts w:asciiTheme="majorEastAsia" w:eastAsiaTheme="majorEastAsia" w:hAnsiTheme="majorEastAsia" w:hint="eastAsia"/>
        </w:rPr>
        <w:t>（以下简称“</w:t>
      </w:r>
      <w:r>
        <w:rPr>
          <w:rFonts w:asciiTheme="majorEastAsia" w:eastAsiaTheme="majorEastAsia" w:hAnsiTheme="majorEastAsia" w:hint="eastAsia"/>
        </w:rPr>
        <w:t>本公司</w:t>
      </w:r>
      <w:r w:rsidRPr="00AF7FC5">
        <w:rPr>
          <w:rFonts w:asciiTheme="majorEastAsia" w:eastAsiaTheme="majorEastAsia" w:hAnsiTheme="majorEastAsia" w:hint="eastAsia"/>
        </w:rPr>
        <w:t>”）</w:t>
      </w:r>
      <w:r w:rsidR="005D1206" w:rsidRPr="005D1206">
        <w:rPr>
          <w:rFonts w:asciiTheme="majorEastAsia" w:eastAsiaTheme="majorEastAsia" w:hAnsiTheme="majorEastAsia" w:hint="eastAsia"/>
        </w:rPr>
        <w:t>旗下部分公募基金</w:t>
      </w:r>
      <w:r w:rsidR="002F32A5" w:rsidRPr="002F32A5">
        <w:rPr>
          <w:rFonts w:asciiTheme="majorEastAsia" w:eastAsiaTheme="majorEastAsia" w:hAnsiTheme="majorEastAsia" w:hint="eastAsia"/>
        </w:rPr>
        <w:t>参加了</w:t>
      </w:r>
      <w:r w:rsidR="00E13983" w:rsidRPr="00E13983">
        <w:rPr>
          <w:rFonts w:asciiTheme="majorEastAsia" w:eastAsiaTheme="majorEastAsia" w:hAnsiTheme="majorEastAsia" w:hint="eastAsia"/>
        </w:rPr>
        <w:t>江苏恒瑞医药股份有限公司</w:t>
      </w:r>
      <w:r w:rsidR="002A359B" w:rsidRPr="00AF7FC5">
        <w:rPr>
          <w:rFonts w:asciiTheme="majorEastAsia" w:eastAsiaTheme="majorEastAsia" w:hAnsiTheme="majorEastAsia" w:hint="eastAsia"/>
        </w:rPr>
        <w:t>（以下简称“</w:t>
      </w:r>
      <w:r w:rsidR="00E13983" w:rsidRPr="00E13983">
        <w:rPr>
          <w:rFonts w:asciiTheme="majorEastAsia" w:eastAsiaTheme="majorEastAsia" w:hAnsiTheme="majorEastAsia" w:hint="eastAsia"/>
        </w:rPr>
        <w:t>恒瑞医药</w:t>
      </w:r>
      <w:r w:rsidR="002A359B" w:rsidRPr="00AF7FC5">
        <w:rPr>
          <w:rFonts w:asciiTheme="majorEastAsia" w:eastAsiaTheme="majorEastAsia" w:hAnsiTheme="majorEastAsia" w:hint="eastAsia"/>
        </w:rPr>
        <w:t>”）</w:t>
      </w:r>
      <w:r w:rsidR="002A0E60">
        <w:rPr>
          <w:rFonts w:asciiTheme="majorEastAsia" w:eastAsiaTheme="majorEastAsia" w:hAnsiTheme="majorEastAsia" w:hint="eastAsia"/>
        </w:rPr>
        <w:t>于香港联合交易所进行的</w:t>
      </w:r>
      <w:r w:rsidR="00FA67B9" w:rsidRPr="00FA67B9">
        <w:rPr>
          <w:rFonts w:asciiTheme="majorEastAsia" w:eastAsiaTheme="majorEastAsia" w:hAnsiTheme="majorEastAsia" w:hint="eastAsia"/>
        </w:rPr>
        <w:t>公开发行境外上市外资股</w:t>
      </w:r>
      <w:r w:rsidR="00DB7585">
        <w:rPr>
          <w:rFonts w:asciiTheme="majorEastAsia" w:eastAsiaTheme="majorEastAsia" w:hAnsiTheme="majorEastAsia" w:hint="eastAsia"/>
        </w:rPr>
        <w:t>股票的申购</w:t>
      </w:r>
      <w:r w:rsidR="00E83548">
        <w:rPr>
          <w:rFonts w:asciiTheme="majorEastAsia" w:eastAsiaTheme="majorEastAsia" w:hAnsiTheme="majorEastAsia" w:hint="eastAsia"/>
        </w:rPr>
        <w:t>。</w:t>
      </w:r>
      <w:r w:rsidR="00E83548" w:rsidRPr="00E13983">
        <w:rPr>
          <w:rFonts w:asciiTheme="majorEastAsia" w:eastAsiaTheme="majorEastAsia" w:hAnsiTheme="majorEastAsia" w:hint="eastAsia"/>
        </w:rPr>
        <w:t>恒瑞医药</w:t>
      </w:r>
      <w:r w:rsidR="00E83548" w:rsidRPr="00E83548">
        <w:rPr>
          <w:rFonts w:asciiTheme="majorEastAsia" w:eastAsiaTheme="majorEastAsia" w:hAnsiTheme="majorEastAsia" w:hint="eastAsia"/>
        </w:rPr>
        <w:t>本次发行的</w:t>
      </w:r>
      <w:r w:rsidR="002A0E60">
        <w:rPr>
          <w:rFonts w:asciiTheme="majorEastAsia" w:eastAsiaTheme="majorEastAsia" w:hAnsiTheme="majorEastAsia" w:hint="eastAsia"/>
        </w:rPr>
        <w:t>香港承销商</w:t>
      </w:r>
      <w:r w:rsidR="00E83548" w:rsidRPr="00AF7FC5">
        <w:rPr>
          <w:rFonts w:asciiTheme="majorEastAsia" w:eastAsiaTheme="majorEastAsia" w:hAnsiTheme="majorEastAsia"/>
        </w:rPr>
        <w:t>广发证券</w:t>
      </w:r>
      <w:r w:rsidR="00E83548">
        <w:rPr>
          <w:rFonts w:asciiTheme="majorEastAsia" w:eastAsiaTheme="majorEastAsia" w:hAnsiTheme="majorEastAsia" w:hint="eastAsia"/>
        </w:rPr>
        <w:t>（</w:t>
      </w:r>
      <w:r w:rsidR="00E83548" w:rsidRPr="00AF7FC5">
        <w:rPr>
          <w:rFonts w:asciiTheme="majorEastAsia" w:eastAsiaTheme="majorEastAsia" w:hAnsiTheme="majorEastAsia"/>
        </w:rPr>
        <w:t>香港</w:t>
      </w:r>
      <w:r w:rsidR="00E83548">
        <w:rPr>
          <w:rFonts w:asciiTheme="majorEastAsia" w:eastAsiaTheme="majorEastAsia" w:hAnsiTheme="majorEastAsia" w:hint="eastAsia"/>
        </w:rPr>
        <w:t>）</w:t>
      </w:r>
      <w:r w:rsidR="00E83548" w:rsidRPr="00AF7FC5">
        <w:rPr>
          <w:rFonts w:asciiTheme="majorEastAsia" w:eastAsiaTheme="majorEastAsia" w:hAnsiTheme="majorEastAsia"/>
        </w:rPr>
        <w:t>经纪有限公司</w:t>
      </w:r>
      <w:r w:rsidR="00E83548">
        <w:rPr>
          <w:rFonts w:asciiTheme="majorEastAsia" w:eastAsiaTheme="majorEastAsia" w:hAnsiTheme="majorEastAsia" w:hint="eastAsia"/>
        </w:rPr>
        <w:t>为</w:t>
      </w:r>
      <w:r>
        <w:rPr>
          <w:rFonts w:asciiTheme="majorEastAsia" w:eastAsiaTheme="majorEastAsia" w:hAnsiTheme="majorEastAsia" w:hint="eastAsia"/>
        </w:rPr>
        <w:t>本公司</w:t>
      </w:r>
      <w:r w:rsidR="00E83548">
        <w:rPr>
          <w:rFonts w:asciiTheme="majorEastAsia" w:eastAsiaTheme="majorEastAsia" w:hAnsiTheme="majorEastAsia" w:hint="eastAsia"/>
        </w:rPr>
        <w:t>非控股股东广发证券股份有限公司的子公司；</w:t>
      </w:r>
      <w:r w:rsidR="00E83548" w:rsidRPr="00E83548">
        <w:rPr>
          <w:rFonts w:asciiTheme="majorEastAsia" w:eastAsiaTheme="majorEastAsia" w:hAnsiTheme="majorEastAsia" w:hint="eastAsia"/>
        </w:rPr>
        <w:t>同时，</w:t>
      </w:r>
      <w:r w:rsidR="00E83548" w:rsidRPr="00E13983">
        <w:rPr>
          <w:rFonts w:asciiTheme="majorEastAsia" w:eastAsiaTheme="majorEastAsia" w:hAnsiTheme="majorEastAsia" w:hint="eastAsia"/>
        </w:rPr>
        <w:t>恒瑞医药</w:t>
      </w:r>
      <w:r w:rsidR="00E83548" w:rsidRPr="00E83548">
        <w:rPr>
          <w:rFonts w:asciiTheme="majorEastAsia" w:eastAsiaTheme="majorEastAsia" w:hAnsiTheme="majorEastAsia" w:hint="eastAsia"/>
        </w:rPr>
        <w:t>本次发行的</w:t>
      </w:r>
      <w:r w:rsidR="002A0E60">
        <w:rPr>
          <w:rFonts w:asciiTheme="majorEastAsia" w:eastAsiaTheme="majorEastAsia" w:hAnsiTheme="majorEastAsia" w:hint="eastAsia"/>
        </w:rPr>
        <w:t>香港承销商</w:t>
      </w:r>
      <w:r w:rsidR="00E83548">
        <w:rPr>
          <w:rFonts w:asciiTheme="majorEastAsia" w:eastAsiaTheme="majorEastAsia" w:hAnsiTheme="majorEastAsia" w:hint="eastAsia"/>
        </w:rPr>
        <w:t>中银国际亚洲有限公司</w:t>
      </w:r>
      <w:r>
        <w:rPr>
          <w:rFonts w:asciiTheme="majorEastAsia" w:eastAsiaTheme="majorEastAsia" w:hAnsiTheme="majorEastAsia" w:hint="eastAsia"/>
        </w:rPr>
        <w:t>的最终控股公司</w:t>
      </w:r>
      <w:r w:rsidR="00E83548">
        <w:rPr>
          <w:rFonts w:asciiTheme="majorEastAsia" w:eastAsiaTheme="majorEastAsia" w:hAnsiTheme="majorEastAsia" w:hint="eastAsia"/>
        </w:rPr>
        <w:t>为</w:t>
      </w:r>
      <w:r>
        <w:rPr>
          <w:rFonts w:asciiTheme="majorEastAsia" w:eastAsiaTheme="majorEastAsia" w:hAnsiTheme="majorEastAsia" w:hint="eastAsia"/>
        </w:rPr>
        <w:t>本公司</w:t>
      </w:r>
      <w:r w:rsidR="00E83548" w:rsidRPr="00E83548">
        <w:rPr>
          <w:rFonts w:asciiTheme="majorEastAsia" w:eastAsiaTheme="majorEastAsia" w:hAnsiTheme="majorEastAsia" w:hint="eastAsia"/>
        </w:rPr>
        <w:t>旗下部分公募基金的托管人</w:t>
      </w:r>
      <w:r w:rsidR="00E83548">
        <w:rPr>
          <w:rFonts w:asciiTheme="majorEastAsia" w:eastAsiaTheme="majorEastAsia" w:hAnsiTheme="majorEastAsia" w:hint="eastAsia"/>
        </w:rPr>
        <w:t>中国银行股份有限公司。</w:t>
      </w:r>
      <w:r w:rsidR="00E13983" w:rsidRPr="00E13983">
        <w:rPr>
          <w:rFonts w:asciiTheme="majorEastAsia" w:eastAsiaTheme="majorEastAsia" w:hAnsiTheme="majorEastAsia" w:hint="eastAsia"/>
        </w:rPr>
        <w:t>恒瑞医药</w:t>
      </w:r>
      <w:r w:rsidRPr="00C251FE">
        <w:rPr>
          <w:rFonts w:asciiTheme="majorEastAsia" w:eastAsiaTheme="majorEastAsia" w:hAnsiTheme="majorEastAsia" w:hint="eastAsia"/>
        </w:rPr>
        <w:t>本次发行价格为</w:t>
      </w:r>
      <w:r w:rsidR="00E13983" w:rsidRPr="00E13983">
        <w:rPr>
          <w:rFonts w:asciiTheme="majorEastAsia" w:eastAsiaTheme="majorEastAsia" w:hAnsiTheme="majorEastAsia"/>
        </w:rPr>
        <w:t>44.05</w:t>
      </w:r>
      <w:r w:rsidR="00AF7FC5" w:rsidRPr="00AF7FC5">
        <w:rPr>
          <w:rFonts w:asciiTheme="majorEastAsia" w:eastAsiaTheme="majorEastAsia" w:hAnsiTheme="majorEastAsia" w:hint="eastAsia"/>
        </w:rPr>
        <w:t>港</w:t>
      </w:r>
      <w:r w:rsidRPr="00C251FE">
        <w:rPr>
          <w:rFonts w:asciiTheme="majorEastAsia" w:eastAsiaTheme="majorEastAsia" w:hAnsiTheme="majorEastAsia" w:hint="eastAsia"/>
        </w:rPr>
        <w:t>元</w:t>
      </w:r>
      <w:r w:rsidRPr="00C251FE">
        <w:rPr>
          <w:rFonts w:asciiTheme="majorEastAsia" w:eastAsiaTheme="majorEastAsia" w:hAnsiTheme="majorEastAsia" w:hint="eastAsia"/>
        </w:rPr>
        <w:t>/</w:t>
      </w:r>
      <w:r w:rsidRPr="00C251FE">
        <w:rPr>
          <w:rFonts w:asciiTheme="majorEastAsia" w:eastAsiaTheme="majorEastAsia" w:hAnsiTheme="majorEastAsia" w:hint="eastAsia"/>
        </w:rPr>
        <w:t>股，</w:t>
      </w:r>
      <w:r w:rsidRPr="009F700D">
        <w:rPr>
          <w:rFonts w:asciiTheme="majorEastAsia" w:eastAsiaTheme="majorEastAsia" w:hAnsiTheme="majorEastAsia" w:hint="eastAsia"/>
        </w:rPr>
        <w:t>由</w:t>
      </w:r>
      <w:r w:rsidR="00402751" w:rsidRPr="00402751">
        <w:rPr>
          <w:rFonts w:asciiTheme="majorEastAsia" w:eastAsiaTheme="majorEastAsia" w:hAnsiTheme="majorEastAsia" w:hint="eastAsia"/>
        </w:rPr>
        <w:t>发行人与</w:t>
      </w:r>
      <w:r w:rsidR="008F2999">
        <w:rPr>
          <w:rFonts w:asciiTheme="majorEastAsia" w:eastAsiaTheme="majorEastAsia" w:hAnsiTheme="majorEastAsia" w:hint="eastAsia"/>
        </w:rPr>
        <w:t>整体协调人（为其本身及代表</w:t>
      </w:r>
      <w:r w:rsidR="002A0E60">
        <w:rPr>
          <w:rFonts w:asciiTheme="majorEastAsia" w:eastAsiaTheme="majorEastAsia" w:hAnsiTheme="majorEastAsia" w:hint="eastAsia"/>
        </w:rPr>
        <w:t>承</w:t>
      </w:r>
      <w:r w:rsidR="008F2999">
        <w:rPr>
          <w:rFonts w:asciiTheme="majorEastAsia" w:eastAsiaTheme="majorEastAsia" w:hAnsiTheme="majorEastAsia" w:hint="eastAsia"/>
        </w:rPr>
        <w:t>销商</w:t>
      </w:r>
      <w:r w:rsidR="00402751" w:rsidRPr="00402751">
        <w:rPr>
          <w:rFonts w:asciiTheme="majorEastAsia" w:eastAsiaTheme="majorEastAsia" w:hAnsiTheme="majorEastAsia" w:hint="eastAsia"/>
        </w:rPr>
        <w:t>）</w:t>
      </w:r>
      <w:r w:rsidR="008F2999">
        <w:rPr>
          <w:rFonts w:asciiTheme="majorEastAsia" w:eastAsiaTheme="majorEastAsia" w:hAnsiTheme="majorEastAsia" w:hint="eastAsia"/>
        </w:rPr>
        <w:t>磋商</w:t>
      </w:r>
      <w:r w:rsidRPr="00C251FE">
        <w:rPr>
          <w:rFonts w:asciiTheme="majorEastAsia" w:eastAsiaTheme="majorEastAsia" w:hAnsiTheme="majorEastAsia" w:hint="eastAsia"/>
        </w:rPr>
        <w:t>确定。</w:t>
      </w:r>
    </w:p>
    <w:p w:rsidR="00177B3B" w:rsidRDefault="00E82ECC" w:rsidP="00177B3B">
      <w:pPr>
        <w:pStyle w:val="Default"/>
        <w:spacing w:line="360" w:lineRule="auto"/>
        <w:ind w:firstLineChars="210" w:firstLine="504"/>
        <w:rPr>
          <w:rFonts w:asciiTheme="majorEastAsia" w:eastAsiaTheme="majorEastAsia" w:hAnsiTheme="majorEastAsia"/>
        </w:rPr>
      </w:pPr>
      <w:r w:rsidRPr="001F12D1">
        <w:rPr>
          <w:rFonts w:asciiTheme="majorEastAsia" w:eastAsiaTheme="majorEastAsia" w:hAnsiTheme="majorEastAsia" w:hint="eastAsia"/>
        </w:rPr>
        <w:t>现将获配结果披露如下表：</w:t>
      </w:r>
    </w:p>
    <w:p w:rsidR="00402751" w:rsidRPr="001F12D1" w:rsidRDefault="00402751" w:rsidP="00402751">
      <w:pPr>
        <w:pStyle w:val="Default"/>
        <w:spacing w:line="360" w:lineRule="auto"/>
        <w:rPr>
          <w:rFonts w:asciiTheme="majorEastAsia" w:eastAsiaTheme="majorEastAsia" w:hAnsiTheme="majorEastAsia"/>
        </w:rPr>
      </w:pPr>
    </w:p>
    <w:tbl>
      <w:tblPr>
        <w:tblW w:w="8212" w:type="dxa"/>
        <w:tblInd w:w="118" w:type="dxa"/>
        <w:tblLook w:val="04A0"/>
      </w:tblPr>
      <w:tblGrid>
        <w:gridCol w:w="3392"/>
        <w:gridCol w:w="1560"/>
        <w:gridCol w:w="1842"/>
        <w:gridCol w:w="1418"/>
      </w:tblGrid>
      <w:tr w:rsidR="0096216C" w:rsidTr="00F16753">
        <w:trPr>
          <w:trHeight w:val="29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获配数量（股）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获配金额（港元）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</w:t>
            </w: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托管人是否为中国银行</w:t>
            </w:r>
          </w:p>
        </w:tc>
      </w:tr>
      <w:tr w:rsidR="0096216C" w:rsidTr="00F16753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易方达全球医药行业混合型发起式证券投资基金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603,000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26,562,150.00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96216C" w:rsidTr="00F16753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易方达全球成长精选混合型证券投资基金（</w:t>
            </w: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QDII</w:t>
            </w: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158,600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6,986,330.00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96216C" w:rsidTr="00F16753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易方达全球优质企业混合型证券投资基金（</w:t>
            </w: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QDII</w:t>
            </w: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320,800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14,131,240.00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96216C" w:rsidTr="00F16753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易方达全球配置混合型证券投资基金（</w:t>
            </w: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QDII</w:t>
            </w: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68,000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2,995,400.00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96216C" w:rsidTr="00F16753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易方达标普全球高端消费品指数增强型证券投资基金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37,600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1,656,280.00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96216C" w:rsidTr="00F16753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易方达恒生中国企业交易型开放式指数证券投资基金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56,600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2,493,230.00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96216C" w:rsidTr="00F16753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易方达恒生科技交易型开放式指数证券投资基金（</w:t>
            </w: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QDII</w:t>
            </w: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75,200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3,312,560.00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96216C" w:rsidTr="00F16753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易方达中证海外中国互联网</w:t>
            </w: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交易型开放式指数证券投资基金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219,800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9,682,190.00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96216C" w:rsidTr="00F16753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易方达恒生交易型开放式指数证券投资基金（</w:t>
            </w: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QDII</w:t>
            </w: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17,620.00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753" w:rsidRPr="00F16753" w:rsidRDefault="00E82ECC" w:rsidP="00F167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6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</w:tbl>
    <w:p w:rsidR="00177B3B" w:rsidRPr="001F12D1" w:rsidRDefault="00177B3B" w:rsidP="00177B3B">
      <w:pPr>
        <w:widowControl/>
        <w:spacing w:line="360" w:lineRule="auto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177B3B" w:rsidRPr="001F12D1" w:rsidRDefault="00E82ECC" w:rsidP="00177B3B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F12D1">
        <w:rPr>
          <w:rFonts w:asciiTheme="majorEastAsia" w:eastAsiaTheme="majorEastAsia" w:hAnsiTheme="majorEastAsia" w:cs="宋体" w:hint="eastAsia"/>
          <w:kern w:val="0"/>
          <w:sz w:val="24"/>
        </w:rPr>
        <w:lastRenderedPageBreak/>
        <w:t>特此公告。</w:t>
      </w:r>
    </w:p>
    <w:p w:rsidR="00177B3B" w:rsidRPr="001F12D1" w:rsidRDefault="00E82ECC" w:rsidP="00177B3B">
      <w:pPr>
        <w:widowControl/>
        <w:spacing w:line="360" w:lineRule="auto"/>
        <w:ind w:firstLine="480"/>
        <w:jc w:val="left"/>
        <w:rPr>
          <w:rFonts w:asciiTheme="majorEastAsia" w:eastAsiaTheme="majorEastAsia" w:hAnsiTheme="majorEastAsia"/>
          <w:kern w:val="0"/>
          <w:sz w:val="24"/>
        </w:rPr>
      </w:pPr>
      <w:r w:rsidRPr="001F12D1">
        <w:rPr>
          <w:rFonts w:asciiTheme="majorEastAsia" w:eastAsiaTheme="majorEastAsia" w:hAnsiTheme="majorEastAsia"/>
          <w:kern w:val="0"/>
          <w:sz w:val="24"/>
        </w:rPr>
        <w:t> </w:t>
      </w:r>
    </w:p>
    <w:p w:rsidR="00177B3B" w:rsidRPr="001F12D1" w:rsidRDefault="00E82ECC" w:rsidP="00177B3B">
      <w:pPr>
        <w:widowControl/>
        <w:ind w:firstLineChars="200" w:firstLine="480"/>
        <w:jc w:val="right"/>
        <w:rPr>
          <w:rFonts w:asciiTheme="majorEastAsia" w:eastAsiaTheme="majorEastAsia" w:hAnsiTheme="majorEastAsia" w:cs="宋体"/>
          <w:kern w:val="0"/>
          <w:sz w:val="24"/>
        </w:rPr>
      </w:pPr>
      <w:r w:rsidRPr="001F12D1">
        <w:rPr>
          <w:rFonts w:asciiTheme="majorEastAsia" w:eastAsiaTheme="majorEastAsia" w:hAnsiTheme="majorEastAsia"/>
          <w:kern w:val="0"/>
          <w:sz w:val="24"/>
        </w:rPr>
        <w:t xml:space="preserve">    </w:t>
      </w:r>
      <w:r w:rsidRPr="001F12D1">
        <w:rPr>
          <w:rFonts w:asciiTheme="majorEastAsia" w:eastAsiaTheme="majorEastAsia" w:hAnsiTheme="majorEastAsia" w:cs="宋体" w:hint="eastAsia"/>
          <w:kern w:val="0"/>
          <w:sz w:val="24"/>
        </w:rPr>
        <w:t xml:space="preserve">　　　　　　　</w:t>
      </w:r>
    </w:p>
    <w:p w:rsidR="00177B3B" w:rsidRPr="00F16753" w:rsidRDefault="00E82ECC" w:rsidP="00177B3B">
      <w:pPr>
        <w:widowControl/>
        <w:ind w:right="723" w:firstLineChars="200" w:firstLine="480"/>
        <w:jc w:val="right"/>
        <w:rPr>
          <w:rFonts w:asciiTheme="majorEastAsia" w:eastAsiaTheme="majorEastAsia" w:hAnsiTheme="majorEastAsia" w:cs="宋体"/>
          <w:kern w:val="0"/>
          <w:sz w:val="24"/>
        </w:rPr>
      </w:pPr>
      <w:r w:rsidRPr="00F16753">
        <w:rPr>
          <w:rFonts w:asciiTheme="majorEastAsia" w:eastAsiaTheme="majorEastAsia" w:hAnsiTheme="majorEastAsia" w:cs="宋体" w:hint="eastAsia"/>
          <w:kern w:val="0"/>
          <w:sz w:val="24"/>
        </w:rPr>
        <w:t>易方达基金管理有限公司</w:t>
      </w:r>
    </w:p>
    <w:p w:rsidR="00177B3B" w:rsidRPr="00F16753" w:rsidRDefault="00E82ECC" w:rsidP="00177B3B">
      <w:pPr>
        <w:widowControl/>
        <w:wordWrap w:val="0"/>
        <w:ind w:right="964"/>
        <w:jc w:val="right"/>
        <w:rPr>
          <w:rFonts w:asciiTheme="majorEastAsia" w:eastAsiaTheme="majorEastAsia" w:hAnsiTheme="majorEastAsia" w:cs="宋体"/>
          <w:kern w:val="0"/>
          <w:szCs w:val="21"/>
        </w:rPr>
      </w:pPr>
      <w:r w:rsidRPr="00F16753">
        <w:rPr>
          <w:rFonts w:asciiTheme="majorEastAsia" w:eastAsiaTheme="majorEastAsia" w:hAnsiTheme="majorEastAsia" w:cs="宋体" w:hint="eastAsia"/>
          <w:bCs/>
          <w:kern w:val="0"/>
          <w:szCs w:val="21"/>
        </w:rPr>
        <w:t>202</w:t>
      </w:r>
      <w:r w:rsidR="009E62F0" w:rsidRPr="00F16753">
        <w:rPr>
          <w:rFonts w:asciiTheme="majorEastAsia" w:eastAsiaTheme="majorEastAsia" w:hAnsiTheme="majorEastAsia" w:cs="宋体"/>
          <w:bCs/>
          <w:kern w:val="0"/>
          <w:szCs w:val="21"/>
        </w:rPr>
        <w:t>5</w:t>
      </w:r>
      <w:r w:rsidRPr="00F16753">
        <w:rPr>
          <w:rFonts w:asciiTheme="majorEastAsia" w:eastAsiaTheme="majorEastAsia" w:hAnsiTheme="majorEastAsia" w:cs="宋体" w:hint="eastAsia"/>
          <w:bCs/>
          <w:kern w:val="0"/>
          <w:szCs w:val="21"/>
        </w:rPr>
        <w:t>年</w:t>
      </w:r>
      <w:r w:rsidR="00E13983" w:rsidRPr="00F16753">
        <w:rPr>
          <w:rFonts w:asciiTheme="majorEastAsia" w:eastAsiaTheme="majorEastAsia" w:hAnsiTheme="majorEastAsia" w:cs="宋体"/>
          <w:bCs/>
          <w:kern w:val="0"/>
          <w:szCs w:val="21"/>
        </w:rPr>
        <w:t>5</w:t>
      </w:r>
      <w:r w:rsidRPr="00F16753">
        <w:rPr>
          <w:rFonts w:asciiTheme="majorEastAsia" w:eastAsiaTheme="majorEastAsia" w:hAnsiTheme="majorEastAsia" w:cs="宋体" w:hint="eastAsia"/>
          <w:bCs/>
          <w:kern w:val="0"/>
          <w:szCs w:val="21"/>
        </w:rPr>
        <w:t>月</w:t>
      </w:r>
      <w:r w:rsidR="00E13983" w:rsidRPr="00F16753">
        <w:rPr>
          <w:rFonts w:asciiTheme="majorEastAsia" w:eastAsiaTheme="majorEastAsia" w:hAnsiTheme="majorEastAsia" w:cs="宋体"/>
          <w:bCs/>
          <w:kern w:val="0"/>
          <w:szCs w:val="21"/>
        </w:rPr>
        <w:t>23</w:t>
      </w:r>
      <w:r w:rsidRPr="00F16753">
        <w:rPr>
          <w:rFonts w:asciiTheme="majorEastAsia" w:eastAsiaTheme="majorEastAsia" w:hAnsiTheme="majorEastAsia" w:cs="宋体" w:hint="eastAsia"/>
          <w:bCs/>
          <w:kern w:val="0"/>
          <w:szCs w:val="21"/>
        </w:rPr>
        <w:t>日</w:t>
      </w:r>
    </w:p>
    <w:p w:rsidR="00177B3B" w:rsidRPr="001F12D1" w:rsidRDefault="00177B3B" w:rsidP="00177B3B">
      <w:pPr>
        <w:rPr>
          <w:rFonts w:asciiTheme="majorEastAsia" w:eastAsiaTheme="majorEastAsia" w:hAnsiTheme="majorEastAsia"/>
        </w:rPr>
      </w:pPr>
    </w:p>
    <w:p w:rsidR="00177B3B" w:rsidRPr="001F12D1" w:rsidRDefault="00177B3B" w:rsidP="00177B3B">
      <w:pPr>
        <w:rPr>
          <w:rFonts w:asciiTheme="majorEastAsia" w:eastAsiaTheme="majorEastAsia" w:hAnsiTheme="majorEastAsia"/>
        </w:rPr>
      </w:pPr>
    </w:p>
    <w:p w:rsidR="00F561F7" w:rsidRPr="00177B3B" w:rsidRDefault="00F561F7" w:rsidP="00C85A50"/>
    <w:sectPr w:rsidR="00F561F7" w:rsidRPr="00177B3B" w:rsidSect="006D0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李清芳">
    <w15:presenceInfo w15:providerId="None" w15:userId="李清芳"/>
  </w15:person>
  <w15:person w15:author="颜鹏">
    <w15:presenceInfo w15:providerId="None" w15:userId="颜鹏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F64"/>
    <w:rsid w:val="00037F8D"/>
    <w:rsid w:val="0006133F"/>
    <w:rsid w:val="00083996"/>
    <w:rsid w:val="000E1D22"/>
    <w:rsid w:val="000F1B3C"/>
    <w:rsid w:val="00104016"/>
    <w:rsid w:val="0012729F"/>
    <w:rsid w:val="00164126"/>
    <w:rsid w:val="00177B3B"/>
    <w:rsid w:val="0018047E"/>
    <w:rsid w:val="001C62C9"/>
    <w:rsid w:val="001E31BA"/>
    <w:rsid w:val="001E4F51"/>
    <w:rsid w:val="001F12D1"/>
    <w:rsid w:val="0022203A"/>
    <w:rsid w:val="00225437"/>
    <w:rsid w:val="00282BB5"/>
    <w:rsid w:val="002A0E60"/>
    <w:rsid w:val="002A359B"/>
    <w:rsid w:val="002B36C1"/>
    <w:rsid w:val="002E42F7"/>
    <w:rsid w:val="002F12C4"/>
    <w:rsid w:val="002F32A5"/>
    <w:rsid w:val="00304C1B"/>
    <w:rsid w:val="00321AEA"/>
    <w:rsid w:val="0032467A"/>
    <w:rsid w:val="00351EB9"/>
    <w:rsid w:val="003A7524"/>
    <w:rsid w:val="003C560F"/>
    <w:rsid w:val="003F0261"/>
    <w:rsid w:val="00402751"/>
    <w:rsid w:val="0041754A"/>
    <w:rsid w:val="0042083E"/>
    <w:rsid w:val="00425E3F"/>
    <w:rsid w:val="00434C61"/>
    <w:rsid w:val="00445FC6"/>
    <w:rsid w:val="00486C86"/>
    <w:rsid w:val="004B32FF"/>
    <w:rsid w:val="004E5A83"/>
    <w:rsid w:val="004F1B0A"/>
    <w:rsid w:val="005116B8"/>
    <w:rsid w:val="0052196E"/>
    <w:rsid w:val="00576FC1"/>
    <w:rsid w:val="00583174"/>
    <w:rsid w:val="005972B2"/>
    <w:rsid w:val="005B7224"/>
    <w:rsid w:val="005D1206"/>
    <w:rsid w:val="005D572F"/>
    <w:rsid w:val="00632910"/>
    <w:rsid w:val="00636371"/>
    <w:rsid w:val="00643147"/>
    <w:rsid w:val="00670715"/>
    <w:rsid w:val="00675F63"/>
    <w:rsid w:val="006765A6"/>
    <w:rsid w:val="00682D73"/>
    <w:rsid w:val="0069676A"/>
    <w:rsid w:val="006B006F"/>
    <w:rsid w:val="006B6352"/>
    <w:rsid w:val="006C066C"/>
    <w:rsid w:val="006D05F5"/>
    <w:rsid w:val="006E57F0"/>
    <w:rsid w:val="007124FD"/>
    <w:rsid w:val="007263A6"/>
    <w:rsid w:val="007719BC"/>
    <w:rsid w:val="0077544C"/>
    <w:rsid w:val="007A3C4F"/>
    <w:rsid w:val="008578F7"/>
    <w:rsid w:val="008E4A88"/>
    <w:rsid w:val="008F2999"/>
    <w:rsid w:val="009159C4"/>
    <w:rsid w:val="00937D43"/>
    <w:rsid w:val="00954324"/>
    <w:rsid w:val="0096216C"/>
    <w:rsid w:val="0097471D"/>
    <w:rsid w:val="009E62F0"/>
    <w:rsid w:val="009F5D05"/>
    <w:rsid w:val="009F700D"/>
    <w:rsid w:val="00A24DE8"/>
    <w:rsid w:val="00A414E5"/>
    <w:rsid w:val="00A528BA"/>
    <w:rsid w:val="00A60E9F"/>
    <w:rsid w:val="00AD1CEF"/>
    <w:rsid w:val="00AF7FC5"/>
    <w:rsid w:val="00B10349"/>
    <w:rsid w:val="00B20F09"/>
    <w:rsid w:val="00B56F95"/>
    <w:rsid w:val="00BC0DAA"/>
    <w:rsid w:val="00C251FE"/>
    <w:rsid w:val="00C35CB6"/>
    <w:rsid w:val="00C67BB8"/>
    <w:rsid w:val="00C85A50"/>
    <w:rsid w:val="00D11E8C"/>
    <w:rsid w:val="00D1620F"/>
    <w:rsid w:val="00D34298"/>
    <w:rsid w:val="00D40F64"/>
    <w:rsid w:val="00D503EF"/>
    <w:rsid w:val="00D75BCE"/>
    <w:rsid w:val="00DB7585"/>
    <w:rsid w:val="00DF5CDD"/>
    <w:rsid w:val="00E00FAE"/>
    <w:rsid w:val="00E13983"/>
    <w:rsid w:val="00E82ECC"/>
    <w:rsid w:val="00E83548"/>
    <w:rsid w:val="00E905FC"/>
    <w:rsid w:val="00EC7FBE"/>
    <w:rsid w:val="00EE1D32"/>
    <w:rsid w:val="00EF58BF"/>
    <w:rsid w:val="00EF791A"/>
    <w:rsid w:val="00F16753"/>
    <w:rsid w:val="00F254EC"/>
    <w:rsid w:val="00F431E2"/>
    <w:rsid w:val="00F561F7"/>
    <w:rsid w:val="00F60BA1"/>
    <w:rsid w:val="00F649D0"/>
    <w:rsid w:val="00F72F45"/>
    <w:rsid w:val="00F830F1"/>
    <w:rsid w:val="00FA67B9"/>
    <w:rsid w:val="00FB3A10"/>
    <w:rsid w:val="00FC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434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C6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434C61"/>
    <w:rPr>
      <w:sz w:val="18"/>
      <w:szCs w:val="18"/>
    </w:rPr>
  </w:style>
  <w:style w:type="character" w:styleId="a5">
    <w:name w:val="annotation reference"/>
    <w:semiHidden/>
    <w:rsid w:val="00434C61"/>
    <w:rPr>
      <w:rFonts w:cs="Times New Roman"/>
      <w:sz w:val="21"/>
      <w:szCs w:val="21"/>
    </w:rPr>
  </w:style>
  <w:style w:type="paragraph" w:styleId="a6">
    <w:name w:val="annotation text"/>
    <w:basedOn w:val="a"/>
    <w:link w:val="Char1"/>
    <w:semiHidden/>
    <w:rsid w:val="00434C61"/>
    <w:pPr>
      <w:jc w:val="left"/>
    </w:pPr>
    <w:rPr>
      <w:kern w:val="0"/>
      <w:sz w:val="20"/>
      <w:szCs w:val="20"/>
    </w:rPr>
  </w:style>
  <w:style w:type="character" w:customStyle="1" w:styleId="Char1">
    <w:name w:val="批注文字 Char"/>
    <w:link w:val="a6"/>
    <w:semiHidden/>
    <w:rsid w:val="00434C61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434C6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434C61"/>
    <w:rPr>
      <w:rFonts w:ascii="Calibri" w:eastAsia="宋体" w:hAnsi="Calibri" w:cs="Times New Roman"/>
      <w:sz w:val="18"/>
      <w:szCs w:val="18"/>
    </w:rPr>
  </w:style>
  <w:style w:type="character" w:styleId="a8">
    <w:name w:val="Strong"/>
    <w:uiPriority w:val="22"/>
    <w:qFormat/>
    <w:rsid w:val="006B006F"/>
    <w:rPr>
      <w:rFonts w:ascii="Times New Roman" w:hAnsi="Times New Roman" w:cs="Times New Roman" w:hint="default"/>
      <w:b/>
      <w:bCs/>
    </w:rPr>
  </w:style>
  <w:style w:type="paragraph" w:customStyle="1" w:styleId="font14">
    <w:name w:val="font14"/>
    <w:basedOn w:val="a"/>
    <w:uiPriority w:val="99"/>
    <w:rsid w:val="006B006F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19"/>
      <w:szCs w:val="19"/>
    </w:rPr>
  </w:style>
  <w:style w:type="paragraph" w:customStyle="1" w:styleId="Default">
    <w:name w:val="Default"/>
    <w:rsid w:val="006B006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D5F8-D9F2-44A1-8C31-0CD0BCB0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4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2025-05-22T16:02:00Z</dcterms:created>
  <dcterms:modified xsi:type="dcterms:W3CDTF">2025-05-22T16:02:00Z</dcterms:modified>
</cp:coreProperties>
</file>