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D575A2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D575A2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FC3AFF" w:rsidRPr="00FC3A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D07E58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2E49B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F63D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012CEE">
        <w:rPr>
          <w:rFonts w:ascii="仿宋" w:eastAsia="仿宋" w:hAnsi="仿宋"/>
          <w:color w:val="000000" w:themeColor="text1"/>
          <w:sz w:val="32"/>
          <w:szCs w:val="32"/>
        </w:rPr>
        <w:t>只</w:t>
      </w:r>
      <w:r w:rsidR="00741DE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及基金产品资料概要更新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E49B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E49B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E49B6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基金列表如下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Style w:val="a9"/>
        <w:tblW w:w="9180" w:type="dxa"/>
        <w:jc w:val="center"/>
        <w:tblLook w:val="04A0"/>
      </w:tblPr>
      <w:tblGrid>
        <w:gridCol w:w="1650"/>
        <w:gridCol w:w="7530"/>
      </w:tblGrid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4"/>
              </w:rPr>
              <w:t>序号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4"/>
              </w:rPr>
              <w:t>基金全称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方正富邦中证科创创业50交易型开放式指数证券投资基金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方正富邦中证500交易型开放式指数证券投资基金联接基金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方正富邦深证100交易型开放式指数证券投资基金联接基金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方正富邦金立方一年持有期混合型证券投资基金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方正富邦均衡精选混合型证券投资基金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方正富邦远见成长混合型证券投资基金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方正富邦鑫益一年定期开放混合型证券投资基金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方正富邦策略轮动混合型证券投资基金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方正富邦趋势领航混合型证券投资基金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方正富邦汇福一年定期开放灵活配置混合型证券投资基金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方正富邦策略精选混合型证券投资基金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lastRenderedPageBreak/>
              <w:t>12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方正富邦新兴成长混合型证券投资基金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13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方正富邦科技创新混合型证券投资基金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14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方正富邦天恒灵活配置混合型证券投资基金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15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方正富邦天睿灵活配置混合型证券投资基金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16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方正富邦信泓灵活配置混合型证券投资基金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17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方正富邦红利精选混合型证券投资基金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18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方正富邦金小宝货币市场证券投资基金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19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方正富邦稳泓3个月定期开放债券型证券投资基金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20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方正富邦稳丰一年定期开放债券型发起式证券投资基金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21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方正富邦稳裕纯债债券型证券投资基金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22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方正富邦恒利纯债债券型证券投资基金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23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方正富邦丰利债券型证券投资基金</w:t>
            </w:r>
          </w:p>
        </w:tc>
      </w:tr>
      <w:tr w:rsidR="00CC75FF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24</w:t>
            </w:r>
          </w:p>
        </w:tc>
        <w:tc>
          <w:tcPr>
            <w:tcW w:w="7530" w:type="dxa"/>
            <w:noWrap/>
            <w:vAlign w:val="center"/>
            <w:hideMark/>
          </w:tcPr>
          <w:p w:rsidR="00CC75FF" w:rsidRPr="004F5C1C" w:rsidRDefault="00CC75FF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4F5C1C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方正富邦富利纯债债券型发起式证券投资基金</w:t>
            </w:r>
          </w:p>
        </w:tc>
      </w:tr>
      <w:tr w:rsidR="000F63DD" w:rsidRPr="004F5C1C" w:rsidTr="004F5C1C">
        <w:trPr>
          <w:trHeight w:val="230"/>
          <w:jc w:val="center"/>
        </w:trPr>
        <w:tc>
          <w:tcPr>
            <w:tcW w:w="1650" w:type="dxa"/>
            <w:noWrap/>
            <w:vAlign w:val="center"/>
          </w:tcPr>
          <w:p w:rsidR="000F63DD" w:rsidRPr="004F5C1C" w:rsidRDefault="000F63DD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7530" w:type="dxa"/>
            <w:noWrap/>
            <w:vAlign w:val="center"/>
          </w:tcPr>
          <w:p w:rsidR="000F63DD" w:rsidRPr="004F5C1C" w:rsidRDefault="000F63DD" w:rsidP="004F5C1C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0F63DD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方正富邦鸿远债券型证券投资基金</w:t>
            </w:r>
          </w:p>
        </w:tc>
      </w:tr>
    </w:tbl>
    <w:p w:rsidR="00012CEE" w:rsidRPr="00CC75FF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2E49B6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E49B6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E49B6">
        <w:rPr>
          <w:rFonts w:ascii="仿宋" w:eastAsia="仿宋" w:hAnsi="仿宋" w:hint="eastAsia"/>
          <w:color w:val="000000" w:themeColor="text1"/>
          <w:sz w:val="32"/>
          <w:szCs w:val="32"/>
        </w:rPr>
        <w:t>二十三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749" w:rsidRDefault="00012749">
      <w:r>
        <w:separator/>
      </w:r>
    </w:p>
  </w:endnote>
  <w:endnote w:type="continuationSeparator" w:id="0">
    <w:p w:rsidR="00012749" w:rsidRDefault="00012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D42631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D575A2" w:rsidRPr="00D575A2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D575A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D575A2">
    <w:pPr>
      <w:pStyle w:val="a3"/>
      <w:jc w:val="center"/>
    </w:pPr>
  </w:p>
  <w:p w:rsidR="00132B5A" w:rsidRDefault="00D575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749" w:rsidRDefault="00012749">
      <w:r>
        <w:separator/>
      </w:r>
    </w:p>
  </w:footnote>
  <w:footnote w:type="continuationSeparator" w:id="0">
    <w:p w:rsidR="00012749" w:rsidRDefault="00012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749"/>
    <w:rsid w:val="00012CEE"/>
    <w:rsid w:val="0002380D"/>
    <w:rsid w:val="00064ABE"/>
    <w:rsid w:val="000C1247"/>
    <w:rsid w:val="000C4CDB"/>
    <w:rsid w:val="000E7AA2"/>
    <w:rsid w:val="000F63DD"/>
    <w:rsid w:val="0010576B"/>
    <w:rsid w:val="00105A18"/>
    <w:rsid w:val="00131689"/>
    <w:rsid w:val="001319B0"/>
    <w:rsid w:val="00145CB0"/>
    <w:rsid w:val="00191187"/>
    <w:rsid w:val="001A0BE8"/>
    <w:rsid w:val="001C0496"/>
    <w:rsid w:val="001D0A22"/>
    <w:rsid w:val="001D2961"/>
    <w:rsid w:val="001E26D0"/>
    <w:rsid w:val="001E6CD4"/>
    <w:rsid w:val="0020162E"/>
    <w:rsid w:val="0020489D"/>
    <w:rsid w:val="002663F4"/>
    <w:rsid w:val="00282A6F"/>
    <w:rsid w:val="002876AD"/>
    <w:rsid w:val="002D1A34"/>
    <w:rsid w:val="002D4304"/>
    <w:rsid w:val="002E49B6"/>
    <w:rsid w:val="002F2867"/>
    <w:rsid w:val="00331B27"/>
    <w:rsid w:val="00337C27"/>
    <w:rsid w:val="0034369B"/>
    <w:rsid w:val="003602A6"/>
    <w:rsid w:val="003603B4"/>
    <w:rsid w:val="00385C6C"/>
    <w:rsid w:val="003B4A82"/>
    <w:rsid w:val="003C7E16"/>
    <w:rsid w:val="004340BF"/>
    <w:rsid w:val="004F5C1C"/>
    <w:rsid w:val="004F7453"/>
    <w:rsid w:val="005000FB"/>
    <w:rsid w:val="00537224"/>
    <w:rsid w:val="005669AF"/>
    <w:rsid w:val="00580733"/>
    <w:rsid w:val="0058476F"/>
    <w:rsid w:val="005D1F25"/>
    <w:rsid w:val="005E383B"/>
    <w:rsid w:val="00652F32"/>
    <w:rsid w:val="006B3901"/>
    <w:rsid w:val="00720F07"/>
    <w:rsid w:val="00741DE4"/>
    <w:rsid w:val="00747507"/>
    <w:rsid w:val="00750D9D"/>
    <w:rsid w:val="007A1893"/>
    <w:rsid w:val="007A4ADE"/>
    <w:rsid w:val="00844E75"/>
    <w:rsid w:val="00852CB2"/>
    <w:rsid w:val="0089389F"/>
    <w:rsid w:val="008C0F5D"/>
    <w:rsid w:val="0090356C"/>
    <w:rsid w:val="009545C3"/>
    <w:rsid w:val="00990F59"/>
    <w:rsid w:val="00A500F7"/>
    <w:rsid w:val="00A52F8A"/>
    <w:rsid w:val="00AA2EE9"/>
    <w:rsid w:val="00B23DA0"/>
    <w:rsid w:val="00B7101E"/>
    <w:rsid w:val="00BA2973"/>
    <w:rsid w:val="00BA3758"/>
    <w:rsid w:val="00BD5EFD"/>
    <w:rsid w:val="00BF7C5E"/>
    <w:rsid w:val="00C32275"/>
    <w:rsid w:val="00C56B20"/>
    <w:rsid w:val="00C62C03"/>
    <w:rsid w:val="00C80796"/>
    <w:rsid w:val="00C95FDE"/>
    <w:rsid w:val="00CB7DED"/>
    <w:rsid w:val="00CC75FF"/>
    <w:rsid w:val="00D07E58"/>
    <w:rsid w:val="00D12CAA"/>
    <w:rsid w:val="00D4245E"/>
    <w:rsid w:val="00D42631"/>
    <w:rsid w:val="00D53912"/>
    <w:rsid w:val="00D575A2"/>
    <w:rsid w:val="00D600BD"/>
    <w:rsid w:val="00D919E7"/>
    <w:rsid w:val="00E16B40"/>
    <w:rsid w:val="00E30E6C"/>
    <w:rsid w:val="00E41B9B"/>
    <w:rsid w:val="00E46E50"/>
    <w:rsid w:val="00E62426"/>
    <w:rsid w:val="00EB02F4"/>
    <w:rsid w:val="00EC59E6"/>
    <w:rsid w:val="00EE4A20"/>
    <w:rsid w:val="00EF2FB0"/>
    <w:rsid w:val="00EF76DC"/>
    <w:rsid w:val="00F67E23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  <w:style w:type="table" w:styleId="a9">
    <w:name w:val="Table Grid"/>
    <w:basedOn w:val="a1"/>
    <w:uiPriority w:val="39"/>
    <w:rsid w:val="00CC7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4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2025-05-22T16:00:00Z</dcterms:created>
  <dcterms:modified xsi:type="dcterms:W3CDTF">2025-05-22T16:00:00Z</dcterms:modified>
</cp:coreProperties>
</file>