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33"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关于</w:t>
      </w:r>
      <w:r w:rsidRPr="009B37E2">
        <w:rPr>
          <w:rFonts w:ascii="Arial" w:eastAsia="黑体" w:hAnsi="Arial" w:cs="Arial" w:hint="eastAsia"/>
          <w:b/>
          <w:bCs/>
          <w:color w:val="FF0000"/>
          <w:kern w:val="44"/>
          <w:sz w:val="30"/>
          <w:szCs w:val="30"/>
        </w:rPr>
        <w:t>嘉实全球互联网股票</w:t>
      </w:r>
      <w:r w:rsidR="00FF724F">
        <w:rPr>
          <w:rFonts w:ascii="Arial" w:eastAsia="黑体" w:hAnsi="Arial" w:cs="Arial" w:hint="eastAsia"/>
          <w:b/>
          <w:bCs/>
          <w:color w:val="FF0000"/>
          <w:kern w:val="44"/>
          <w:sz w:val="30"/>
          <w:szCs w:val="30"/>
        </w:rPr>
        <w:t>2025</w:t>
      </w:r>
      <w:r w:rsidR="00FF724F">
        <w:rPr>
          <w:rFonts w:ascii="Arial" w:eastAsia="黑体" w:hAnsi="Arial" w:cs="Arial" w:hint="eastAsia"/>
          <w:b/>
          <w:bCs/>
          <w:color w:val="FF0000"/>
          <w:kern w:val="44"/>
          <w:sz w:val="30"/>
          <w:szCs w:val="30"/>
        </w:rPr>
        <w:t>年</w:t>
      </w:r>
      <w:r w:rsidR="00783FFD">
        <w:rPr>
          <w:rFonts w:ascii="Arial" w:eastAsia="黑体" w:hAnsi="Arial" w:cs="Arial"/>
          <w:b/>
          <w:bCs/>
          <w:color w:val="FF0000"/>
          <w:kern w:val="44"/>
          <w:sz w:val="30"/>
          <w:szCs w:val="30"/>
        </w:rPr>
        <w:t>5</w:t>
      </w:r>
      <w:r w:rsidR="00FF724F">
        <w:rPr>
          <w:rFonts w:ascii="Arial" w:eastAsia="黑体" w:hAnsi="Arial" w:cs="Arial" w:hint="eastAsia"/>
          <w:b/>
          <w:bCs/>
          <w:color w:val="FF0000"/>
          <w:kern w:val="44"/>
          <w:sz w:val="30"/>
          <w:szCs w:val="30"/>
        </w:rPr>
        <w:t>月</w:t>
      </w:r>
      <w:r w:rsidR="00783FFD">
        <w:rPr>
          <w:rFonts w:ascii="Arial" w:eastAsia="黑体" w:hAnsi="Arial" w:cs="Arial"/>
          <w:b/>
          <w:bCs/>
          <w:color w:val="FF0000"/>
          <w:kern w:val="44"/>
          <w:sz w:val="30"/>
          <w:szCs w:val="30"/>
        </w:rPr>
        <w:t>26</w:t>
      </w:r>
      <w:r w:rsidR="00FF724F">
        <w:rPr>
          <w:rFonts w:ascii="Arial" w:eastAsia="黑体" w:hAnsi="Arial" w:cs="Arial" w:hint="eastAsia"/>
          <w:b/>
          <w:bCs/>
          <w:color w:val="FF0000"/>
          <w:kern w:val="44"/>
          <w:sz w:val="30"/>
          <w:szCs w:val="30"/>
        </w:rPr>
        <w:t>日</w:t>
      </w:r>
    </w:p>
    <w:p w:rsidR="009B37E2" w:rsidRPr="000A0267" w:rsidRDefault="009B37E2" w:rsidP="000A0267">
      <w:pPr>
        <w:keepNext/>
        <w:keepLines/>
        <w:spacing w:line="560" w:lineRule="exact"/>
        <w:jc w:val="center"/>
        <w:outlineLvl w:val="0"/>
        <w:rPr>
          <w:rFonts w:ascii="Arial" w:eastAsia="黑体" w:hAnsi="Arial" w:cs="Arial"/>
          <w:b/>
          <w:bCs/>
          <w:color w:val="FF0000"/>
          <w:kern w:val="44"/>
          <w:sz w:val="30"/>
          <w:szCs w:val="30"/>
        </w:rPr>
      </w:pPr>
      <w:r w:rsidRPr="009B37E2">
        <w:rPr>
          <w:rFonts w:ascii="Arial" w:eastAsia="黑体" w:hAnsi="Arial" w:cs="Arial"/>
          <w:b/>
          <w:bCs/>
          <w:color w:val="FF0000"/>
          <w:kern w:val="44"/>
          <w:sz w:val="30"/>
          <w:szCs w:val="30"/>
        </w:rPr>
        <w:t>暂停</w:t>
      </w:r>
      <w:r w:rsidR="00A66E0D">
        <w:rPr>
          <w:rFonts w:ascii="Arial" w:eastAsia="黑体" w:hAnsi="Arial" w:cs="Arial" w:hint="eastAsia"/>
          <w:b/>
          <w:bCs/>
          <w:color w:val="FF0000"/>
          <w:kern w:val="44"/>
          <w:sz w:val="30"/>
          <w:szCs w:val="30"/>
        </w:rPr>
        <w:t>申购</w:t>
      </w:r>
      <w:r w:rsidR="004C10FC">
        <w:rPr>
          <w:rFonts w:ascii="Arial" w:eastAsia="黑体" w:hAnsi="Arial" w:cs="Arial" w:hint="eastAsia"/>
          <w:b/>
          <w:bCs/>
          <w:color w:val="FF0000"/>
          <w:kern w:val="44"/>
          <w:sz w:val="30"/>
          <w:szCs w:val="30"/>
        </w:rPr>
        <w:t>、</w:t>
      </w:r>
      <w:r w:rsidR="00A66E0D">
        <w:rPr>
          <w:rFonts w:ascii="Arial" w:eastAsia="黑体" w:hAnsi="Arial" w:cs="Arial" w:hint="eastAsia"/>
          <w:b/>
          <w:bCs/>
          <w:color w:val="FF0000"/>
          <w:kern w:val="44"/>
          <w:sz w:val="30"/>
          <w:szCs w:val="30"/>
        </w:rPr>
        <w:t>赎回</w:t>
      </w:r>
      <w:r w:rsidR="007A56DD">
        <w:rPr>
          <w:rFonts w:ascii="Arial" w:eastAsia="黑体" w:hAnsi="Arial" w:cs="Arial" w:hint="eastAsia"/>
          <w:b/>
          <w:bCs/>
          <w:color w:val="FF0000"/>
          <w:kern w:val="44"/>
          <w:sz w:val="30"/>
          <w:szCs w:val="30"/>
        </w:rPr>
        <w:t>及</w:t>
      </w:r>
      <w:r w:rsidR="00EC62E3">
        <w:rPr>
          <w:rFonts w:ascii="Arial" w:eastAsia="黑体" w:hAnsi="Arial" w:cs="Arial" w:hint="eastAsia"/>
          <w:b/>
          <w:bCs/>
          <w:color w:val="FF0000"/>
          <w:kern w:val="44"/>
          <w:sz w:val="30"/>
          <w:szCs w:val="30"/>
        </w:rPr>
        <w:t>定期定额投资</w:t>
      </w:r>
      <w:r w:rsidRPr="009B37E2">
        <w:rPr>
          <w:rFonts w:ascii="Arial" w:eastAsia="黑体" w:hAnsi="Arial" w:cs="Arial"/>
          <w:b/>
          <w:bCs/>
          <w:color w:val="FF0000"/>
          <w:kern w:val="44"/>
          <w:sz w:val="30"/>
          <w:szCs w:val="30"/>
        </w:rPr>
        <w:t>业务的公告</w:t>
      </w:r>
    </w:p>
    <w:p w:rsidR="0009149F" w:rsidRPr="00572562" w:rsidRDefault="0009149F" w:rsidP="00EC5873">
      <w:pPr>
        <w:spacing w:line="560" w:lineRule="exact"/>
        <w:jc w:val="center"/>
        <w:rPr>
          <w:rFonts w:asciiTheme="minorEastAsia" w:eastAsiaTheme="minorEastAsia" w:hAnsiTheme="minorEastAsia"/>
          <w:color w:val="000000"/>
          <w:sz w:val="24"/>
        </w:rPr>
      </w:pPr>
      <w:r w:rsidRPr="00572562">
        <w:rPr>
          <w:rFonts w:asciiTheme="minorEastAsia" w:eastAsiaTheme="minorEastAsia" w:hAnsiTheme="minorEastAsia"/>
          <w:color w:val="000000"/>
          <w:sz w:val="24"/>
        </w:rPr>
        <w:t>公告送出日期：</w:t>
      </w:r>
      <w:r w:rsidR="00A43486" w:rsidRPr="00A43486">
        <w:rPr>
          <w:rFonts w:asciiTheme="minorEastAsia" w:eastAsiaTheme="minorEastAsia" w:hAnsiTheme="minorEastAsia" w:cs="Arial" w:hint="eastAsia"/>
          <w:color w:val="000000"/>
          <w:sz w:val="24"/>
        </w:rPr>
        <w:t>202</w:t>
      </w:r>
      <w:r w:rsidR="00FF724F">
        <w:rPr>
          <w:rFonts w:asciiTheme="minorEastAsia" w:eastAsiaTheme="minorEastAsia" w:hAnsiTheme="minorEastAsia" w:cs="Arial"/>
          <w:color w:val="000000"/>
          <w:sz w:val="24"/>
        </w:rPr>
        <w:t>5</w:t>
      </w:r>
      <w:r w:rsidR="00A43486" w:rsidRPr="00A43486">
        <w:rPr>
          <w:rFonts w:asciiTheme="minorEastAsia" w:eastAsiaTheme="minorEastAsia" w:hAnsiTheme="minorEastAsia" w:cs="Arial" w:hint="eastAsia"/>
          <w:color w:val="000000"/>
          <w:sz w:val="24"/>
        </w:rPr>
        <w:t>年</w:t>
      </w:r>
      <w:r w:rsidR="00783FFD">
        <w:rPr>
          <w:rFonts w:asciiTheme="minorEastAsia" w:eastAsiaTheme="minorEastAsia" w:hAnsiTheme="minorEastAsia" w:cs="Arial"/>
          <w:color w:val="000000"/>
          <w:sz w:val="24"/>
        </w:rPr>
        <w:t>5</w:t>
      </w:r>
      <w:r w:rsidR="00A43486" w:rsidRPr="00A43486">
        <w:rPr>
          <w:rFonts w:asciiTheme="minorEastAsia" w:eastAsiaTheme="minorEastAsia" w:hAnsiTheme="minorEastAsia" w:cs="Arial" w:hint="eastAsia"/>
          <w:color w:val="000000"/>
          <w:sz w:val="24"/>
        </w:rPr>
        <w:t>月</w:t>
      </w:r>
      <w:r w:rsidR="00783FFD">
        <w:rPr>
          <w:rFonts w:asciiTheme="minorEastAsia" w:eastAsiaTheme="minorEastAsia" w:hAnsiTheme="minorEastAsia" w:cs="Arial"/>
          <w:color w:val="000000"/>
          <w:sz w:val="24"/>
        </w:rPr>
        <w:t>22</w:t>
      </w:r>
      <w:r w:rsidR="00A43486" w:rsidRPr="00A43486">
        <w:rPr>
          <w:rFonts w:asciiTheme="minorEastAsia" w:eastAsiaTheme="minorEastAsia" w:hAnsiTheme="minorEastAsia" w:cs="Arial" w:hint="eastAsia"/>
          <w:color w:val="000000"/>
          <w:sz w:val="24"/>
        </w:rPr>
        <w:t>日</w:t>
      </w:r>
    </w:p>
    <w:p w:rsidR="0009149F" w:rsidRPr="00572562" w:rsidRDefault="0009149F" w:rsidP="0009149F">
      <w:pPr>
        <w:pStyle w:val="2"/>
        <w:spacing w:line="560" w:lineRule="exact"/>
        <w:rPr>
          <w:rFonts w:asciiTheme="minorEastAsia" w:eastAsiaTheme="minorEastAsia" w:hAnsiTheme="minorEastAsia"/>
          <w:bCs w:val="0"/>
          <w:color w:val="000000"/>
          <w:sz w:val="24"/>
          <w:szCs w:val="24"/>
        </w:rPr>
      </w:pPr>
      <w:bookmarkStart w:id="0" w:name="_Toc275961395"/>
      <w:r w:rsidRPr="00572562">
        <w:rPr>
          <w:rFonts w:asciiTheme="minorEastAsia" w:eastAsiaTheme="minorEastAsia" w:hAnsiTheme="minorEastAsia"/>
          <w:bCs w:val="0"/>
          <w:color w:val="000000"/>
          <w:sz w:val="24"/>
          <w:szCs w:val="24"/>
        </w:rPr>
        <w:t>1 公告基本信息</w:t>
      </w:r>
      <w:bookmarkEnd w:id="0"/>
    </w:p>
    <w:tbl>
      <w:tblPr>
        <w:tblW w:w="84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7"/>
        <w:gridCol w:w="2563"/>
        <w:gridCol w:w="1472"/>
        <w:gridCol w:w="1559"/>
        <w:gridCol w:w="1457"/>
      </w:tblGrid>
      <w:tr w:rsidR="00F3445A" w:rsidRPr="00572562" w:rsidTr="006F7CA9">
        <w:trPr>
          <w:trHeight w:val="510"/>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基金名称</w:t>
            </w:r>
          </w:p>
        </w:tc>
        <w:tc>
          <w:tcPr>
            <w:tcW w:w="4488" w:type="dxa"/>
            <w:gridSpan w:val="3"/>
            <w:shd w:val="clear" w:color="auto" w:fill="auto"/>
            <w:vAlign w:val="center"/>
            <w:hideMark/>
          </w:tcPr>
          <w:p w:rsidR="00F3445A" w:rsidRPr="00572562" w:rsidRDefault="00F3445A"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嘉实全球互联网股票型证券投资基金</w:t>
            </w:r>
          </w:p>
        </w:tc>
      </w:tr>
      <w:tr w:rsidR="00F3445A" w:rsidRPr="00572562" w:rsidTr="006F7CA9">
        <w:trPr>
          <w:trHeight w:val="52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基金简称</w:t>
            </w:r>
          </w:p>
        </w:tc>
        <w:tc>
          <w:tcPr>
            <w:tcW w:w="4488" w:type="dxa"/>
            <w:gridSpan w:val="3"/>
            <w:shd w:val="clear" w:color="auto" w:fill="auto"/>
            <w:vAlign w:val="center"/>
            <w:hideMark/>
          </w:tcPr>
          <w:p w:rsidR="00F3445A" w:rsidRPr="00572562" w:rsidRDefault="007925B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基金主代码</w:t>
            </w:r>
          </w:p>
        </w:tc>
        <w:tc>
          <w:tcPr>
            <w:tcW w:w="4488" w:type="dxa"/>
            <w:gridSpan w:val="3"/>
            <w:shd w:val="clear" w:color="auto" w:fill="auto"/>
            <w:vAlign w:val="center"/>
            <w:hideMark/>
          </w:tcPr>
          <w:p w:rsidR="00F3445A" w:rsidRPr="00572562" w:rsidRDefault="007925B6" w:rsidP="00162327">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基金管理人名称</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嘉实基金管理有限公司</w:t>
            </w:r>
          </w:p>
        </w:tc>
      </w:tr>
      <w:tr w:rsidR="00F3445A" w:rsidRPr="00572562" w:rsidTr="006F7CA9">
        <w:trPr>
          <w:trHeight w:val="285"/>
        </w:trPr>
        <w:tc>
          <w:tcPr>
            <w:tcW w:w="3930" w:type="dxa"/>
            <w:gridSpan w:val="2"/>
            <w:shd w:val="clear" w:color="auto" w:fill="auto"/>
            <w:vAlign w:val="center"/>
            <w:hideMark/>
          </w:tcPr>
          <w:p w:rsidR="00F3445A" w:rsidRPr="00572562" w:rsidRDefault="00F3445A" w:rsidP="006A39DA">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公告依据</w:t>
            </w:r>
          </w:p>
        </w:tc>
        <w:tc>
          <w:tcPr>
            <w:tcW w:w="4488" w:type="dxa"/>
            <w:gridSpan w:val="3"/>
            <w:shd w:val="clear" w:color="auto" w:fill="auto"/>
            <w:vAlign w:val="center"/>
            <w:hideMark/>
          </w:tcPr>
          <w:p w:rsidR="00F3445A" w:rsidRPr="00572562" w:rsidRDefault="00F3445A" w:rsidP="00162327">
            <w:pP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基金合同》、《</w:t>
            </w:r>
            <w:r w:rsidR="007925B6" w:rsidRPr="00572562">
              <w:rPr>
                <w:rFonts w:asciiTheme="minorEastAsia" w:eastAsiaTheme="minorEastAsia" w:hAnsiTheme="minorEastAsia" w:hint="eastAsia"/>
                <w:color w:val="000000"/>
                <w:sz w:val="24"/>
              </w:rPr>
              <w:t>嘉实全球互联网股票型证券投资基金</w:t>
            </w:r>
            <w:r w:rsidRPr="00572562">
              <w:rPr>
                <w:rFonts w:asciiTheme="minorEastAsia" w:eastAsiaTheme="minorEastAsia" w:hAnsiTheme="minorEastAsia" w:hint="eastAsia"/>
                <w:color w:val="000000"/>
                <w:sz w:val="24"/>
              </w:rPr>
              <w:t>招募说明书》</w:t>
            </w:r>
            <w:r w:rsidR="009B37E2" w:rsidRPr="00572562">
              <w:rPr>
                <w:rFonts w:asciiTheme="minorEastAsia" w:eastAsiaTheme="minorEastAsia" w:hAnsiTheme="minorEastAsia" w:hint="eastAsia"/>
                <w:color w:val="000000"/>
                <w:sz w:val="24"/>
              </w:rPr>
              <w:t>的有关规定，以及纽约</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交易所、纳斯达克</w:t>
            </w:r>
            <w:r w:rsidR="00B25039" w:rsidRPr="00572562">
              <w:rPr>
                <w:rFonts w:asciiTheme="minorEastAsia" w:eastAsiaTheme="minorEastAsia" w:hAnsiTheme="minorEastAsia" w:cs="Arial" w:hint="eastAsia"/>
                <w:color w:val="000000"/>
                <w:kern w:val="0"/>
                <w:sz w:val="24"/>
              </w:rPr>
              <w:t>证券</w:t>
            </w:r>
            <w:r w:rsidR="009B37E2" w:rsidRPr="00572562">
              <w:rPr>
                <w:rFonts w:asciiTheme="minorEastAsia" w:eastAsiaTheme="minorEastAsia" w:hAnsiTheme="minorEastAsia" w:hint="eastAsia"/>
                <w:color w:val="000000"/>
                <w:sz w:val="24"/>
              </w:rPr>
              <w:t>交易所、香港交易所的休市安排</w:t>
            </w:r>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暂停相关业务的起始日及原因说明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暂停申购起始日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783FFD">
              <w:rPr>
                <w:rFonts w:asciiTheme="minorEastAsia" w:eastAsiaTheme="minorEastAsia" w:hAnsiTheme="minorEastAsia" w:cs="Arial"/>
                <w:color w:val="000000"/>
                <w:sz w:val="24"/>
              </w:rPr>
              <w:t>5月26日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暂停赎回起始日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783FFD">
              <w:rPr>
                <w:rFonts w:asciiTheme="minorEastAsia" w:eastAsiaTheme="minorEastAsia" w:hAnsiTheme="minorEastAsia" w:cs="Arial"/>
                <w:color w:val="000000"/>
                <w:sz w:val="24"/>
              </w:rPr>
              <w:t>5月26日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暂停定期定额投资起始日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783FFD">
              <w:rPr>
                <w:rFonts w:asciiTheme="minorEastAsia" w:eastAsiaTheme="minorEastAsia" w:hAnsiTheme="minorEastAsia" w:cs="Arial"/>
                <w:color w:val="000000"/>
                <w:sz w:val="24"/>
              </w:rPr>
              <w:t>5月26日</w:t>
            </w:r>
          </w:p>
        </w:tc>
      </w:tr>
      <w:tr w:rsidR="00FA1238" w:rsidRPr="00A43486"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暂停申购（赎回、定期定额投资）的原因说明</w:t>
            </w:r>
          </w:p>
        </w:tc>
        <w:tc>
          <w:tcPr>
            <w:tcW w:w="4488" w:type="dxa"/>
            <w:gridSpan w:val="3"/>
            <w:shd w:val="clear" w:color="auto" w:fill="auto"/>
          </w:tcPr>
          <w:p w:rsidR="00FA1238" w:rsidRPr="007A1599" w:rsidRDefault="00FF724F" w:rsidP="00783FFD">
            <w:pPr>
              <w:widowControl/>
              <w:wordWrap w:val="0"/>
              <w:spacing w:line="276" w:lineRule="auto"/>
              <w:jc w:val="left"/>
              <w:rPr>
                <w:rFonts w:asciiTheme="minorEastAsia" w:eastAsiaTheme="minorEastAsia" w:hAnsiTheme="minorEastAsia" w:cs="Arial"/>
                <w:b/>
                <w:color w:val="000000"/>
                <w:sz w:val="24"/>
              </w:rPr>
            </w:pPr>
            <w:r>
              <w:rPr>
                <w:rFonts w:asciiTheme="minorEastAsia" w:eastAsiaTheme="minorEastAsia" w:hAnsiTheme="minorEastAsia" w:cs="Arial" w:hint="eastAsia"/>
                <w:color w:val="000000"/>
                <w:sz w:val="24"/>
              </w:rPr>
              <w:t>2025年</w:t>
            </w:r>
            <w:r w:rsidR="00783FFD">
              <w:rPr>
                <w:rFonts w:asciiTheme="minorEastAsia" w:eastAsiaTheme="minorEastAsia" w:hAnsiTheme="minorEastAsia" w:cs="Arial" w:hint="eastAsia"/>
                <w:color w:val="000000"/>
                <w:sz w:val="24"/>
              </w:rPr>
              <w:t>5月26日</w:t>
            </w:r>
            <w:r w:rsidR="00D7269F" w:rsidRPr="00572562">
              <w:rPr>
                <w:rFonts w:asciiTheme="minorEastAsia" w:eastAsiaTheme="minorEastAsia" w:hAnsiTheme="minorEastAsia" w:hint="eastAsia"/>
                <w:color w:val="000000"/>
                <w:sz w:val="24"/>
              </w:rPr>
              <w:t>纽约</w:t>
            </w:r>
            <w:r w:rsidR="00D7269F" w:rsidRPr="00572562">
              <w:rPr>
                <w:rFonts w:asciiTheme="minorEastAsia" w:eastAsiaTheme="minorEastAsia" w:hAnsiTheme="minorEastAsia" w:cs="Arial" w:hint="eastAsia"/>
                <w:color w:val="000000"/>
                <w:kern w:val="0"/>
                <w:sz w:val="24"/>
              </w:rPr>
              <w:t>证券</w:t>
            </w:r>
            <w:r w:rsidR="00D7269F" w:rsidRPr="00572562">
              <w:rPr>
                <w:rFonts w:asciiTheme="minorEastAsia" w:eastAsiaTheme="minorEastAsia" w:hAnsiTheme="minorEastAsia" w:hint="eastAsia"/>
                <w:color w:val="000000"/>
                <w:sz w:val="24"/>
              </w:rPr>
              <w:t>交易所、纳斯达克</w:t>
            </w:r>
            <w:r w:rsidR="00D7269F" w:rsidRPr="00572562">
              <w:rPr>
                <w:rFonts w:asciiTheme="minorEastAsia" w:eastAsiaTheme="minorEastAsia" w:hAnsiTheme="minorEastAsia" w:cs="Arial" w:hint="eastAsia"/>
                <w:color w:val="000000"/>
                <w:kern w:val="0"/>
                <w:sz w:val="24"/>
              </w:rPr>
              <w:t>证券</w:t>
            </w:r>
            <w:r w:rsidR="00D7269F" w:rsidRPr="00572562">
              <w:rPr>
                <w:rFonts w:asciiTheme="minorEastAsia" w:eastAsiaTheme="minorEastAsia" w:hAnsiTheme="minorEastAsia" w:hint="eastAsia"/>
                <w:color w:val="000000"/>
                <w:sz w:val="24"/>
              </w:rPr>
              <w:t>交易所</w:t>
            </w:r>
            <w:r w:rsidR="00FA1238" w:rsidRPr="00DA29C3">
              <w:rPr>
                <w:rFonts w:asciiTheme="minorEastAsia" w:eastAsiaTheme="minorEastAsia" w:hAnsiTheme="minorEastAsia" w:cs="Arial"/>
                <w:color w:val="000000"/>
                <w:sz w:val="24"/>
              </w:rPr>
              <w:t>休市</w:t>
            </w:r>
            <w:bookmarkStart w:id="1" w:name="_GoBack"/>
            <w:bookmarkEnd w:id="1"/>
          </w:p>
        </w:tc>
      </w:tr>
      <w:tr w:rsidR="00A43486" w:rsidRPr="00572562" w:rsidTr="006F7CA9">
        <w:trPr>
          <w:trHeight w:val="285"/>
        </w:trPr>
        <w:tc>
          <w:tcPr>
            <w:tcW w:w="1367" w:type="dxa"/>
            <w:vMerge w:val="restart"/>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恢复相关业务的日期及原因说明</w:t>
            </w: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783FFD">
              <w:rPr>
                <w:rFonts w:asciiTheme="minorEastAsia" w:eastAsiaTheme="minorEastAsia" w:hAnsiTheme="minorEastAsia" w:cs="Arial"/>
                <w:color w:val="000000"/>
                <w:sz w:val="24"/>
              </w:rPr>
              <w:t>5月27日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恢复赎回日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783FFD">
              <w:rPr>
                <w:rFonts w:asciiTheme="minorEastAsia" w:eastAsiaTheme="minorEastAsia" w:hAnsiTheme="minorEastAsia" w:cs="Arial"/>
                <w:color w:val="000000"/>
                <w:sz w:val="24"/>
              </w:rPr>
              <w:t>5月27日</w:t>
            </w:r>
          </w:p>
        </w:tc>
      </w:tr>
      <w:tr w:rsidR="00A43486" w:rsidRPr="00572562" w:rsidTr="006F7CA9">
        <w:trPr>
          <w:trHeight w:val="285"/>
        </w:trPr>
        <w:tc>
          <w:tcPr>
            <w:tcW w:w="1367" w:type="dxa"/>
            <w:vMerge/>
            <w:shd w:val="clear" w:color="auto" w:fill="auto"/>
            <w:vAlign w:val="center"/>
          </w:tcPr>
          <w:p w:rsidR="00A43486" w:rsidRPr="00572562" w:rsidRDefault="00A43486" w:rsidP="00A43486">
            <w:pPr>
              <w:spacing w:line="276" w:lineRule="auto"/>
              <w:rPr>
                <w:rFonts w:asciiTheme="minorEastAsia" w:eastAsiaTheme="minorEastAsia" w:hAnsiTheme="minorEastAsia"/>
                <w:color w:val="000000"/>
                <w:sz w:val="24"/>
              </w:rPr>
            </w:pPr>
          </w:p>
        </w:tc>
        <w:tc>
          <w:tcPr>
            <w:tcW w:w="2563" w:type="dxa"/>
            <w:shd w:val="clear" w:color="auto" w:fill="auto"/>
          </w:tcPr>
          <w:p w:rsidR="00A43486" w:rsidRPr="00572562" w:rsidRDefault="00A43486" w:rsidP="00A43486">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恢复定期定额投资日</w:t>
            </w:r>
          </w:p>
        </w:tc>
        <w:tc>
          <w:tcPr>
            <w:tcW w:w="4488" w:type="dxa"/>
            <w:gridSpan w:val="3"/>
            <w:shd w:val="clear" w:color="auto" w:fill="auto"/>
          </w:tcPr>
          <w:p w:rsidR="00A43486" w:rsidRPr="00D37BD6" w:rsidRDefault="00FF724F" w:rsidP="00A43486">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783FFD">
              <w:rPr>
                <w:rFonts w:asciiTheme="minorEastAsia" w:eastAsiaTheme="minorEastAsia" w:hAnsiTheme="minorEastAsia" w:cs="Arial"/>
                <w:color w:val="000000"/>
                <w:sz w:val="24"/>
              </w:rPr>
              <w:t>5月27日</w:t>
            </w:r>
          </w:p>
        </w:tc>
      </w:tr>
      <w:tr w:rsidR="00FA1238" w:rsidRPr="00572562" w:rsidTr="006F7CA9">
        <w:trPr>
          <w:trHeight w:val="285"/>
        </w:trPr>
        <w:tc>
          <w:tcPr>
            <w:tcW w:w="1367" w:type="dxa"/>
            <w:vMerge/>
            <w:shd w:val="clear" w:color="auto" w:fill="auto"/>
            <w:vAlign w:val="center"/>
          </w:tcPr>
          <w:p w:rsidR="00FA1238" w:rsidRPr="00572562" w:rsidRDefault="00FA1238" w:rsidP="00FA1238">
            <w:pPr>
              <w:spacing w:line="276" w:lineRule="auto"/>
              <w:rPr>
                <w:rFonts w:asciiTheme="minorEastAsia" w:eastAsiaTheme="minorEastAsia" w:hAnsiTheme="minorEastAsia"/>
                <w:color w:val="000000"/>
                <w:sz w:val="24"/>
              </w:rPr>
            </w:pPr>
          </w:p>
        </w:tc>
        <w:tc>
          <w:tcPr>
            <w:tcW w:w="2563" w:type="dxa"/>
            <w:shd w:val="clear" w:color="auto" w:fill="auto"/>
          </w:tcPr>
          <w:p w:rsidR="00FA1238" w:rsidRPr="00572562" w:rsidRDefault="00FA1238" w:rsidP="00FA1238">
            <w:pPr>
              <w:spacing w:line="276" w:lineRule="auto"/>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恢复申购（赎回、定期定额投资）的原因说明</w:t>
            </w:r>
          </w:p>
        </w:tc>
        <w:tc>
          <w:tcPr>
            <w:tcW w:w="4488" w:type="dxa"/>
            <w:gridSpan w:val="3"/>
            <w:shd w:val="clear" w:color="auto" w:fill="auto"/>
          </w:tcPr>
          <w:p w:rsidR="00FA1238" w:rsidRPr="00572562" w:rsidRDefault="00FF724F" w:rsidP="00FA1238">
            <w:pPr>
              <w:spacing w:line="276" w:lineRule="auto"/>
              <w:rPr>
                <w:rFonts w:asciiTheme="minorEastAsia" w:eastAsiaTheme="minorEastAsia" w:hAnsiTheme="minorEastAsia" w:cs="Arial"/>
                <w:color w:val="000000"/>
                <w:sz w:val="24"/>
              </w:rPr>
            </w:pPr>
            <w:r>
              <w:rPr>
                <w:rFonts w:asciiTheme="minorEastAsia" w:eastAsiaTheme="minorEastAsia" w:hAnsiTheme="minorEastAsia" w:cs="Arial"/>
                <w:color w:val="000000"/>
                <w:sz w:val="24"/>
              </w:rPr>
              <w:t>2025年</w:t>
            </w:r>
            <w:r w:rsidR="00783FFD">
              <w:rPr>
                <w:rFonts w:asciiTheme="minorEastAsia" w:eastAsiaTheme="minorEastAsia" w:hAnsiTheme="minorEastAsia" w:cs="Arial"/>
                <w:color w:val="000000"/>
                <w:sz w:val="24"/>
              </w:rPr>
              <w:t>5月27日</w:t>
            </w:r>
            <w:r w:rsidR="00FA1238">
              <w:rPr>
                <w:rFonts w:asciiTheme="minorEastAsia" w:eastAsiaTheme="minorEastAsia" w:hAnsiTheme="minorEastAsia" w:cs="Arial" w:hint="eastAsia"/>
                <w:color w:val="000000"/>
                <w:sz w:val="24"/>
              </w:rPr>
              <w:t>（星期</w:t>
            </w:r>
            <w:r>
              <w:rPr>
                <w:rFonts w:asciiTheme="minorEastAsia" w:eastAsiaTheme="minorEastAsia" w:hAnsiTheme="minorEastAsia" w:cs="Arial" w:hint="eastAsia"/>
                <w:color w:val="000000"/>
                <w:sz w:val="24"/>
              </w:rPr>
              <w:t>二</w:t>
            </w:r>
            <w:r w:rsidR="00FA1238" w:rsidRPr="007A1599">
              <w:rPr>
                <w:rFonts w:asciiTheme="minorEastAsia" w:eastAsiaTheme="minorEastAsia" w:hAnsiTheme="minorEastAsia" w:cs="Arial" w:hint="eastAsia"/>
                <w:color w:val="000000"/>
                <w:sz w:val="24"/>
              </w:rPr>
              <w:t>）</w:t>
            </w:r>
            <w:r w:rsidR="00FA1238" w:rsidRPr="00572562">
              <w:rPr>
                <w:rFonts w:asciiTheme="minorEastAsia" w:eastAsiaTheme="minorEastAsia" w:hAnsiTheme="minorEastAsia" w:cs="Arial"/>
                <w:color w:val="000000"/>
                <w:kern w:val="0"/>
                <w:sz w:val="24"/>
              </w:rPr>
              <w:t>为</w:t>
            </w:r>
            <w:r w:rsidR="00FA1238" w:rsidRPr="00572562">
              <w:rPr>
                <w:rFonts w:asciiTheme="minorEastAsia" w:eastAsiaTheme="minorEastAsia" w:hAnsiTheme="minorEastAsia" w:hint="eastAsia"/>
                <w:color w:val="000000"/>
                <w:sz w:val="24"/>
              </w:rPr>
              <w:t>纽约</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交易所、纳斯达克</w:t>
            </w:r>
            <w:r w:rsidR="00FA1238" w:rsidRPr="00572562">
              <w:rPr>
                <w:rFonts w:asciiTheme="minorEastAsia" w:eastAsiaTheme="minorEastAsia" w:hAnsiTheme="minorEastAsia" w:cs="Arial" w:hint="eastAsia"/>
                <w:color w:val="000000"/>
                <w:kern w:val="0"/>
                <w:sz w:val="24"/>
              </w:rPr>
              <w:t>证券</w:t>
            </w:r>
            <w:r w:rsidR="00FA1238" w:rsidRPr="00572562">
              <w:rPr>
                <w:rFonts w:asciiTheme="minorEastAsia" w:eastAsiaTheme="minorEastAsia" w:hAnsiTheme="minorEastAsia" w:hint="eastAsia"/>
                <w:color w:val="000000"/>
                <w:sz w:val="24"/>
              </w:rPr>
              <w:t>交易所、香港交易所</w:t>
            </w:r>
            <w:r w:rsidR="00FA1238" w:rsidRPr="00572562">
              <w:rPr>
                <w:rFonts w:asciiTheme="minorEastAsia" w:eastAsiaTheme="minorEastAsia" w:hAnsiTheme="minorEastAsia" w:cs="Arial"/>
                <w:color w:val="000000"/>
                <w:kern w:val="0"/>
                <w:sz w:val="24"/>
              </w:rPr>
              <w:t>交易日</w:t>
            </w:r>
          </w:p>
        </w:tc>
      </w:tr>
      <w:tr w:rsidR="00FA1238" w:rsidRPr="00572562" w:rsidTr="006F7CA9">
        <w:trPr>
          <w:trHeight w:val="54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下属分级基金的基金简称</w:t>
            </w:r>
          </w:p>
        </w:tc>
        <w:tc>
          <w:tcPr>
            <w:tcW w:w="1472"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人民币</w:t>
            </w:r>
          </w:p>
        </w:tc>
        <w:tc>
          <w:tcPr>
            <w:tcW w:w="1559"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美元现钞</w:t>
            </w:r>
          </w:p>
        </w:tc>
        <w:tc>
          <w:tcPr>
            <w:tcW w:w="1457" w:type="dxa"/>
            <w:shd w:val="clear" w:color="auto" w:fill="auto"/>
            <w:vAlign w:val="center"/>
            <w:hideMark/>
          </w:tcPr>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嘉实全球互联网股票</w:t>
            </w:r>
          </w:p>
          <w:p w:rsidR="00FA1238" w:rsidRPr="00572562" w:rsidRDefault="00FA1238" w:rsidP="00FA1238">
            <w:pPr>
              <w:jc w:val="left"/>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美元现汇</w:t>
            </w:r>
          </w:p>
        </w:tc>
      </w:tr>
      <w:tr w:rsidR="00FA1238" w:rsidRPr="00572562" w:rsidTr="006F7CA9">
        <w:trPr>
          <w:trHeight w:val="525"/>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下属分级基金的交易代码</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000988</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000990</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000989</w:t>
            </w:r>
          </w:p>
        </w:tc>
      </w:tr>
      <w:tr w:rsidR="00FA1238" w:rsidRPr="00572562" w:rsidTr="006F7CA9">
        <w:trPr>
          <w:trHeight w:val="780"/>
        </w:trPr>
        <w:tc>
          <w:tcPr>
            <w:tcW w:w="3930" w:type="dxa"/>
            <w:gridSpan w:val="2"/>
            <w:shd w:val="clear" w:color="auto" w:fill="auto"/>
            <w:vAlign w:val="center"/>
            <w:hideMark/>
          </w:tcPr>
          <w:p w:rsidR="00FA1238" w:rsidRPr="00572562" w:rsidRDefault="00FA1238" w:rsidP="00FA1238">
            <w:pPr>
              <w:spacing w:line="276" w:lineRule="auto"/>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该分级基金是否暂停/恢复申购（赎回、定期定额投资）</w:t>
            </w:r>
          </w:p>
        </w:tc>
        <w:tc>
          <w:tcPr>
            <w:tcW w:w="1472"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559"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c>
          <w:tcPr>
            <w:tcW w:w="1457" w:type="dxa"/>
            <w:shd w:val="clear" w:color="auto" w:fill="auto"/>
            <w:vAlign w:val="center"/>
            <w:hideMark/>
          </w:tcPr>
          <w:p w:rsidR="00FA1238" w:rsidRPr="00572562" w:rsidRDefault="00FA1238" w:rsidP="00FA1238">
            <w:pPr>
              <w:spacing w:line="276" w:lineRule="auto"/>
              <w:jc w:val="center"/>
              <w:rPr>
                <w:rFonts w:asciiTheme="minorEastAsia" w:eastAsiaTheme="minorEastAsia" w:hAnsiTheme="minorEastAsia"/>
                <w:color w:val="000000"/>
                <w:sz w:val="24"/>
              </w:rPr>
            </w:pPr>
            <w:r w:rsidRPr="00572562">
              <w:rPr>
                <w:rFonts w:asciiTheme="minorEastAsia" w:eastAsiaTheme="minorEastAsia" w:hAnsiTheme="minorEastAsia" w:hint="eastAsia"/>
                <w:color w:val="000000"/>
                <w:sz w:val="24"/>
              </w:rPr>
              <w:t>是</w:t>
            </w:r>
          </w:p>
        </w:tc>
      </w:tr>
    </w:tbl>
    <w:p w:rsidR="006A39DA" w:rsidRPr="00572562" w:rsidRDefault="006A39DA" w:rsidP="006A39DA">
      <w:pPr>
        <w:pStyle w:val="2"/>
        <w:spacing w:line="560" w:lineRule="exact"/>
        <w:rPr>
          <w:rFonts w:asciiTheme="minorEastAsia" w:eastAsiaTheme="minorEastAsia" w:hAnsiTheme="minorEastAsia"/>
          <w:bCs w:val="0"/>
          <w:color w:val="000000"/>
          <w:sz w:val="24"/>
          <w:szCs w:val="24"/>
        </w:rPr>
      </w:pPr>
      <w:bookmarkStart w:id="2" w:name="_Toc275961396"/>
      <w:r w:rsidRPr="00572562">
        <w:rPr>
          <w:rFonts w:asciiTheme="minorEastAsia" w:eastAsiaTheme="minorEastAsia" w:hAnsiTheme="minorEastAsia"/>
          <w:bCs w:val="0"/>
          <w:color w:val="000000"/>
          <w:sz w:val="24"/>
          <w:szCs w:val="24"/>
        </w:rPr>
        <w:lastRenderedPageBreak/>
        <w:t xml:space="preserve">2 </w:t>
      </w:r>
      <w:r w:rsidRPr="00572562">
        <w:rPr>
          <w:rFonts w:asciiTheme="minorEastAsia" w:eastAsiaTheme="minorEastAsia" w:hAnsiTheme="minorEastAsia" w:hint="eastAsia"/>
          <w:bCs w:val="0"/>
          <w:color w:val="000000"/>
          <w:sz w:val="24"/>
          <w:szCs w:val="24"/>
        </w:rPr>
        <w:t>其他需要提示的事项</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1）</w:t>
      </w:r>
      <w:r w:rsidR="00FF724F">
        <w:rPr>
          <w:rFonts w:asciiTheme="minorEastAsia" w:eastAsiaTheme="minorEastAsia" w:hAnsiTheme="minorEastAsia" w:cs="Arial" w:hint="eastAsia"/>
          <w:color w:val="000000"/>
          <w:sz w:val="24"/>
        </w:rPr>
        <w:t>2025年</w:t>
      </w:r>
      <w:r w:rsidR="00783FFD">
        <w:rPr>
          <w:rFonts w:asciiTheme="minorEastAsia" w:eastAsiaTheme="minorEastAsia" w:hAnsiTheme="minorEastAsia" w:cs="Arial" w:hint="eastAsia"/>
          <w:color w:val="000000"/>
          <w:sz w:val="24"/>
        </w:rPr>
        <w:t>5月27日</w:t>
      </w:r>
      <w:r w:rsidRPr="00F0213F">
        <w:rPr>
          <w:rFonts w:asciiTheme="minorEastAsia" w:eastAsiaTheme="minorEastAsia" w:hAnsiTheme="minorEastAsia" w:cs="Arial" w:hint="eastAsia"/>
          <w:color w:val="000000"/>
          <w:sz w:val="24"/>
        </w:rPr>
        <w:t>起（含</w:t>
      </w:r>
      <w:r w:rsidR="00FF724F">
        <w:rPr>
          <w:rFonts w:asciiTheme="minorEastAsia" w:eastAsiaTheme="minorEastAsia" w:hAnsiTheme="minorEastAsia" w:cs="Arial" w:hint="eastAsia"/>
          <w:color w:val="000000"/>
          <w:sz w:val="24"/>
        </w:rPr>
        <w:t>2025年</w:t>
      </w:r>
      <w:r w:rsidR="00783FFD">
        <w:rPr>
          <w:rFonts w:asciiTheme="minorEastAsia" w:eastAsiaTheme="minorEastAsia" w:hAnsiTheme="minorEastAsia" w:cs="Arial" w:hint="eastAsia"/>
          <w:color w:val="000000"/>
          <w:sz w:val="24"/>
        </w:rPr>
        <w:t>5月27日</w:t>
      </w:r>
      <w:r w:rsidRPr="00F0213F">
        <w:rPr>
          <w:rFonts w:asciiTheme="minorEastAsia" w:eastAsiaTheme="minorEastAsia" w:hAnsiTheme="minorEastAsia" w:cs="Arial" w:hint="eastAsia"/>
          <w:color w:val="000000"/>
          <w:sz w:val="24"/>
        </w:rPr>
        <w:t>）恢复本基金的日常申购（含定期定额投资）、赎回业务，届时将不再另行公告。</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2）本基金恢复申购（含定期定额投资）、赎回业务后，将仍然对本基金的大额申购（含定期定额投资）业务进行限制：</w:t>
      </w:r>
    </w:p>
    <w:p w:rsidR="00FF724F" w:rsidRPr="00FF724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单个开放日每个基金账户累计申购（含定期定额投资）申请嘉实全球互联网股票人民币的金额不得超过100元人民币，如超过100元人民币，本基金管理人将有权拒绝；</w:t>
      </w:r>
    </w:p>
    <w:p w:rsidR="00F0213F" w:rsidRPr="00F0213F" w:rsidRDefault="00FF724F" w:rsidP="00FF724F">
      <w:pPr>
        <w:spacing w:line="360" w:lineRule="auto"/>
        <w:ind w:firstLineChars="250" w:firstLine="600"/>
        <w:rPr>
          <w:rFonts w:asciiTheme="minorEastAsia" w:eastAsiaTheme="minorEastAsia" w:hAnsiTheme="minorEastAsia" w:cs="Arial"/>
          <w:color w:val="000000"/>
          <w:sz w:val="24"/>
        </w:rPr>
      </w:pPr>
      <w:r w:rsidRPr="00FF724F">
        <w:rPr>
          <w:rFonts w:asciiTheme="minorEastAsia" w:eastAsiaTheme="minorEastAsia" w:hAnsiTheme="minorEastAsia" w:cs="Arial" w:hint="eastAsia"/>
          <w:color w:val="000000"/>
          <w:sz w:val="24"/>
        </w:rPr>
        <w:t>单个开放日每个基金账户累计申购（含定期定额投资）申请嘉实全球互联网股票美元现钞或嘉实全球互联网股票美元现汇的金额各类别均不得超过15美元，如超过15美元，本基金管理人将有权拒绝。</w:t>
      </w:r>
    </w:p>
    <w:p w:rsidR="00F0213F" w:rsidRPr="00F0213F" w:rsidRDefault="00F0213F" w:rsidP="00F0213F">
      <w:pPr>
        <w:spacing w:line="360" w:lineRule="auto"/>
        <w:ind w:firstLineChars="250" w:firstLine="600"/>
        <w:rPr>
          <w:rFonts w:asciiTheme="minorEastAsia" w:eastAsiaTheme="minorEastAsia" w:hAnsiTheme="minorEastAsia" w:cs="Arial"/>
          <w:color w:val="000000"/>
          <w:sz w:val="24"/>
        </w:rPr>
      </w:pPr>
      <w:r w:rsidRPr="00F0213F">
        <w:rPr>
          <w:rFonts w:asciiTheme="minorEastAsia" w:eastAsiaTheme="minorEastAsia" w:hAnsiTheme="minorEastAsia" w:cs="Arial" w:hint="eastAsia"/>
          <w:color w:val="000000"/>
          <w:sz w:val="24"/>
        </w:rPr>
        <w:t>投资者在基金合同约定之外的日期和时间提出申购（含定期定额投资）申请的，视为下一个开放日的申请。具体见本公司发布的相关公告。</w:t>
      </w:r>
    </w:p>
    <w:p w:rsidR="00453B0F" w:rsidRPr="00572562" w:rsidRDefault="00F0213F" w:rsidP="00F0213F">
      <w:pPr>
        <w:spacing w:line="360" w:lineRule="auto"/>
        <w:ind w:firstLineChars="250" w:firstLine="600"/>
        <w:rPr>
          <w:rFonts w:asciiTheme="minorEastAsia" w:eastAsiaTheme="minorEastAsia" w:hAnsiTheme="minorEastAsia" w:cs="Arial"/>
          <w:color w:val="000000"/>
          <w:kern w:val="0"/>
          <w:sz w:val="24"/>
        </w:rPr>
      </w:pPr>
      <w:r w:rsidRPr="00F0213F">
        <w:rPr>
          <w:rFonts w:asciiTheme="minorEastAsia" w:eastAsiaTheme="minorEastAsia" w:hAnsiTheme="minorEastAsia" w:cs="Arial" w:hint="eastAsia"/>
          <w:color w:val="000000"/>
          <w:sz w:val="24"/>
        </w:rPr>
        <w:t>3）投资者可拨打嘉实基金管理有限公司客户服务电话400-600-8800或登录网站www.jsfund.cn咨询、了解相关情况。</w:t>
      </w:r>
    </w:p>
    <w:bookmarkEnd w:id="2"/>
    <w:p w:rsidR="00F04919" w:rsidRPr="00572562" w:rsidRDefault="00F04919" w:rsidP="00EC5873">
      <w:pPr>
        <w:spacing w:line="360" w:lineRule="auto"/>
        <w:ind w:firstLineChars="250" w:firstLine="600"/>
        <w:rPr>
          <w:rFonts w:asciiTheme="minorEastAsia" w:eastAsiaTheme="minorEastAsia" w:hAnsiTheme="minorEastAsia" w:cs="Arial"/>
          <w:color w:val="000000"/>
          <w:kern w:val="0"/>
          <w:sz w:val="24"/>
        </w:rPr>
      </w:pPr>
    </w:p>
    <w:sectPr w:rsidR="00F04919" w:rsidRPr="00572562"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4E4" w:rsidRDefault="00A414E4" w:rsidP="0009149F">
      <w:r>
        <w:separator/>
      </w:r>
    </w:p>
  </w:endnote>
  <w:endnote w:type="continuationSeparator" w:id="0">
    <w:p w:rsidR="00A414E4" w:rsidRDefault="00A414E4" w:rsidP="0009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4E4" w:rsidRDefault="00A414E4" w:rsidP="0009149F">
      <w:r>
        <w:separator/>
      </w:r>
    </w:p>
  </w:footnote>
  <w:footnote w:type="continuationSeparator" w:id="0">
    <w:p w:rsidR="00A414E4" w:rsidRDefault="00A414E4" w:rsidP="00091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F2C57"/>
    <w:multiLevelType w:val="multilevel"/>
    <w:tmpl w:val="3898A39A"/>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2">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49F"/>
    <w:rsid w:val="00001AF9"/>
    <w:rsid w:val="00001C9F"/>
    <w:rsid w:val="0000677F"/>
    <w:rsid w:val="000206F1"/>
    <w:rsid w:val="00021651"/>
    <w:rsid w:val="00044031"/>
    <w:rsid w:val="000440BF"/>
    <w:rsid w:val="00044731"/>
    <w:rsid w:val="00050B02"/>
    <w:rsid w:val="0005626E"/>
    <w:rsid w:val="0006075D"/>
    <w:rsid w:val="00064057"/>
    <w:rsid w:val="0009149F"/>
    <w:rsid w:val="00092538"/>
    <w:rsid w:val="00095866"/>
    <w:rsid w:val="000A0267"/>
    <w:rsid w:val="000A06B7"/>
    <w:rsid w:val="000A5B22"/>
    <w:rsid w:val="000A5EB5"/>
    <w:rsid w:val="000B09CE"/>
    <w:rsid w:val="000B3FF6"/>
    <w:rsid w:val="000C0F03"/>
    <w:rsid w:val="000C2634"/>
    <w:rsid w:val="000C76E1"/>
    <w:rsid w:val="000D4938"/>
    <w:rsid w:val="00105FA7"/>
    <w:rsid w:val="00114099"/>
    <w:rsid w:val="00125D67"/>
    <w:rsid w:val="0012722E"/>
    <w:rsid w:val="00134817"/>
    <w:rsid w:val="001352AD"/>
    <w:rsid w:val="001421E9"/>
    <w:rsid w:val="00143C99"/>
    <w:rsid w:val="00144E1C"/>
    <w:rsid w:val="00153D92"/>
    <w:rsid w:val="00162327"/>
    <w:rsid w:val="001709EC"/>
    <w:rsid w:val="001715FD"/>
    <w:rsid w:val="0018189C"/>
    <w:rsid w:val="001829F8"/>
    <w:rsid w:val="00183CB5"/>
    <w:rsid w:val="001902B5"/>
    <w:rsid w:val="00191161"/>
    <w:rsid w:val="001A004A"/>
    <w:rsid w:val="001A690D"/>
    <w:rsid w:val="001B2D62"/>
    <w:rsid w:val="001B364D"/>
    <w:rsid w:val="001D2946"/>
    <w:rsid w:val="001E18C6"/>
    <w:rsid w:val="001E5E7E"/>
    <w:rsid w:val="001F413C"/>
    <w:rsid w:val="00200A16"/>
    <w:rsid w:val="00217BB3"/>
    <w:rsid w:val="00223864"/>
    <w:rsid w:val="00225B75"/>
    <w:rsid w:val="00226D95"/>
    <w:rsid w:val="00234B9D"/>
    <w:rsid w:val="00241177"/>
    <w:rsid w:val="00256E3F"/>
    <w:rsid w:val="002662DB"/>
    <w:rsid w:val="002718CB"/>
    <w:rsid w:val="0027255C"/>
    <w:rsid w:val="00291699"/>
    <w:rsid w:val="0029526A"/>
    <w:rsid w:val="002A1C54"/>
    <w:rsid w:val="002A2DE5"/>
    <w:rsid w:val="002A4C33"/>
    <w:rsid w:val="002B2C07"/>
    <w:rsid w:val="002B74CD"/>
    <w:rsid w:val="002C40D8"/>
    <w:rsid w:val="002D1FE1"/>
    <w:rsid w:val="002E0176"/>
    <w:rsid w:val="002E2F55"/>
    <w:rsid w:val="002E6A03"/>
    <w:rsid w:val="002E71BF"/>
    <w:rsid w:val="002F094C"/>
    <w:rsid w:val="00302776"/>
    <w:rsid w:val="00302B59"/>
    <w:rsid w:val="00304C0F"/>
    <w:rsid w:val="00313F81"/>
    <w:rsid w:val="003229A9"/>
    <w:rsid w:val="0032350A"/>
    <w:rsid w:val="0032680E"/>
    <w:rsid w:val="00332E6D"/>
    <w:rsid w:val="003365D1"/>
    <w:rsid w:val="00347E0F"/>
    <w:rsid w:val="00352226"/>
    <w:rsid w:val="003532AB"/>
    <w:rsid w:val="0035333C"/>
    <w:rsid w:val="00353643"/>
    <w:rsid w:val="00363B1E"/>
    <w:rsid w:val="00367149"/>
    <w:rsid w:val="003729A0"/>
    <w:rsid w:val="00381D11"/>
    <w:rsid w:val="00382BA6"/>
    <w:rsid w:val="003843E2"/>
    <w:rsid w:val="0038669D"/>
    <w:rsid w:val="00387803"/>
    <w:rsid w:val="003953EE"/>
    <w:rsid w:val="003A16F0"/>
    <w:rsid w:val="003A3E19"/>
    <w:rsid w:val="003B3766"/>
    <w:rsid w:val="003B48E9"/>
    <w:rsid w:val="003B4E08"/>
    <w:rsid w:val="003B68D2"/>
    <w:rsid w:val="003C13A2"/>
    <w:rsid w:val="003C4686"/>
    <w:rsid w:val="003D2F07"/>
    <w:rsid w:val="003D7421"/>
    <w:rsid w:val="003E7457"/>
    <w:rsid w:val="003F0254"/>
    <w:rsid w:val="003F707B"/>
    <w:rsid w:val="00402CA5"/>
    <w:rsid w:val="00404929"/>
    <w:rsid w:val="00412FE7"/>
    <w:rsid w:val="00416A8B"/>
    <w:rsid w:val="00433057"/>
    <w:rsid w:val="004379D4"/>
    <w:rsid w:val="00450000"/>
    <w:rsid w:val="00453B0F"/>
    <w:rsid w:val="004672C3"/>
    <w:rsid w:val="00471083"/>
    <w:rsid w:val="00487542"/>
    <w:rsid w:val="004932CC"/>
    <w:rsid w:val="00494ECA"/>
    <w:rsid w:val="00495B2C"/>
    <w:rsid w:val="004967BF"/>
    <w:rsid w:val="004B3E61"/>
    <w:rsid w:val="004B525F"/>
    <w:rsid w:val="004C10FC"/>
    <w:rsid w:val="004C2566"/>
    <w:rsid w:val="004C7C4D"/>
    <w:rsid w:val="004D4811"/>
    <w:rsid w:val="004E3BA7"/>
    <w:rsid w:val="004E3F0F"/>
    <w:rsid w:val="004F1E3C"/>
    <w:rsid w:val="004F2FB6"/>
    <w:rsid w:val="004F39E7"/>
    <w:rsid w:val="0050739B"/>
    <w:rsid w:val="005200F8"/>
    <w:rsid w:val="00525187"/>
    <w:rsid w:val="00532E7D"/>
    <w:rsid w:val="00545EA0"/>
    <w:rsid w:val="00564E44"/>
    <w:rsid w:val="00566DEA"/>
    <w:rsid w:val="00572377"/>
    <w:rsid w:val="00572562"/>
    <w:rsid w:val="0059545C"/>
    <w:rsid w:val="0059680F"/>
    <w:rsid w:val="005A6BD7"/>
    <w:rsid w:val="005C22A0"/>
    <w:rsid w:val="005C7CE9"/>
    <w:rsid w:val="005D0CB6"/>
    <w:rsid w:val="005D2D19"/>
    <w:rsid w:val="005E4D4C"/>
    <w:rsid w:val="005E5B2F"/>
    <w:rsid w:val="005F15A1"/>
    <w:rsid w:val="005F2617"/>
    <w:rsid w:val="005F43FE"/>
    <w:rsid w:val="00605129"/>
    <w:rsid w:val="00611DAC"/>
    <w:rsid w:val="00611F39"/>
    <w:rsid w:val="006237BF"/>
    <w:rsid w:val="0062773D"/>
    <w:rsid w:val="00632023"/>
    <w:rsid w:val="00634826"/>
    <w:rsid w:val="00644AC6"/>
    <w:rsid w:val="00645B09"/>
    <w:rsid w:val="006543C3"/>
    <w:rsid w:val="006547D6"/>
    <w:rsid w:val="006554DA"/>
    <w:rsid w:val="00655B37"/>
    <w:rsid w:val="00657562"/>
    <w:rsid w:val="00657575"/>
    <w:rsid w:val="0066696B"/>
    <w:rsid w:val="00673604"/>
    <w:rsid w:val="006851DE"/>
    <w:rsid w:val="00686E3A"/>
    <w:rsid w:val="00687009"/>
    <w:rsid w:val="006A39DA"/>
    <w:rsid w:val="006A70CA"/>
    <w:rsid w:val="006B4AEC"/>
    <w:rsid w:val="006C41C7"/>
    <w:rsid w:val="006C5E7E"/>
    <w:rsid w:val="006C7AE0"/>
    <w:rsid w:val="006C7FCD"/>
    <w:rsid w:val="006E1652"/>
    <w:rsid w:val="006E49AC"/>
    <w:rsid w:val="006F30DC"/>
    <w:rsid w:val="006F7CA9"/>
    <w:rsid w:val="00715959"/>
    <w:rsid w:val="007172FB"/>
    <w:rsid w:val="007173AB"/>
    <w:rsid w:val="0072429E"/>
    <w:rsid w:val="00736396"/>
    <w:rsid w:val="00736F7D"/>
    <w:rsid w:val="0075042C"/>
    <w:rsid w:val="00755506"/>
    <w:rsid w:val="00756DA6"/>
    <w:rsid w:val="0075782B"/>
    <w:rsid w:val="007728F0"/>
    <w:rsid w:val="00782C1E"/>
    <w:rsid w:val="00783FFD"/>
    <w:rsid w:val="00792104"/>
    <w:rsid w:val="007925B6"/>
    <w:rsid w:val="00793170"/>
    <w:rsid w:val="007933BF"/>
    <w:rsid w:val="007947AD"/>
    <w:rsid w:val="00795330"/>
    <w:rsid w:val="00795822"/>
    <w:rsid w:val="007A1599"/>
    <w:rsid w:val="007A26A7"/>
    <w:rsid w:val="007A3DAA"/>
    <w:rsid w:val="007A56DD"/>
    <w:rsid w:val="007A5A10"/>
    <w:rsid w:val="007B14FF"/>
    <w:rsid w:val="007B4274"/>
    <w:rsid w:val="007B5E8B"/>
    <w:rsid w:val="007C3D5E"/>
    <w:rsid w:val="007D31BD"/>
    <w:rsid w:val="007F0099"/>
    <w:rsid w:val="007F3978"/>
    <w:rsid w:val="008005F2"/>
    <w:rsid w:val="00806D9C"/>
    <w:rsid w:val="00807112"/>
    <w:rsid w:val="00812C75"/>
    <w:rsid w:val="008171E1"/>
    <w:rsid w:val="00831DD3"/>
    <w:rsid w:val="00840133"/>
    <w:rsid w:val="00841F4B"/>
    <w:rsid w:val="008513F5"/>
    <w:rsid w:val="00851ED8"/>
    <w:rsid w:val="00854145"/>
    <w:rsid w:val="008544B6"/>
    <w:rsid w:val="0085454D"/>
    <w:rsid w:val="00854570"/>
    <w:rsid w:val="00857E8C"/>
    <w:rsid w:val="0087135C"/>
    <w:rsid w:val="008866D2"/>
    <w:rsid w:val="008876D6"/>
    <w:rsid w:val="008A5033"/>
    <w:rsid w:val="008A5BBD"/>
    <w:rsid w:val="008A624B"/>
    <w:rsid w:val="008A719E"/>
    <w:rsid w:val="008C26F8"/>
    <w:rsid w:val="008C4A17"/>
    <w:rsid w:val="008E3B41"/>
    <w:rsid w:val="008E6794"/>
    <w:rsid w:val="008F1A4E"/>
    <w:rsid w:val="009029F0"/>
    <w:rsid w:val="00905007"/>
    <w:rsid w:val="00906A4D"/>
    <w:rsid w:val="00917C31"/>
    <w:rsid w:val="009269AA"/>
    <w:rsid w:val="009410FC"/>
    <w:rsid w:val="00942C25"/>
    <w:rsid w:val="00952C6F"/>
    <w:rsid w:val="00961A4B"/>
    <w:rsid w:val="00961AE9"/>
    <w:rsid w:val="009632DD"/>
    <w:rsid w:val="00967AC8"/>
    <w:rsid w:val="009744F6"/>
    <w:rsid w:val="009753B5"/>
    <w:rsid w:val="00985279"/>
    <w:rsid w:val="0099595C"/>
    <w:rsid w:val="009970A5"/>
    <w:rsid w:val="009A1827"/>
    <w:rsid w:val="009A5481"/>
    <w:rsid w:val="009B37E2"/>
    <w:rsid w:val="009C252F"/>
    <w:rsid w:val="009F007E"/>
    <w:rsid w:val="009F12EB"/>
    <w:rsid w:val="009F20D2"/>
    <w:rsid w:val="009F27D6"/>
    <w:rsid w:val="009F6920"/>
    <w:rsid w:val="00A015FB"/>
    <w:rsid w:val="00A11969"/>
    <w:rsid w:val="00A249B4"/>
    <w:rsid w:val="00A27550"/>
    <w:rsid w:val="00A4123C"/>
    <w:rsid w:val="00A414E4"/>
    <w:rsid w:val="00A42714"/>
    <w:rsid w:val="00A43486"/>
    <w:rsid w:val="00A45A0E"/>
    <w:rsid w:val="00A66E0D"/>
    <w:rsid w:val="00A803A5"/>
    <w:rsid w:val="00A80DFA"/>
    <w:rsid w:val="00A93736"/>
    <w:rsid w:val="00A95F69"/>
    <w:rsid w:val="00A96DD1"/>
    <w:rsid w:val="00AA79C5"/>
    <w:rsid w:val="00AC1F23"/>
    <w:rsid w:val="00AC5AF8"/>
    <w:rsid w:val="00AC73DC"/>
    <w:rsid w:val="00AD1808"/>
    <w:rsid w:val="00AD65A6"/>
    <w:rsid w:val="00AD6F07"/>
    <w:rsid w:val="00AE56E3"/>
    <w:rsid w:val="00AF201A"/>
    <w:rsid w:val="00AF274D"/>
    <w:rsid w:val="00AF3A81"/>
    <w:rsid w:val="00B0434C"/>
    <w:rsid w:val="00B14C3C"/>
    <w:rsid w:val="00B16BAD"/>
    <w:rsid w:val="00B21833"/>
    <w:rsid w:val="00B25039"/>
    <w:rsid w:val="00B44105"/>
    <w:rsid w:val="00B475EF"/>
    <w:rsid w:val="00B51251"/>
    <w:rsid w:val="00B545BC"/>
    <w:rsid w:val="00B55C32"/>
    <w:rsid w:val="00B601FF"/>
    <w:rsid w:val="00B60733"/>
    <w:rsid w:val="00B7143F"/>
    <w:rsid w:val="00B71E70"/>
    <w:rsid w:val="00B740C7"/>
    <w:rsid w:val="00B81586"/>
    <w:rsid w:val="00BA1A8C"/>
    <w:rsid w:val="00BA31BA"/>
    <w:rsid w:val="00BA39DB"/>
    <w:rsid w:val="00BA5D33"/>
    <w:rsid w:val="00BC29BE"/>
    <w:rsid w:val="00BC3A1F"/>
    <w:rsid w:val="00BC3BA8"/>
    <w:rsid w:val="00BD3FF6"/>
    <w:rsid w:val="00BE1599"/>
    <w:rsid w:val="00BF7B44"/>
    <w:rsid w:val="00C01FF5"/>
    <w:rsid w:val="00C03178"/>
    <w:rsid w:val="00C17834"/>
    <w:rsid w:val="00C44675"/>
    <w:rsid w:val="00C46727"/>
    <w:rsid w:val="00C548A3"/>
    <w:rsid w:val="00C576E5"/>
    <w:rsid w:val="00C644F7"/>
    <w:rsid w:val="00C645D9"/>
    <w:rsid w:val="00C72419"/>
    <w:rsid w:val="00C7262D"/>
    <w:rsid w:val="00C81F43"/>
    <w:rsid w:val="00C83FB9"/>
    <w:rsid w:val="00C93ACA"/>
    <w:rsid w:val="00C97366"/>
    <w:rsid w:val="00CA0590"/>
    <w:rsid w:val="00CA6149"/>
    <w:rsid w:val="00CB2CE4"/>
    <w:rsid w:val="00CB3C95"/>
    <w:rsid w:val="00CB4020"/>
    <w:rsid w:val="00CC1F22"/>
    <w:rsid w:val="00CC35BC"/>
    <w:rsid w:val="00CC677F"/>
    <w:rsid w:val="00CC7359"/>
    <w:rsid w:val="00CD00E6"/>
    <w:rsid w:val="00CD0666"/>
    <w:rsid w:val="00CD1871"/>
    <w:rsid w:val="00CD239A"/>
    <w:rsid w:val="00CD61CC"/>
    <w:rsid w:val="00CE1ABD"/>
    <w:rsid w:val="00D06CC8"/>
    <w:rsid w:val="00D06EFB"/>
    <w:rsid w:val="00D12472"/>
    <w:rsid w:val="00D12D14"/>
    <w:rsid w:val="00D15467"/>
    <w:rsid w:val="00D15B44"/>
    <w:rsid w:val="00D26DFE"/>
    <w:rsid w:val="00D270FF"/>
    <w:rsid w:val="00D31FC6"/>
    <w:rsid w:val="00D3233B"/>
    <w:rsid w:val="00D56DB8"/>
    <w:rsid w:val="00D61C9F"/>
    <w:rsid w:val="00D64FAA"/>
    <w:rsid w:val="00D7269F"/>
    <w:rsid w:val="00D73467"/>
    <w:rsid w:val="00D74CB1"/>
    <w:rsid w:val="00D833DD"/>
    <w:rsid w:val="00D8723E"/>
    <w:rsid w:val="00DA742E"/>
    <w:rsid w:val="00DB1D4A"/>
    <w:rsid w:val="00DB308C"/>
    <w:rsid w:val="00DB79B2"/>
    <w:rsid w:val="00DC2CA1"/>
    <w:rsid w:val="00DC78ED"/>
    <w:rsid w:val="00DD41DA"/>
    <w:rsid w:val="00DE3764"/>
    <w:rsid w:val="00DE3B1A"/>
    <w:rsid w:val="00DF0527"/>
    <w:rsid w:val="00DF2B21"/>
    <w:rsid w:val="00DF2BD1"/>
    <w:rsid w:val="00DF67E2"/>
    <w:rsid w:val="00E06211"/>
    <w:rsid w:val="00E07623"/>
    <w:rsid w:val="00E10D7E"/>
    <w:rsid w:val="00E1610C"/>
    <w:rsid w:val="00E23529"/>
    <w:rsid w:val="00E40070"/>
    <w:rsid w:val="00E4469D"/>
    <w:rsid w:val="00E511D7"/>
    <w:rsid w:val="00E8011A"/>
    <w:rsid w:val="00E9771A"/>
    <w:rsid w:val="00EA1435"/>
    <w:rsid w:val="00EA6B91"/>
    <w:rsid w:val="00EA6C7F"/>
    <w:rsid w:val="00EB51CA"/>
    <w:rsid w:val="00EB6FE7"/>
    <w:rsid w:val="00EC46EB"/>
    <w:rsid w:val="00EC5873"/>
    <w:rsid w:val="00EC62E3"/>
    <w:rsid w:val="00ED1840"/>
    <w:rsid w:val="00ED2F10"/>
    <w:rsid w:val="00EE18C8"/>
    <w:rsid w:val="00EE2514"/>
    <w:rsid w:val="00EF1D86"/>
    <w:rsid w:val="00EF475B"/>
    <w:rsid w:val="00EF6163"/>
    <w:rsid w:val="00EF7859"/>
    <w:rsid w:val="00F0213F"/>
    <w:rsid w:val="00F04919"/>
    <w:rsid w:val="00F10DD1"/>
    <w:rsid w:val="00F1453E"/>
    <w:rsid w:val="00F163A7"/>
    <w:rsid w:val="00F16F08"/>
    <w:rsid w:val="00F212B3"/>
    <w:rsid w:val="00F261A1"/>
    <w:rsid w:val="00F315AA"/>
    <w:rsid w:val="00F3445A"/>
    <w:rsid w:val="00F36DD9"/>
    <w:rsid w:val="00F44596"/>
    <w:rsid w:val="00F53806"/>
    <w:rsid w:val="00F63686"/>
    <w:rsid w:val="00F6478D"/>
    <w:rsid w:val="00F72B8A"/>
    <w:rsid w:val="00F82E5B"/>
    <w:rsid w:val="00FA1238"/>
    <w:rsid w:val="00FA6372"/>
    <w:rsid w:val="00FA6A68"/>
    <w:rsid w:val="00FB160C"/>
    <w:rsid w:val="00FB3636"/>
    <w:rsid w:val="00FB4397"/>
    <w:rsid w:val="00FB4AB9"/>
    <w:rsid w:val="00FB56E2"/>
    <w:rsid w:val="00FB6856"/>
    <w:rsid w:val="00FC057D"/>
    <w:rsid w:val="00FD1468"/>
    <w:rsid w:val="00FE2342"/>
    <w:rsid w:val="00FF0DA0"/>
    <w:rsid w:val="00FF6BA7"/>
    <w:rsid w:val="00FF7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uiPriority w:val="9"/>
    <w:qFormat/>
    <w:rsid w:val="009B37E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szCs w:val="32"/>
    </w:rPr>
  </w:style>
  <w:style w:type="paragraph" w:styleId="7">
    <w:name w:val="heading 7"/>
    <w:basedOn w:val="a"/>
    <w:next w:val="a"/>
    <w:link w:val="7Char"/>
    <w:uiPriority w:val="9"/>
    <w:semiHidden/>
    <w:unhideWhenUsed/>
    <w:qFormat/>
    <w:rsid w:val="00B545B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9149F"/>
    <w:rPr>
      <w:rFonts w:ascii="Arial" w:eastAsia="黑体" w:hAnsi="Arial" w:cs="Times New Roman"/>
      <w:b/>
      <w:bCs/>
      <w:sz w:val="32"/>
      <w:szCs w:val="32"/>
    </w:rPr>
  </w:style>
  <w:style w:type="character" w:styleId="a3">
    <w:name w:val="footnote reference"/>
    <w:basedOn w:val="a0"/>
    <w:rsid w:val="0009149F"/>
    <w:rPr>
      <w:vertAlign w:val="superscript"/>
    </w:rPr>
  </w:style>
  <w:style w:type="paragraph" w:styleId="a4">
    <w:name w:val="footnote text"/>
    <w:basedOn w:val="a"/>
    <w:link w:val="Char"/>
    <w:rsid w:val="0009149F"/>
    <w:pPr>
      <w:snapToGrid w:val="0"/>
      <w:jc w:val="left"/>
    </w:pPr>
    <w:rPr>
      <w:rFonts w:eastAsia="宋体"/>
      <w:sz w:val="18"/>
    </w:rPr>
  </w:style>
  <w:style w:type="character" w:customStyle="1" w:styleId="Char">
    <w:name w:val="脚注文本 Char"/>
    <w:basedOn w:val="a0"/>
    <w:link w:val="a4"/>
    <w:rsid w:val="0009149F"/>
    <w:rPr>
      <w:rFonts w:ascii="Times New Roman" w:eastAsia="宋体" w:hAnsi="Times New Roman" w:cs="Times New Roman"/>
      <w:sz w:val="18"/>
      <w:szCs w:val="20"/>
    </w:rPr>
  </w:style>
  <w:style w:type="paragraph" w:customStyle="1" w:styleId="Default">
    <w:name w:val="Default"/>
    <w:rsid w:val="00F16F08"/>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style>
  <w:style w:type="character" w:customStyle="1" w:styleId="Char0">
    <w:name w:val="批注文字 Char"/>
    <w:basedOn w:val="a0"/>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basedOn w:val="Char0"/>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sz w:val="18"/>
      <w:szCs w:val="18"/>
    </w:rPr>
  </w:style>
  <w:style w:type="character" w:customStyle="1" w:styleId="Char2">
    <w:name w:val="批注框文本 Char"/>
    <w:basedOn w:val="a0"/>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sz w:val="18"/>
      <w:szCs w:val="18"/>
    </w:rPr>
  </w:style>
  <w:style w:type="character" w:customStyle="1" w:styleId="Char4">
    <w:name w:val="页脚 Char"/>
    <w:basedOn w:val="a0"/>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basedOn w:val="a0"/>
    <w:link w:val="7"/>
    <w:rsid w:val="00B545BC"/>
    <w:rPr>
      <w:rFonts w:ascii="Times New Roman" w:eastAsia="方正仿宋简体" w:hAnsi="Times New Roman" w:cs="Times New Roman"/>
      <w:b/>
      <w:bCs/>
      <w:sz w:val="24"/>
      <w:szCs w:val="24"/>
    </w:rPr>
  </w:style>
  <w:style w:type="paragraph" w:styleId="ac">
    <w:name w:val="Revision"/>
    <w:hidden/>
    <w:uiPriority w:val="99"/>
    <w:semiHidden/>
    <w:rsid w:val="00736396"/>
    <w:rPr>
      <w:rFonts w:ascii="Times New Roman" w:eastAsia="方正仿宋简体" w:hAnsi="Times New Roman" w:cs="Times New Roman"/>
      <w:sz w:val="32"/>
      <w:szCs w:val="20"/>
    </w:rPr>
  </w:style>
  <w:style w:type="character" w:customStyle="1" w:styleId="1Char">
    <w:name w:val="标题 1 Char"/>
    <w:basedOn w:val="a0"/>
    <w:link w:val="1"/>
    <w:uiPriority w:val="9"/>
    <w:rsid w:val="009B37E2"/>
    <w:rPr>
      <w:rFonts w:ascii="Times New Roman" w:eastAsia="方正仿宋简体" w:hAnsi="Times New Roman" w:cs="Times New Roman"/>
      <w:b/>
      <w:bCs/>
      <w:kern w:val="44"/>
      <w:sz w:val="44"/>
      <w:szCs w:val="44"/>
    </w:rPr>
  </w:style>
  <w:style w:type="character" w:styleId="ad">
    <w:name w:val="Hyperlink"/>
    <w:basedOn w:val="a0"/>
    <w:rsid w:val="006A39DA"/>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119345656">
      <w:bodyDiv w:val="1"/>
      <w:marLeft w:val="0"/>
      <w:marRight w:val="0"/>
      <w:marTop w:val="0"/>
      <w:marBottom w:val="0"/>
      <w:divBdr>
        <w:top w:val="none" w:sz="0" w:space="0" w:color="auto"/>
        <w:left w:val="none" w:sz="0" w:space="0" w:color="auto"/>
        <w:bottom w:val="none" w:sz="0" w:space="0" w:color="auto"/>
        <w:right w:val="none" w:sz="0" w:space="0" w:color="auto"/>
      </w:divBdr>
      <w:divsChild>
        <w:div w:id="1863670416">
          <w:marLeft w:val="0"/>
          <w:marRight w:val="0"/>
          <w:marTop w:val="0"/>
          <w:marBottom w:val="0"/>
          <w:divBdr>
            <w:top w:val="none" w:sz="0" w:space="0" w:color="auto"/>
            <w:left w:val="none" w:sz="0" w:space="0" w:color="auto"/>
            <w:bottom w:val="none" w:sz="0" w:space="0" w:color="auto"/>
            <w:right w:val="none" w:sz="0" w:space="0" w:color="auto"/>
          </w:divBdr>
        </w:div>
        <w:div w:id="1541212552">
          <w:marLeft w:val="0"/>
          <w:marRight w:val="0"/>
          <w:marTop w:val="0"/>
          <w:marBottom w:val="0"/>
          <w:divBdr>
            <w:top w:val="none" w:sz="0" w:space="0" w:color="auto"/>
            <w:left w:val="none" w:sz="0" w:space="0" w:color="auto"/>
            <w:bottom w:val="none" w:sz="0" w:space="0" w:color="auto"/>
            <w:right w:val="none" w:sz="0" w:space="0" w:color="auto"/>
          </w:divBdr>
        </w:div>
        <w:div w:id="538980827">
          <w:marLeft w:val="0"/>
          <w:marRight w:val="0"/>
          <w:marTop w:val="0"/>
          <w:marBottom w:val="0"/>
          <w:divBdr>
            <w:top w:val="none" w:sz="0" w:space="0" w:color="auto"/>
            <w:left w:val="none" w:sz="0" w:space="0" w:color="auto"/>
            <w:bottom w:val="none" w:sz="0" w:space="0" w:color="auto"/>
            <w:right w:val="none" w:sz="0" w:space="0" w:color="auto"/>
          </w:divBdr>
        </w:div>
        <w:div w:id="701516329">
          <w:marLeft w:val="0"/>
          <w:marRight w:val="0"/>
          <w:marTop w:val="0"/>
          <w:marBottom w:val="0"/>
          <w:divBdr>
            <w:top w:val="none" w:sz="0" w:space="0" w:color="auto"/>
            <w:left w:val="none" w:sz="0" w:space="0" w:color="auto"/>
            <w:bottom w:val="none" w:sz="0" w:space="0" w:color="auto"/>
            <w:right w:val="none" w:sz="0" w:space="0" w:color="auto"/>
          </w:divBdr>
        </w:div>
        <w:div w:id="513884745">
          <w:marLeft w:val="0"/>
          <w:marRight w:val="0"/>
          <w:marTop w:val="0"/>
          <w:marBottom w:val="0"/>
          <w:divBdr>
            <w:top w:val="none" w:sz="0" w:space="0" w:color="auto"/>
            <w:left w:val="none" w:sz="0" w:space="0" w:color="auto"/>
            <w:bottom w:val="none" w:sz="0" w:space="0" w:color="auto"/>
            <w:right w:val="none" w:sz="0" w:space="0" w:color="auto"/>
          </w:divBdr>
        </w:div>
        <w:div w:id="99647024">
          <w:marLeft w:val="0"/>
          <w:marRight w:val="0"/>
          <w:marTop w:val="0"/>
          <w:marBottom w:val="0"/>
          <w:divBdr>
            <w:top w:val="none" w:sz="0" w:space="0" w:color="auto"/>
            <w:left w:val="none" w:sz="0" w:space="0" w:color="auto"/>
            <w:bottom w:val="none" w:sz="0" w:space="0" w:color="auto"/>
            <w:right w:val="none" w:sz="0" w:space="0" w:color="auto"/>
          </w:divBdr>
        </w:div>
        <w:div w:id="571937612">
          <w:marLeft w:val="0"/>
          <w:marRight w:val="0"/>
          <w:marTop w:val="0"/>
          <w:marBottom w:val="0"/>
          <w:divBdr>
            <w:top w:val="none" w:sz="0" w:space="0" w:color="auto"/>
            <w:left w:val="none" w:sz="0" w:space="0" w:color="auto"/>
            <w:bottom w:val="none" w:sz="0" w:space="0" w:color="auto"/>
            <w:right w:val="none" w:sz="0" w:space="0" w:color="auto"/>
          </w:divBdr>
        </w:div>
        <w:div w:id="1714033474">
          <w:marLeft w:val="0"/>
          <w:marRight w:val="0"/>
          <w:marTop w:val="0"/>
          <w:marBottom w:val="0"/>
          <w:divBdr>
            <w:top w:val="none" w:sz="0" w:space="0" w:color="auto"/>
            <w:left w:val="none" w:sz="0" w:space="0" w:color="auto"/>
            <w:bottom w:val="none" w:sz="0" w:space="0" w:color="auto"/>
            <w:right w:val="none" w:sz="0" w:space="0" w:color="auto"/>
          </w:divBdr>
        </w:div>
        <w:div w:id="1513494483">
          <w:marLeft w:val="0"/>
          <w:marRight w:val="0"/>
          <w:marTop w:val="0"/>
          <w:marBottom w:val="0"/>
          <w:divBdr>
            <w:top w:val="none" w:sz="0" w:space="0" w:color="auto"/>
            <w:left w:val="none" w:sz="0" w:space="0" w:color="auto"/>
            <w:bottom w:val="none" w:sz="0" w:space="0" w:color="auto"/>
            <w:right w:val="none" w:sz="0" w:space="0" w:color="auto"/>
          </w:divBdr>
        </w:div>
      </w:divsChild>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60224566">
      <w:bodyDiv w:val="1"/>
      <w:marLeft w:val="0"/>
      <w:marRight w:val="0"/>
      <w:marTop w:val="0"/>
      <w:marBottom w:val="0"/>
      <w:divBdr>
        <w:top w:val="none" w:sz="0" w:space="0" w:color="auto"/>
        <w:left w:val="none" w:sz="0" w:space="0" w:color="auto"/>
        <w:bottom w:val="none" w:sz="0" w:space="0" w:color="auto"/>
        <w:right w:val="none" w:sz="0" w:space="0" w:color="auto"/>
      </w:divBdr>
      <w:divsChild>
        <w:div w:id="1352992973">
          <w:marLeft w:val="0"/>
          <w:marRight w:val="0"/>
          <w:marTop w:val="0"/>
          <w:marBottom w:val="0"/>
          <w:divBdr>
            <w:top w:val="none" w:sz="0" w:space="0" w:color="auto"/>
            <w:left w:val="none" w:sz="0" w:space="0" w:color="auto"/>
            <w:bottom w:val="none" w:sz="0" w:space="0" w:color="auto"/>
            <w:right w:val="none" w:sz="0" w:space="0" w:color="auto"/>
          </w:divBdr>
        </w:div>
        <w:div w:id="628509314">
          <w:marLeft w:val="0"/>
          <w:marRight w:val="0"/>
          <w:marTop w:val="0"/>
          <w:marBottom w:val="0"/>
          <w:divBdr>
            <w:top w:val="none" w:sz="0" w:space="0" w:color="auto"/>
            <w:left w:val="none" w:sz="0" w:space="0" w:color="auto"/>
            <w:bottom w:val="none" w:sz="0" w:space="0" w:color="auto"/>
            <w:right w:val="none" w:sz="0" w:space="0" w:color="auto"/>
          </w:divBdr>
        </w:div>
        <w:div w:id="1990858934">
          <w:marLeft w:val="0"/>
          <w:marRight w:val="0"/>
          <w:marTop w:val="0"/>
          <w:marBottom w:val="0"/>
          <w:divBdr>
            <w:top w:val="none" w:sz="0" w:space="0" w:color="auto"/>
            <w:left w:val="none" w:sz="0" w:space="0" w:color="auto"/>
            <w:bottom w:val="none" w:sz="0" w:space="0" w:color="auto"/>
            <w:right w:val="none" w:sz="0" w:space="0" w:color="auto"/>
          </w:divBdr>
        </w:div>
        <w:div w:id="498617596">
          <w:marLeft w:val="0"/>
          <w:marRight w:val="0"/>
          <w:marTop w:val="0"/>
          <w:marBottom w:val="0"/>
          <w:divBdr>
            <w:top w:val="none" w:sz="0" w:space="0" w:color="auto"/>
            <w:left w:val="none" w:sz="0" w:space="0" w:color="auto"/>
            <w:bottom w:val="none" w:sz="0" w:space="0" w:color="auto"/>
            <w:right w:val="none" w:sz="0" w:space="0" w:color="auto"/>
          </w:divBdr>
        </w:div>
        <w:div w:id="1950308113">
          <w:marLeft w:val="0"/>
          <w:marRight w:val="0"/>
          <w:marTop w:val="0"/>
          <w:marBottom w:val="0"/>
          <w:divBdr>
            <w:top w:val="none" w:sz="0" w:space="0" w:color="auto"/>
            <w:left w:val="none" w:sz="0" w:space="0" w:color="auto"/>
            <w:bottom w:val="none" w:sz="0" w:space="0" w:color="auto"/>
            <w:right w:val="none" w:sz="0" w:space="0" w:color="auto"/>
          </w:divBdr>
        </w:div>
        <w:div w:id="1156645502">
          <w:marLeft w:val="0"/>
          <w:marRight w:val="0"/>
          <w:marTop w:val="0"/>
          <w:marBottom w:val="0"/>
          <w:divBdr>
            <w:top w:val="none" w:sz="0" w:space="0" w:color="auto"/>
            <w:left w:val="none" w:sz="0" w:space="0" w:color="auto"/>
            <w:bottom w:val="none" w:sz="0" w:space="0" w:color="auto"/>
            <w:right w:val="none" w:sz="0" w:space="0" w:color="auto"/>
          </w:divBdr>
        </w:div>
        <w:div w:id="637420377">
          <w:marLeft w:val="0"/>
          <w:marRight w:val="0"/>
          <w:marTop w:val="0"/>
          <w:marBottom w:val="0"/>
          <w:divBdr>
            <w:top w:val="none" w:sz="0" w:space="0" w:color="auto"/>
            <w:left w:val="none" w:sz="0" w:space="0" w:color="auto"/>
            <w:bottom w:val="none" w:sz="0" w:space="0" w:color="auto"/>
            <w:right w:val="none" w:sz="0" w:space="0" w:color="auto"/>
          </w:divBdr>
        </w:div>
        <w:div w:id="1485273732">
          <w:marLeft w:val="0"/>
          <w:marRight w:val="0"/>
          <w:marTop w:val="0"/>
          <w:marBottom w:val="0"/>
          <w:divBdr>
            <w:top w:val="none" w:sz="0" w:space="0" w:color="auto"/>
            <w:left w:val="none" w:sz="0" w:space="0" w:color="auto"/>
            <w:bottom w:val="none" w:sz="0" w:space="0" w:color="auto"/>
            <w:right w:val="none" w:sz="0" w:space="0" w:color="auto"/>
          </w:divBdr>
        </w:div>
        <w:div w:id="1340082936">
          <w:marLeft w:val="0"/>
          <w:marRight w:val="0"/>
          <w:marTop w:val="0"/>
          <w:marBottom w:val="0"/>
          <w:divBdr>
            <w:top w:val="none" w:sz="0" w:space="0" w:color="auto"/>
            <w:left w:val="none" w:sz="0" w:space="0" w:color="auto"/>
            <w:bottom w:val="none" w:sz="0" w:space="0" w:color="auto"/>
            <w:right w:val="none" w:sz="0" w:space="0" w:color="auto"/>
          </w:divBdr>
        </w:div>
      </w:divsChild>
    </w:div>
    <w:div w:id="585847574">
      <w:bodyDiv w:val="1"/>
      <w:marLeft w:val="0"/>
      <w:marRight w:val="0"/>
      <w:marTop w:val="0"/>
      <w:marBottom w:val="0"/>
      <w:divBdr>
        <w:top w:val="none" w:sz="0" w:space="0" w:color="auto"/>
        <w:left w:val="none" w:sz="0" w:space="0" w:color="auto"/>
        <w:bottom w:val="none" w:sz="0" w:space="0" w:color="auto"/>
        <w:right w:val="none" w:sz="0" w:space="0" w:color="auto"/>
      </w:divBdr>
      <w:divsChild>
        <w:div w:id="1194078095">
          <w:marLeft w:val="0"/>
          <w:marRight w:val="0"/>
          <w:marTop w:val="0"/>
          <w:marBottom w:val="0"/>
          <w:divBdr>
            <w:top w:val="none" w:sz="0" w:space="0" w:color="auto"/>
            <w:left w:val="none" w:sz="0" w:space="0" w:color="auto"/>
            <w:bottom w:val="none" w:sz="0" w:space="0" w:color="auto"/>
            <w:right w:val="none" w:sz="0" w:space="0" w:color="auto"/>
          </w:divBdr>
        </w:div>
      </w:divsChild>
    </w:div>
    <w:div w:id="1403337192">
      <w:bodyDiv w:val="1"/>
      <w:marLeft w:val="0"/>
      <w:marRight w:val="0"/>
      <w:marTop w:val="0"/>
      <w:marBottom w:val="0"/>
      <w:divBdr>
        <w:top w:val="none" w:sz="0" w:space="0" w:color="auto"/>
        <w:left w:val="none" w:sz="0" w:space="0" w:color="auto"/>
        <w:bottom w:val="none" w:sz="0" w:space="0" w:color="auto"/>
        <w:right w:val="none" w:sz="0" w:space="0" w:color="auto"/>
      </w:divBdr>
    </w:div>
    <w:div w:id="14944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850BB-14C5-4050-AA75-9BC89DA4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4</DocSecurity>
  <Lines>7</Lines>
  <Paragraphs>2</Paragraphs>
  <ScaleCrop>false</ScaleCrop>
  <Company>Microsoft</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dc:creator>
  <cp:lastModifiedBy>ZHONGM</cp:lastModifiedBy>
  <cp:revision>2</cp:revision>
  <cp:lastPrinted>2011-09-06T06:39:00Z</cp:lastPrinted>
  <dcterms:created xsi:type="dcterms:W3CDTF">2025-05-21T16:01:00Z</dcterms:created>
  <dcterms:modified xsi:type="dcterms:W3CDTF">2025-05-21T16:01:00Z</dcterms:modified>
</cp:coreProperties>
</file>