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52" w:rsidRDefault="00EE16B5">
      <w:pPr>
        <w:jc w:val="center"/>
        <w:rPr>
          <w:rFonts w:ascii="宋体" w:eastAsia="宋体" w:hAnsi="宋体" w:cs="Times New Roman"/>
          <w:b/>
          <w:sz w:val="32"/>
          <w:szCs w:val="32"/>
        </w:rPr>
      </w:pPr>
      <w:bookmarkStart w:id="0" w:name="_GoBack"/>
      <w:r>
        <w:rPr>
          <w:rFonts w:ascii="宋体" w:eastAsia="宋体" w:hAnsi="宋体" w:cs="Times New Roman" w:hint="eastAsia"/>
          <w:b/>
          <w:sz w:val="32"/>
          <w:szCs w:val="32"/>
        </w:rPr>
        <w:t>关于南华瑞泰</w:t>
      </w:r>
      <w:r>
        <w:rPr>
          <w:rFonts w:ascii="宋体" w:eastAsia="宋体" w:hAnsi="宋体" w:cs="Times New Roman" w:hint="eastAsia"/>
          <w:b/>
          <w:sz w:val="32"/>
          <w:szCs w:val="32"/>
        </w:rPr>
        <w:t>39</w:t>
      </w:r>
      <w:r>
        <w:rPr>
          <w:rFonts w:ascii="宋体" w:eastAsia="宋体" w:hAnsi="宋体" w:cs="Times New Roman" w:hint="eastAsia"/>
          <w:b/>
          <w:sz w:val="32"/>
          <w:szCs w:val="32"/>
        </w:rPr>
        <w:t>个月定期开放债券型证券投资基金</w:t>
      </w:r>
    </w:p>
    <w:p w:rsidR="00AB2752" w:rsidRDefault="00EE16B5">
      <w:pPr>
        <w:jc w:val="center"/>
        <w:rPr>
          <w:rFonts w:ascii="宋体" w:eastAsia="宋体" w:hAnsi="宋体" w:cs="Times New Roman"/>
          <w:b/>
          <w:sz w:val="32"/>
          <w:szCs w:val="32"/>
        </w:rPr>
      </w:pPr>
      <w:r>
        <w:rPr>
          <w:rFonts w:ascii="宋体" w:eastAsia="宋体" w:hAnsi="宋体" w:cs="Times New Roman" w:hint="eastAsia"/>
          <w:b/>
          <w:sz w:val="32"/>
          <w:szCs w:val="32"/>
        </w:rPr>
        <w:t>提前结束开放期并进入下一封闭期的公告</w:t>
      </w:r>
    </w:p>
    <w:bookmarkEnd w:id="0"/>
    <w:p w:rsidR="00AB2752" w:rsidRDefault="00AB2752">
      <w:pPr>
        <w:jc w:val="center"/>
      </w:pP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根据</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19</w:t>
      </w:r>
      <w:r>
        <w:rPr>
          <w:rFonts w:ascii="宋体" w:eastAsia="宋体" w:hAnsi="宋体" w:cs="宋体" w:hint="eastAsia"/>
          <w:szCs w:val="21"/>
        </w:rPr>
        <w:t>日发布的《关于南华瑞泰</w:t>
      </w:r>
      <w:r>
        <w:rPr>
          <w:rFonts w:ascii="宋体" w:eastAsia="宋体" w:hAnsi="宋体" w:cs="宋体" w:hint="eastAsia"/>
          <w:szCs w:val="21"/>
        </w:rPr>
        <w:t>39</w:t>
      </w:r>
      <w:r>
        <w:rPr>
          <w:rFonts w:ascii="宋体" w:eastAsia="宋体" w:hAnsi="宋体" w:cs="宋体" w:hint="eastAsia"/>
          <w:szCs w:val="21"/>
        </w:rPr>
        <w:t>个月定期开放债券型证券投资基金重启运作并开放申购、赎回业务的公告》，南华瑞泰</w:t>
      </w:r>
      <w:r>
        <w:rPr>
          <w:rFonts w:ascii="宋体" w:eastAsia="宋体" w:hAnsi="宋体" w:cs="宋体" w:hint="eastAsia"/>
          <w:szCs w:val="21"/>
        </w:rPr>
        <w:t>39</w:t>
      </w:r>
      <w:r>
        <w:rPr>
          <w:rFonts w:ascii="宋体" w:eastAsia="宋体" w:hAnsi="宋体" w:cs="宋体" w:hint="eastAsia"/>
          <w:szCs w:val="21"/>
        </w:rPr>
        <w:t>个月定期开放债券型证券投资基金（以下简称“本基金”）本次开放期原定为</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日（含该日）至</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6</w:t>
      </w:r>
      <w:r>
        <w:rPr>
          <w:rFonts w:ascii="宋体" w:eastAsia="宋体" w:hAnsi="宋体" w:cs="宋体" w:hint="eastAsia"/>
          <w:szCs w:val="21"/>
        </w:rPr>
        <w:t>月</w:t>
      </w:r>
      <w:r>
        <w:rPr>
          <w:rFonts w:ascii="宋体" w:eastAsia="宋体" w:hAnsi="宋体" w:cs="宋体" w:hint="eastAsia"/>
          <w:szCs w:val="21"/>
        </w:rPr>
        <w:t>17</w:t>
      </w:r>
      <w:r>
        <w:rPr>
          <w:rFonts w:ascii="宋体" w:eastAsia="宋体" w:hAnsi="宋体" w:cs="宋体" w:hint="eastAsia"/>
          <w:szCs w:val="21"/>
        </w:rPr>
        <w:t>日（含该日）。</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为维护基金份额持有人的利益，做好本基金的投资管理和风险控制工作，根据《南华瑞泰</w:t>
      </w:r>
      <w:r>
        <w:rPr>
          <w:rFonts w:ascii="宋体" w:eastAsia="宋体" w:hAnsi="宋体" w:cs="宋体" w:hint="eastAsia"/>
          <w:szCs w:val="21"/>
        </w:rPr>
        <w:t>39</w:t>
      </w:r>
      <w:r>
        <w:rPr>
          <w:rFonts w:ascii="宋体" w:eastAsia="宋体" w:hAnsi="宋体" w:cs="宋体" w:hint="eastAsia"/>
          <w:szCs w:val="21"/>
        </w:rPr>
        <w:t>个月定期开放债券型证券投资基金基金合同》及更新的《南华瑞泰</w:t>
      </w:r>
      <w:r>
        <w:rPr>
          <w:rFonts w:ascii="宋体" w:eastAsia="宋体" w:hAnsi="宋体" w:cs="宋体" w:hint="eastAsia"/>
          <w:szCs w:val="21"/>
        </w:rPr>
        <w:t>39</w:t>
      </w:r>
      <w:r>
        <w:rPr>
          <w:rFonts w:ascii="宋体" w:eastAsia="宋体" w:hAnsi="宋体" w:cs="宋体" w:hint="eastAsia"/>
          <w:szCs w:val="21"/>
        </w:rPr>
        <w:t>个月定期开放债券型证券投资基金招募说明书》等法律文件的规定，本基金管理人决定提前结束本基金的本次开放期，将</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20</w:t>
      </w:r>
      <w:r>
        <w:rPr>
          <w:rFonts w:ascii="宋体" w:eastAsia="宋体" w:hAnsi="宋体" w:cs="宋体" w:hint="eastAsia"/>
          <w:szCs w:val="21"/>
        </w:rPr>
        <w:t>日（含该日）定为本基金本次开放期最后一日，本基金自</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21</w:t>
      </w:r>
      <w:r>
        <w:rPr>
          <w:rFonts w:ascii="宋体" w:eastAsia="宋体" w:hAnsi="宋体" w:cs="宋体" w:hint="eastAsia"/>
          <w:szCs w:val="21"/>
        </w:rPr>
        <w:t>日起进入下一个封闭期。</w:t>
      </w:r>
      <w:r>
        <w:rPr>
          <w:rFonts w:ascii="宋体" w:eastAsia="宋体" w:hAnsi="宋体" w:cs="宋体"/>
          <w:szCs w:val="21"/>
        </w:rPr>
        <w:t>本基金封闭期内不办理申购与赎回业务</w:t>
      </w:r>
      <w:r>
        <w:rPr>
          <w:rFonts w:ascii="宋体" w:eastAsia="宋体" w:hAnsi="宋体" w:cs="宋体" w:hint="eastAsia"/>
          <w:szCs w:val="21"/>
        </w:rPr>
        <w:t>。</w:t>
      </w:r>
    </w:p>
    <w:p w:rsidR="00AB2752" w:rsidRDefault="00AB2752">
      <w:pPr>
        <w:spacing w:line="360" w:lineRule="auto"/>
        <w:jc w:val="left"/>
        <w:rPr>
          <w:rFonts w:ascii="宋体" w:eastAsia="宋体" w:hAnsi="宋体" w:cs="宋体"/>
          <w:szCs w:val="21"/>
        </w:rPr>
      </w:pP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重要提示：</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、为更好的维护基金份额持有人的利益，存续期内本基金将对基金规模进行控制。本基金将设置可申购规模上限，</w:t>
      </w:r>
      <w:r>
        <w:rPr>
          <w:rFonts w:ascii="宋体" w:eastAsia="宋体" w:hAnsi="宋体" w:cs="宋体" w:hint="eastAsia"/>
          <w:szCs w:val="21"/>
        </w:rPr>
        <w:t>并采用“按比例确认”的原则对本基金的总规模进行控制。具体方案如下：</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本基金总规模上限为</w:t>
      </w:r>
      <w:r>
        <w:rPr>
          <w:rFonts w:ascii="宋体" w:eastAsia="宋体" w:hAnsi="宋体" w:cs="宋体" w:hint="eastAsia"/>
          <w:szCs w:val="21"/>
        </w:rPr>
        <w:t>80</w:t>
      </w:r>
      <w:r>
        <w:rPr>
          <w:rFonts w:ascii="宋体" w:eastAsia="宋体" w:hAnsi="宋体" w:cs="宋体" w:hint="eastAsia"/>
          <w:szCs w:val="21"/>
        </w:rPr>
        <w:t>亿元（单位：人民币，下同）（但因基金份额净值波动导致基金资产净值超过该金额的除外）。后续若本基金总规模上限进行调整，将另行公告。</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若</w:t>
      </w:r>
      <w:r>
        <w:rPr>
          <w:rFonts w:ascii="宋体" w:eastAsia="宋体" w:hAnsi="宋体" w:cs="宋体" w:hint="eastAsia"/>
          <w:szCs w:val="21"/>
        </w:rPr>
        <w:t>T</w:t>
      </w:r>
      <w:r>
        <w:rPr>
          <w:rFonts w:ascii="宋体" w:eastAsia="宋体" w:hAnsi="宋体" w:cs="宋体" w:hint="eastAsia"/>
          <w:szCs w:val="21"/>
        </w:rPr>
        <w:t>日的有效申购申请全部确认后，基金的总规模不超过</w:t>
      </w:r>
      <w:r>
        <w:rPr>
          <w:rFonts w:ascii="宋体" w:eastAsia="宋体" w:hAnsi="宋体" w:cs="宋体" w:hint="eastAsia"/>
          <w:szCs w:val="21"/>
        </w:rPr>
        <w:t>80</w:t>
      </w:r>
      <w:r>
        <w:rPr>
          <w:rFonts w:ascii="宋体" w:eastAsia="宋体" w:hAnsi="宋体" w:cs="宋体" w:hint="eastAsia"/>
          <w:szCs w:val="21"/>
        </w:rPr>
        <w:t>亿元（含</w:t>
      </w:r>
      <w:r>
        <w:rPr>
          <w:rFonts w:ascii="宋体" w:eastAsia="宋体" w:hAnsi="宋体" w:cs="宋体" w:hint="eastAsia"/>
          <w:szCs w:val="21"/>
        </w:rPr>
        <w:t>80</w:t>
      </w:r>
      <w:r>
        <w:rPr>
          <w:rFonts w:ascii="宋体" w:eastAsia="宋体" w:hAnsi="宋体" w:cs="宋体" w:hint="eastAsia"/>
          <w:szCs w:val="21"/>
        </w:rPr>
        <w:t>亿元），则对所有的有效申购申请全部予以确认。</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若</w:t>
      </w:r>
      <w:r>
        <w:rPr>
          <w:rFonts w:ascii="宋体" w:eastAsia="宋体" w:hAnsi="宋体" w:cs="宋体" w:hint="eastAsia"/>
          <w:szCs w:val="21"/>
        </w:rPr>
        <w:t>T</w:t>
      </w:r>
      <w:r>
        <w:rPr>
          <w:rFonts w:ascii="宋体" w:eastAsia="宋体" w:hAnsi="宋体" w:cs="宋体" w:hint="eastAsia"/>
          <w:szCs w:val="21"/>
        </w:rPr>
        <w:t>日的申购申请全部确认后，基金的总规模超过</w:t>
      </w:r>
      <w:r>
        <w:rPr>
          <w:rFonts w:ascii="宋体" w:eastAsia="宋体" w:hAnsi="宋体" w:cs="宋体" w:hint="eastAsia"/>
          <w:szCs w:val="21"/>
        </w:rPr>
        <w:t>80</w:t>
      </w:r>
      <w:r>
        <w:rPr>
          <w:rFonts w:ascii="宋体" w:eastAsia="宋体" w:hAnsi="宋体" w:cs="宋体" w:hint="eastAsia"/>
          <w:szCs w:val="21"/>
        </w:rPr>
        <w:t>亿元，将对</w:t>
      </w:r>
      <w:r>
        <w:rPr>
          <w:rFonts w:ascii="宋体" w:eastAsia="宋体" w:hAnsi="宋体" w:cs="宋体" w:hint="eastAsia"/>
          <w:szCs w:val="21"/>
        </w:rPr>
        <w:t>T</w:t>
      </w:r>
      <w:r>
        <w:rPr>
          <w:rFonts w:ascii="宋体" w:eastAsia="宋体" w:hAnsi="宋体" w:cs="宋体" w:hint="eastAsia"/>
          <w:szCs w:val="21"/>
        </w:rPr>
        <w:t>日有效申购申请采用“申购申请比例确认”的原则给予部分确认，未确认部分的申购款项将依法退还给投资者，由此产生的利息等损失由</w:t>
      </w:r>
      <w:r>
        <w:rPr>
          <w:rFonts w:ascii="宋体" w:eastAsia="宋体" w:hAnsi="宋体" w:cs="宋体" w:hint="eastAsia"/>
          <w:szCs w:val="21"/>
        </w:rPr>
        <w:t>投资者自行承担，请投资者留意资金到账情况。</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申购申请确认比例的计算方法如下：</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T</w:t>
      </w:r>
      <w:r>
        <w:rPr>
          <w:rFonts w:ascii="宋体" w:eastAsia="宋体" w:hAnsi="宋体" w:cs="宋体" w:hint="eastAsia"/>
          <w:szCs w:val="21"/>
        </w:rPr>
        <w:t>日申购申请确认比例</w:t>
      </w:r>
      <w:r>
        <w:rPr>
          <w:rFonts w:ascii="宋体" w:eastAsia="宋体" w:hAnsi="宋体" w:cs="宋体" w:hint="eastAsia"/>
          <w:szCs w:val="21"/>
        </w:rPr>
        <w:t>=Max(0</w:t>
      </w:r>
      <w:r>
        <w:rPr>
          <w:rFonts w:ascii="宋体" w:eastAsia="宋体" w:hAnsi="宋体" w:cs="宋体" w:hint="eastAsia"/>
          <w:szCs w:val="21"/>
        </w:rPr>
        <w:t>，</w:t>
      </w:r>
      <w:r>
        <w:rPr>
          <w:rFonts w:ascii="宋体" w:eastAsia="宋体" w:hAnsi="宋体" w:cs="宋体" w:hint="eastAsia"/>
          <w:szCs w:val="21"/>
        </w:rPr>
        <w:t>80</w:t>
      </w:r>
      <w:r>
        <w:rPr>
          <w:rFonts w:ascii="宋体" w:eastAsia="宋体" w:hAnsi="宋体" w:cs="宋体" w:hint="eastAsia"/>
          <w:szCs w:val="21"/>
        </w:rPr>
        <w:t>亿元－</w:t>
      </w:r>
      <w:r>
        <w:rPr>
          <w:rFonts w:ascii="宋体" w:eastAsia="宋体" w:hAnsi="宋体" w:cs="宋体" w:hint="eastAsia"/>
          <w:szCs w:val="21"/>
        </w:rPr>
        <w:t>T</w:t>
      </w:r>
      <w:r>
        <w:rPr>
          <w:rFonts w:ascii="宋体" w:eastAsia="宋体" w:hAnsi="宋体" w:cs="宋体" w:hint="eastAsia"/>
          <w:szCs w:val="21"/>
        </w:rPr>
        <w:t>日基金资产净值</w:t>
      </w:r>
      <w:r>
        <w:rPr>
          <w:rFonts w:ascii="宋体" w:eastAsia="宋体" w:hAnsi="宋体" w:cs="宋体" w:hint="eastAsia"/>
          <w:szCs w:val="21"/>
        </w:rPr>
        <w:t>+T</w:t>
      </w:r>
      <w:r>
        <w:rPr>
          <w:rFonts w:ascii="宋体" w:eastAsia="宋体" w:hAnsi="宋体" w:cs="宋体" w:hint="eastAsia"/>
          <w:szCs w:val="21"/>
        </w:rPr>
        <w:t>日基金有效赎回确认金额（如有）</w:t>
      </w:r>
      <w:r>
        <w:rPr>
          <w:rFonts w:ascii="宋体" w:eastAsia="宋体" w:hAnsi="宋体" w:cs="宋体" w:hint="eastAsia"/>
          <w:szCs w:val="21"/>
        </w:rPr>
        <w:t>)/T</w:t>
      </w:r>
      <w:r>
        <w:rPr>
          <w:rFonts w:ascii="宋体" w:eastAsia="宋体" w:hAnsi="宋体" w:cs="宋体" w:hint="eastAsia"/>
          <w:szCs w:val="21"/>
        </w:rPr>
        <w:t>日有效申购申请金额</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投资者申购申请确认金额</w:t>
      </w:r>
      <w:r>
        <w:rPr>
          <w:rFonts w:ascii="宋体" w:eastAsia="宋体" w:hAnsi="宋体" w:cs="宋体" w:hint="eastAsia"/>
          <w:szCs w:val="21"/>
        </w:rPr>
        <w:t>=</w:t>
      </w:r>
      <w:r>
        <w:rPr>
          <w:rFonts w:ascii="宋体" w:eastAsia="宋体" w:hAnsi="宋体" w:cs="宋体" w:hint="eastAsia"/>
          <w:szCs w:val="21"/>
        </w:rPr>
        <w:t>投资者</w:t>
      </w:r>
      <w:r>
        <w:rPr>
          <w:rFonts w:ascii="宋体" w:eastAsia="宋体" w:hAnsi="宋体" w:cs="宋体" w:hint="eastAsia"/>
          <w:szCs w:val="21"/>
        </w:rPr>
        <w:t>T</w:t>
      </w:r>
      <w:r>
        <w:rPr>
          <w:rFonts w:ascii="宋体" w:eastAsia="宋体" w:hAnsi="宋体" w:cs="宋体" w:hint="eastAsia"/>
          <w:szCs w:val="21"/>
        </w:rPr>
        <w:t>日提交的有效申购申请金额×</w:t>
      </w:r>
      <w:r>
        <w:rPr>
          <w:rFonts w:ascii="宋体" w:eastAsia="宋体" w:hAnsi="宋体" w:cs="宋体" w:hint="eastAsia"/>
          <w:szCs w:val="21"/>
        </w:rPr>
        <w:t>T</w:t>
      </w:r>
      <w:r>
        <w:rPr>
          <w:rFonts w:ascii="宋体" w:eastAsia="宋体" w:hAnsi="宋体" w:cs="宋体" w:hint="eastAsia"/>
          <w:szCs w:val="21"/>
        </w:rPr>
        <w:t>日申购申请确认比例</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lastRenderedPageBreak/>
        <w:t>注：确认金额的计算结果以舍去尾数的方法保留到小数点后两位。</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T</w:t>
      </w:r>
      <w:r>
        <w:rPr>
          <w:rFonts w:ascii="宋体" w:eastAsia="宋体" w:hAnsi="宋体" w:cs="宋体" w:hint="eastAsia"/>
          <w:szCs w:val="21"/>
        </w:rPr>
        <w:t>日提交的有效申购申请，计算申购费用适用的费率为比例确认后的确认金额所对应的费率区间。该部分申购申请确认金额不受申购最低限额的限制。最终申购申请确认结果以本基金登记机构计算并</w:t>
      </w:r>
      <w:r>
        <w:rPr>
          <w:rFonts w:ascii="宋体" w:eastAsia="宋体" w:hAnsi="宋体" w:cs="宋体" w:hint="eastAsia"/>
          <w:szCs w:val="21"/>
        </w:rPr>
        <w:t>确认的结果为准。对于每日确认比例，本基金管理人不再另行公告。</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、基金销售机构对申购、赎回申请的受理并不代表申请一定成功，而仅代表销售机构确实接收到申请。申购、赎回的确认以登记机构的确认结果为准。对于申请的确认情况，投资者应及时查询。</w:t>
      </w:r>
      <w:r>
        <w:rPr>
          <w:rFonts w:ascii="宋体" w:eastAsia="宋体" w:hAnsi="宋体" w:cs="宋体" w:hint="eastAsia"/>
          <w:szCs w:val="21"/>
        </w:rPr>
        <w:t xml:space="preserve"> </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、投资者欲了解本基金详细情况，请认真阅读本公司网站上刊登的基金的《基金合同》、更新的《招募说明书》等文件，亦可登录本公司网站（</w:t>
      </w:r>
      <w:r>
        <w:rPr>
          <w:rFonts w:ascii="宋体" w:eastAsia="宋体" w:hAnsi="宋体" w:cs="宋体" w:hint="eastAsia"/>
          <w:szCs w:val="21"/>
        </w:rPr>
        <w:t>www.nanhuafunds.com</w:t>
      </w:r>
      <w:r>
        <w:rPr>
          <w:rFonts w:ascii="宋体" w:eastAsia="宋体" w:hAnsi="宋体" w:cs="宋体" w:hint="eastAsia"/>
          <w:szCs w:val="21"/>
        </w:rPr>
        <w:t>）查询或者拨打本公司的客户服务电话</w:t>
      </w:r>
      <w:r>
        <w:rPr>
          <w:rFonts w:ascii="宋体" w:eastAsia="宋体" w:hAnsi="宋体" w:cs="宋体"/>
          <w:szCs w:val="21"/>
        </w:rPr>
        <w:t xml:space="preserve"> </w:t>
      </w:r>
      <w:r>
        <w:rPr>
          <w:rFonts w:ascii="宋体" w:eastAsia="宋体" w:hAnsi="宋体" w:cs="宋体" w:hint="eastAsia"/>
          <w:szCs w:val="21"/>
        </w:rPr>
        <w:t>400-810-5599</w:t>
      </w:r>
      <w:r>
        <w:rPr>
          <w:rFonts w:ascii="宋体" w:eastAsia="宋体" w:hAnsi="宋体" w:cs="宋体" w:hint="eastAsia"/>
          <w:szCs w:val="21"/>
        </w:rPr>
        <w:t>咨询相关事宜。</w:t>
      </w:r>
      <w:r>
        <w:rPr>
          <w:rFonts w:ascii="宋体" w:eastAsia="宋体" w:hAnsi="宋体" w:cs="宋体"/>
          <w:szCs w:val="21"/>
        </w:rPr>
        <w:t xml:space="preserve"> </w:t>
      </w:r>
    </w:p>
    <w:p w:rsidR="00AB2752" w:rsidRDefault="00EE16B5">
      <w:pPr>
        <w:spacing w:line="360" w:lineRule="auto"/>
        <w:ind w:firstLineChars="200" w:firstLine="420"/>
        <w:jc w:val="left"/>
        <w:rPr>
          <w:rFonts w:ascii="宋体" w:eastAsia="宋体" w:hAnsi="宋体" w:cs="宋体"/>
          <w:szCs w:val="21"/>
        </w:rPr>
      </w:pPr>
      <w:r>
        <w:rPr>
          <w:rFonts w:ascii="宋体" w:eastAsia="宋体" w:hAnsi="宋体" w:cs="宋体" w:hint="eastAsia"/>
          <w:szCs w:val="21"/>
        </w:rPr>
        <w:t>风险提示：本基金管理人承诺以诚</w:t>
      </w:r>
      <w:r>
        <w:rPr>
          <w:rFonts w:ascii="宋体" w:eastAsia="宋体" w:hAnsi="宋体" w:cs="宋体" w:hint="eastAsia"/>
          <w:szCs w:val="21"/>
        </w:rPr>
        <w:t>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买</w:t>
      </w:r>
      <w:r>
        <w:rPr>
          <w:rFonts w:ascii="宋体" w:eastAsia="宋体" w:hAnsi="宋体" w:cs="宋体" w:hint="eastAsia"/>
          <w:szCs w:val="21"/>
        </w:rPr>
        <w:t>基金前认真考虑、谨慎决策。</w:t>
      </w:r>
    </w:p>
    <w:p w:rsidR="00AB2752" w:rsidRDefault="00EE16B5">
      <w:pPr>
        <w:pStyle w:val="Default"/>
        <w:spacing w:line="360" w:lineRule="auto"/>
        <w:ind w:firstLine="480"/>
        <w:jc w:val="both"/>
        <w:rPr>
          <w:rFonts w:ascii="宋体" w:eastAsia="宋体" w:hAnsi="宋体" w:cs="宋体"/>
          <w:color w:val="auto"/>
          <w:kern w:val="2"/>
          <w:sz w:val="21"/>
          <w:szCs w:val="21"/>
        </w:rPr>
      </w:pPr>
      <w:r>
        <w:rPr>
          <w:rFonts w:ascii="宋体" w:eastAsia="宋体" w:hAnsi="宋体" w:cs="宋体" w:hint="eastAsia"/>
          <w:color w:val="auto"/>
          <w:kern w:val="2"/>
          <w:sz w:val="21"/>
          <w:szCs w:val="21"/>
        </w:rPr>
        <w:t>特此公告。</w:t>
      </w:r>
      <w:r>
        <w:rPr>
          <w:rFonts w:ascii="宋体" w:eastAsia="宋体" w:hAnsi="宋体" w:cs="宋体"/>
          <w:color w:val="auto"/>
          <w:kern w:val="2"/>
          <w:sz w:val="21"/>
          <w:szCs w:val="21"/>
        </w:rPr>
        <w:t xml:space="preserve"> </w:t>
      </w:r>
    </w:p>
    <w:p w:rsidR="00AB2752" w:rsidRDefault="00AB2752">
      <w:pPr>
        <w:pStyle w:val="Default"/>
        <w:spacing w:line="360" w:lineRule="auto"/>
        <w:jc w:val="right"/>
        <w:rPr>
          <w:sz w:val="23"/>
          <w:szCs w:val="23"/>
        </w:rPr>
      </w:pPr>
    </w:p>
    <w:p w:rsidR="00AB2752" w:rsidRDefault="00EE16B5">
      <w:pPr>
        <w:pStyle w:val="Default"/>
        <w:spacing w:line="360" w:lineRule="auto"/>
        <w:jc w:val="right"/>
        <w:rPr>
          <w:sz w:val="23"/>
          <w:szCs w:val="23"/>
        </w:rPr>
      </w:pPr>
      <w:r>
        <w:rPr>
          <w:rFonts w:hint="eastAsia"/>
          <w:sz w:val="23"/>
          <w:szCs w:val="23"/>
        </w:rPr>
        <w:t>南华基金管理有限公司</w:t>
      </w:r>
      <w:r>
        <w:rPr>
          <w:sz w:val="23"/>
          <w:szCs w:val="23"/>
        </w:rPr>
        <w:t xml:space="preserve"> </w:t>
      </w:r>
    </w:p>
    <w:p w:rsidR="00AB2752" w:rsidRDefault="00EE16B5">
      <w:pPr>
        <w:pStyle w:val="Default"/>
        <w:spacing w:line="360" w:lineRule="auto"/>
        <w:jc w:val="right"/>
        <w:rPr>
          <w:sz w:val="23"/>
          <w:szCs w:val="23"/>
        </w:rPr>
      </w:pPr>
      <w:r>
        <w:rPr>
          <w:sz w:val="23"/>
          <w:szCs w:val="23"/>
        </w:rPr>
        <w:t>202</w:t>
      </w:r>
      <w:r>
        <w:rPr>
          <w:rFonts w:hint="eastAsia"/>
          <w:sz w:val="23"/>
          <w:szCs w:val="23"/>
        </w:rPr>
        <w:t>5</w:t>
      </w:r>
      <w:r>
        <w:rPr>
          <w:rFonts w:hint="eastAsia"/>
          <w:sz w:val="23"/>
          <w:szCs w:val="23"/>
        </w:rPr>
        <w:t>年</w:t>
      </w:r>
      <w:r>
        <w:rPr>
          <w:rFonts w:hint="eastAsia"/>
          <w:sz w:val="23"/>
          <w:szCs w:val="23"/>
        </w:rPr>
        <w:t>5</w:t>
      </w:r>
      <w:r>
        <w:rPr>
          <w:rFonts w:hint="eastAsia"/>
          <w:sz w:val="23"/>
          <w:szCs w:val="23"/>
        </w:rPr>
        <w:t>月</w:t>
      </w:r>
      <w:r>
        <w:rPr>
          <w:rFonts w:hint="eastAsia"/>
          <w:sz w:val="23"/>
          <w:szCs w:val="23"/>
        </w:rPr>
        <w:t>21</w:t>
      </w:r>
      <w:r>
        <w:rPr>
          <w:rFonts w:hint="eastAsia"/>
          <w:sz w:val="23"/>
          <w:szCs w:val="23"/>
        </w:rPr>
        <w:t>日</w:t>
      </w:r>
    </w:p>
    <w:sectPr w:rsidR="00AB2752" w:rsidSect="00AB275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ê食輀...">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679D"/>
    <w:rsid w:val="000D4CFD"/>
    <w:rsid w:val="001F6D0D"/>
    <w:rsid w:val="0035679D"/>
    <w:rsid w:val="004119F3"/>
    <w:rsid w:val="00425930"/>
    <w:rsid w:val="00472699"/>
    <w:rsid w:val="00473031"/>
    <w:rsid w:val="00500CA9"/>
    <w:rsid w:val="005D1435"/>
    <w:rsid w:val="00762DA9"/>
    <w:rsid w:val="00980F51"/>
    <w:rsid w:val="00AB2752"/>
    <w:rsid w:val="00CB3F5C"/>
    <w:rsid w:val="00DE61BA"/>
    <w:rsid w:val="00DF58F0"/>
    <w:rsid w:val="00EE16B5"/>
    <w:rsid w:val="00F13564"/>
    <w:rsid w:val="03CB25EA"/>
    <w:rsid w:val="0E820056"/>
    <w:rsid w:val="10294501"/>
    <w:rsid w:val="137837D5"/>
    <w:rsid w:val="3EFD36E5"/>
    <w:rsid w:val="428F5527"/>
    <w:rsid w:val="47CB141F"/>
    <w:rsid w:val="4B1F3F5B"/>
    <w:rsid w:val="4D764DF5"/>
    <w:rsid w:val="4E200716"/>
    <w:rsid w:val="4EAB3BB4"/>
    <w:rsid w:val="672A3F5C"/>
    <w:rsid w:val="69992CD3"/>
    <w:rsid w:val="754D1541"/>
    <w:rsid w:val="766A2DD4"/>
    <w:rsid w:val="7A8772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75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B2752"/>
    <w:pPr>
      <w:jc w:val="left"/>
    </w:pPr>
  </w:style>
  <w:style w:type="paragraph" w:styleId="a4">
    <w:name w:val="Body Text"/>
    <w:basedOn w:val="a"/>
    <w:semiHidden/>
    <w:qFormat/>
    <w:rsid w:val="00AB2752"/>
    <w:rPr>
      <w:rFonts w:ascii="宋体" w:eastAsia="宋体" w:hAnsi="宋体" w:cs="宋体"/>
      <w:sz w:val="20"/>
      <w:szCs w:val="20"/>
    </w:rPr>
  </w:style>
  <w:style w:type="paragraph" w:styleId="a5">
    <w:name w:val="Balloon Text"/>
    <w:basedOn w:val="a"/>
    <w:link w:val="Char0"/>
    <w:uiPriority w:val="99"/>
    <w:semiHidden/>
    <w:unhideWhenUsed/>
    <w:rsid w:val="00AB2752"/>
    <w:rPr>
      <w:sz w:val="18"/>
      <w:szCs w:val="18"/>
    </w:rPr>
  </w:style>
  <w:style w:type="paragraph" w:styleId="a6">
    <w:name w:val="annotation subject"/>
    <w:basedOn w:val="a3"/>
    <w:next w:val="a3"/>
    <w:link w:val="Char1"/>
    <w:uiPriority w:val="99"/>
    <w:semiHidden/>
    <w:unhideWhenUsed/>
    <w:rsid w:val="00AB2752"/>
    <w:rPr>
      <w:b/>
      <w:bCs/>
    </w:rPr>
  </w:style>
  <w:style w:type="character" w:styleId="a7">
    <w:name w:val="annotation reference"/>
    <w:basedOn w:val="a0"/>
    <w:uiPriority w:val="99"/>
    <w:semiHidden/>
    <w:unhideWhenUsed/>
    <w:qFormat/>
    <w:rsid w:val="00AB2752"/>
    <w:rPr>
      <w:sz w:val="21"/>
      <w:szCs w:val="21"/>
    </w:rPr>
  </w:style>
  <w:style w:type="paragraph" w:customStyle="1" w:styleId="Default">
    <w:name w:val="Default"/>
    <w:qFormat/>
    <w:rsid w:val="00AB2752"/>
    <w:pPr>
      <w:widowControl w:val="0"/>
      <w:autoSpaceDE w:val="0"/>
      <w:autoSpaceDN w:val="0"/>
      <w:adjustRightInd w:val="0"/>
    </w:pPr>
    <w:rPr>
      <w:rFonts w:ascii="宋体ê食輀..." w:eastAsia="宋体ê食輀..." w:cs="宋体ê食輀..."/>
      <w:color w:val="000000"/>
      <w:sz w:val="24"/>
      <w:szCs w:val="24"/>
    </w:rPr>
  </w:style>
  <w:style w:type="character" w:customStyle="1" w:styleId="Char0">
    <w:name w:val="批注框文本 Char"/>
    <w:basedOn w:val="a0"/>
    <w:link w:val="a5"/>
    <w:uiPriority w:val="99"/>
    <w:semiHidden/>
    <w:qFormat/>
    <w:rsid w:val="00AB2752"/>
    <w:rPr>
      <w:kern w:val="2"/>
      <w:sz w:val="18"/>
      <w:szCs w:val="18"/>
    </w:rPr>
  </w:style>
  <w:style w:type="character" w:customStyle="1" w:styleId="Char">
    <w:name w:val="批注文字 Char"/>
    <w:basedOn w:val="a0"/>
    <w:link w:val="a3"/>
    <w:uiPriority w:val="99"/>
    <w:semiHidden/>
    <w:qFormat/>
    <w:rsid w:val="00AB2752"/>
    <w:rPr>
      <w:kern w:val="2"/>
      <w:sz w:val="21"/>
      <w:szCs w:val="22"/>
    </w:rPr>
  </w:style>
  <w:style w:type="character" w:customStyle="1" w:styleId="Char1">
    <w:name w:val="批注主题 Char"/>
    <w:basedOn w:val="Char"/>
    <w:link w:val="a6"/>
    <w:uiPriority w:val="99"/>
    <w:semiHidden/>
    <w:qFormat/>
    <w:rsid w:val="00AB2752"/>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1277</Characters>
  <Application>Microsoft Office Word</Application>
  <DocSecurity>4</DocSecurity>
  <Lines>10</Lines>
  <Paragraphs>2</Paragraphs>
  <ScaleCrop>false</ScaleCrop>
  <Company>CNSTOCK</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姚娜</dc:creator>
  <cp:lastModifiedBy>ZHONGM</cp:lastModifiedBy>
  <cp:revision>2</cp:revision>
  <dcterms:created xsi:type="dcterms:W3CDTF">2025-05-20T16:02:00Z</dcterms:created>
  <dcterms:modified xsi:type="dcterms:W3CDTF">2025-05-20T16:02:00Z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eyJoZGlkIjoiYTJlNDc1YzdmNWJlMjBmNmI4YjhhYTU2YTg4ZDRlMTYiLCJ1c2VySWQiOiIxNDY3Nzg3MDkxIn0=</vt:lpwstr>
  </property>
  <property fmtid="{D5CDD505-2E9C-101B-9397-08002B2CF9AE}" pid="3" name="KSOProductBuildVer">
    <vt:lpwstr>2052-12.1.0.20784</vt:lpwstr>
  </property>
  <property fmtid="{D5CDD505-2E9C-101B-9397-08002B2CF9AE}" pid="4" name="ICV">
    <vt:lpwstr>FBF8C8E89666468F9117236B50515214_13</vt:lpwstr>
  </property>
</Properties>
</file>