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D21" w:rsidRDefault="000D0E21">
      <w:pPr>
        <w:spacing w:after="74" w:line="259" w:lineRule="auto"/>
        <w:ind w:left="41" w:firstLine="0"/>
        <w:jc w:val="center"/>
        <w:rPr>
          <w:sz w:val="39"/>
        </w:rPr>
      </w:pPr>
      <w:r>
        <w:rPr>
          <w:sz w:val="39"/>
        </w:rPr>
        <w:t>恒生前海基金管理有限公司关于旗下基金参加</w:t>
      </w:r>
      <w:r w:rsidR="00FE6BED">
        <w:rPr>
          <w:rFonts w:hint="eastAsia"/>
          <w:sz w:val="39"/>
        </w:rPr>
        <w:t>东海证券</w:t>
      </w:r>
      <w:r w:rsidR="00672B36">
        <w:rPr>
          <w:rFonts w:hint="eastAsia"/>
          <w:sz w:val="39"/>
        </w:rPr>
        <w:t>股份有限公司</w:t>
      </w:r>
      <w:r>
        <w:rPr>
          <w:sz w:val="39"/>
        </w:rPr>
        <w:t>基金认购、申购及定期定额投资申购费率优惠活动的公告</w:t>
      </w:r>
    </w:p>
    <w:p w:rsidR="00D90D21" w:rsidRPr="0004089C" w:rsidRDefault="00D90D21">
      <w:pPr>
        <w:spacing w:after="74" w:line="259" w:lineRule="auto"/>
        <w:ind w:left="41" w:firstLine="0"/>
        <w:rPr>
          <w:sz w:val="39"/>
        </w:rPr>
      </w:pPr>
    </w:p>
    <w:p w:rsidR="00D90D21" w:rsidRDefault="000D0E21">
      <w:pPr>
        <w:spacing w:after="74" w:line="408" w:lineRule="auto"/>
        <w:ind w:left="40" w:firstLineChars="200" w:firstLine="420"/>
        <w:rPr>
          <w:sz w:val="39"/>
        </w:rPr>
      </w:pPr>
      <w:r>
        <w:rPr>
          <w:rFonts w:asciiTheme="minorEastAsia" w:eastAsiaTheme="minorEastAsia" w:hAnsiTheme="minorEastAsia" w:cs="Tahoma"/>
          <w:kern w:val="0"/>
          <w:szCs w:val="21"/>
        </w:rPr>
        <w:t>为更好地满足广大投资者的理财需求，经恒生前海基金管理有限公司（以下简称“本</w:t>
      </w:r>
      <w:r>
        <w:t>公司”）与</w:t>
      </w:r>
      <w:r w:rsidR="00FE6BED">
        <w:rPr>
          <w:rFonts w:hint="eastAsia"/>
        </w:rPr>
        <w:t>东海证券</w:t>
      </w:r>
      <w:r w:rsidR="00672B36">
        <w:rPr>
          <w:rFonts w:hint="eastAsia"/>
        </w:rPr>
        <w:t>股份有限公司</w:t>
      </w:r>
      <w:r>
        <w:t>（以下简称“</w:t>
      </w:r>
      <w:r w:rsidR="00FE6BED">
        <w:rPr>
          <w:rFonts w:hint="eastAsia"/>
        </w:rPr>
        <w:t>东海证券</w:t>
      </w:r>
      <w:r>
        <w:t>”）协商一致，自</w:t>
      </w:r>
      <w:r w:rsidR="00F6258A">
        <w:t>2025</w:t>
      </w:r>
      <w:r w:rsidR="001E43D8">
        <w:t>年</w:t>
      </w:r>
      <w:r w:rsidR="00FE6BED" w:rsidRPr="00FE6BED">
        <w:t>5</w:t>
      </w:r>
      <w:r w:rsidRPr="00FE6BED">
        <w:t>月</w:t>
      </w:r>
      <w:r w:rsidR="00FE6BED" w:rsidRPr="00FE6BED">
        <w:t>16</w:t>
      </w:r>
      <w:r w:rsidRPr="00FE6BED">
        <w:t>日起，本公司旗下基金参加</w:t>
      </w:r>
      <w:r w:rsidR="00FE6BED" w:rsidRPr="00FE6BED">
        <w:t>东海证券</w:t>
      </w:r>
      <w:r w:rsidRPr="00FE6BED">
        <w:t>开展的基金认购、申购及定期定额投资申购费率</w:t>
      </w:r>
      <w:r>
        <w:t>优惠活动，具体的活动时间、优惠费率以</w:t>
      </w:r>
      <w:r w:rsidR="00FE6BED">
        <w:rPr>
          <w:rFonts w:hint="eastAsia"/>
        </w:rPr>
        <w:t>东海证券</w:t>
      </w:r>
      <w:r>
        <w:t xml:space="preserve">的规定为准。相关优惠方案公告如下： </w:t>
      </w:r>
    </w:p>
    <w:p w:rsidR="00D90D21" w:rsidRDefault="00D90D21">
      <w:pPr>
        <w:snapToGrid w:val="0"/>
        <w:spacing w:line="360" w:lineRule="auto"/>
        <w:ind w:left="10"/>
        <w:contextualSpacing/>
      </w:pPr>
    </w:p>
    <w:p w:rsidR="00D90D21" w:rsidRDefault="000D0E21">
      <w:pPr>
        <w:numPr>
          <w:ilvl w:val="0"/>
          <w:numId w:val="1"/>
        </w:numPr>
        <w:snapToGrid w:val="0"/>
        <w:spacing w:line="360" w:lineRule="auto"/>
        <w:ind w:hanging="422"/>
        <w:contextualSpacing/>
      </w:pPr>
      <w:r>
        <w:t xml:space="preserve">适用基金 </w:t>
      </w:r>
    </w:p>
    <w:tbl>
      <w:tblPr>
        <w:tblStyle w:val="a8"/>
        <w:tblW w:w="8395" w:type="dxa"/>
        <w:jc w:val="center"/>
        <w:tblLook w:val="04A0"/>
      </w:tblPr>
      <w:tblGrid>
        <w:gridCol w:w="2158"/>
        <w:gridCol w:w="6237"/>
      </w:tblGrid>
      <w:tr w:rsidR="00D90D21">
        <w:trPr>
          <w:trHeight w:hRule="exact" w:val="454"/>
          <w:jc w:val="center"/>
        </w:trPr>
        <w:tc>
          <w:tcPr>
            <w:tcW w:w="2158" w:type="dxa"/>
            <w:vAlign w:val="center"/>
          </w:tcPr>
          <w:p w:rsidR="00D90D21" w:rsidRDefault="000D0E21">
            <w:pPr>
              <w:snapToGrid w:val="0"/>
              <w:spacing w:line="240" w:lineRule="auto"/>
              <w:ind w:left="0" w:firstLine="0"/>
              <w:contextualSpacing/>
              <w:jc w:val="center"/>
            </w:pPr>
            <w:r>
              <w:t>基金代码</w:t>
            </w:r>
          </w:p>
        </w:tc>
        <w:tc>
          <w:tcPr>
            <w:tcW w:w="6237" w:type="dxa"/>
            <w:vAlign w:val="center"/>
          </w:tcPr>
          <w:p w:rsidR="00D90D21" w:rsidRDefault="000D0E21">
            <w:pPr>
              <w:snapToGrid w:val="0"/>
              <w:spacing w:line="240" w:lineRule="auto"/>
              <w:ind w:left="0" w:firstLine="0"/>
              <w:contextualSpacing/>
              <w:jc w:val="center"/>
            </w:pPr>
            <w:r>
              <w:t>基金名称</w:t>
            </w:r>
          </w:p>
        </w:tc>
      </w:tr>
      <w:tr w:rsidR="00D90D21">
        <w:trPr>
          <w:trHeight w:hRule="exact" w:val="454"/>
          <w:jc w:val="center"/>
        </w:trPr>
        <w:tc>
          <w:tcPr>
            <w:tcW w:w="2158" w:type="dxa"/>
            <w:vAlign w:val="center"/>
          </w:tcPr>
          <w:p w:rsidR="00D90D21" w:rsidRDefault="000D0E21">
            <w:pPr>
              <w:snapToGrid w:val="0"/>
              <w:spacing w:line="240" w:lineRule="auto"/>
              <w:ind w:left="0" w:firstLine="0"/>
              <w:contextualSpacing/>
              <w:jc w:val="center"/>
            </w:pPr>
            <w:r>
              <w:t>004332</w:t>
            </w:r>
          </w:p>
        </w:tc>
        <w:tc>
          <w:tcPr>
            <w:tcW w:w="6237" w:type="dxa"/>
            <w:vAlign w:val="center"/>
          </w:tcPr>
          <w:p w:rsidR="00D90D21" w:rsidRDefault="000D0E21">
            <w:pPr>
              <w:snapToGrid w:val="0"/>
              <w:spacing w:line="240" w:lineRule="auto"/>
              <w:ind w:left="0" w:firstLine="0"/>
              <w:contextualSpacing/>
            </w:pPr>
            <w:r>
              <w:t>恒生前海沪港深新兴产业精选混合型证券投资基金</w:t>
            </w:r>
          </w:p>
        </w:tc>
      </w:tr>
      <w:tr w:rsidR="00634F5C">
        <w:trPr>
          <w:trHeight w:hRule="exact" w:val="454"/>
          <w:jc w:val="center"/>
        </w:trPr>
        <w:tc>
          <w:tcPr>
            <w:tcW w:w="2158" w:type="dxa"/>
            <w:vAlign w:val="center"/>
          </w:tcPr>
          <w:p w:rsidR="00634F5C" w:rsidRDefault="00634F5C">
            <w:pPr>
              <w:snapToGrid w:val="0"/>
              <w:spacing w:line="240" w:lineRule="auto"/>
              <w:ind w:left="0" w:firstLine="0"/>
              <w:contextualSpacing/>
              <w:jc w:val="center"/>
            </w:pPr>
            <w:r>
              <w:rPr>
                <w:rFonts w:hint="eastAsia"/>
              </w:rPr>
              <w:t>0</w:t>
            </w:r>
            <w:r>
              <w:t>06535</w:t>
            </w:r>
          </w:p>
        </w:tc>
        <w:tc>
          <w:tcPr>
            <w:tcW w:w="6237" w:type="dxa"/>
            <w:vAlign w:val="center"/>
          </w:tcPr>
          <w:p w:rsidR="00634F5C" w:rsidRDefault="00634F5C">
            <w:pPr>
              <w:snapToGrid w:val="0"/>
              <w:spacing w:line="240" w:lineRule="auto"/>
              <w:ind w:left="0" w:firstLine="0"/>
              <w:contextualSpacing/>
            </w:pPr>
            <w:r w:rsidRPr="0056255A">
              <w:t>恒生前海恒锦裕利混合型证券投资基金</w:t>
            </w:r>
            <w:r w:rsidR="0056255A">
              <w:rPr>
                <w:rFonts w:hint="eastAsia"/>
              </w:rPr>
              <w:t>A类</w:t>
            </w:r>
          </w:p>
        </w:tc>
      </w:tr>
      <w:tr w:rsidR="00D90D21">
        <w:trPr>
          <w:trHeight w:hRule="exact" w:val="454"/>
          <w:jc w:val="center"/>
        </w:trPr>
        <w:tc>
          <w:tcPr>
            <w:tcW w:w="2158" w:type="dxa"/>
            <w:vAlign w:val="center"/>
          </w:tcPr>
          <w:p w:rsidR="00D90D21" w:rsidRDefault="000D0E21">
            <w:pPr>
              <w:snapToGrid w:val="0"/>
              <w:spacing w:line="240" w:lineRule="auto"/>
              <w:ind w:left="0" w:firstLine="0"/>
              <w:contextualSpacing/>
              <w:jc w:val="center"/>
            </w:pPr>
            <w:r>
              <w:t>006537</w:t>
            </w:r>
          </w:p>
        </w:tc>
        <w:tc>
          <w:tcPr>
            <w:tcW w:w="6237" w:type="dxa"/>
            <w:vAlign w:val="center"/>
          </w:tcPr>
          <w:p w:rsidR="00D90D21" w:rsidRDefault="000D0E21">
            <w:pPr>
              <w:snapToGrid w:val="0"/>
              <w:spacing w:line="240" w:lineRule="auto"/>
              <w:ind w:left="0" w:firstLine="0"/>
              <w:contextualSpacing/>
            </w:pPr>
            <w:r>
              <w:t>恒生前海港股通精选混合型证券投资基金</w:t>
            </w:r>
          </w:p>
        </w:tc>
      </w:tr>
      <w:tr w:rsidR="00D90D21">
        <w:trPr>
          <w:trHeight w:hRule="exact" w:val="454"/>
          <w:jc w:val="center"/>
        </w:trPr>
        <w:tc>
          <w:tcPr>
            <w:tcW w:w="2158" w:type="dxa"/>
            <w:vAlign w:val="center"/>
          </w:tcPr>
          <w:p w:rsidR="00D90D21" w:rsidRDefault="000D0E21">
            <w:pPr>
              <w:snapToGrid w:val="0"/>
              <w:spacing w:line="240" w:lineRule="auto"/>
              <w:ind w:left="0" w:firstLine="0"/>
              <w:contextualSpacing/>
              <w:jc w:val="center"/>
            </w:pPr>
            <w:r>
              <w:t>007941</w:t>
            </w:r>
          </w:p>
        </w:tc>
        <w:tc>
          <w:tcPr>
            <w:tcW w:w="6237" w:type="dxa"/>
            <w:vAlign w:val="center"/>
          </w:tcPr>
          <w:p w:rsidR="00D90D21" w:rsidRDefault="000D0E21">
            <w:pPr>
              <w:snapToGrid w:val="0"/>
              <w:spacing w:line="240" w:lineRule="auto"/>
              <w:ind w:left="0" w:firstLine="0"/>
              <w:contextualSpacing/>
            </w:pPr>
            <w:r>
              <w:t>恒生前海恒扬纯债债券型证券投资基金A类</w:t>
            </w:r>
          </w:p>
        </w:tc>
      </w:tr>
      <w:tr w:rsidR="00D90D21">
        <w:trPr>
          <w:trHeight w:hRule="exact" w:val="454"/>
          <w:jc w:val="center"/>
        </w:trPr>
        <w:tc>
          <w:tcPr>
            <w:tcW w:w="2158" w:type="dxa"/>
            <w:vAlign w:val="center"/>
          </w:tcPr>
          <w:p w:rsidR="00D90D21" w:rsidRDefault="000D0E21">
            <w:pPr>
              <w:snapToGrid w:val="0"/>
              <w:spacing w:line="240" w:lineRule="auto"/>
              <w:ind w:left="0" w:firstLine="0"/>
              <w:contextualSpacing/>
              <w:jc w:val="center"/>
            </w:pPr>
            <w:r>
              <w:t>007277</w:t>
            </w:r>
          </w:p>
        </w:tc>
        <w:tc>
          <w:tcPr>
            <w:tcW w:w="6237" w:type="dxa"/>
            <w:vAlign w:val="center"/>
          </w:tcPr>
          <w:p w:rsidR="00D90D21" w:rsidRDefault="000D0E21">
            <w:pPr>
              <w:snapToGrid w:val="0"/>
              <w:spacing w:line="240" w:lineRule="auto"/>
              <w:ind w:left="0" w:firstLine="0"/>
              <w:contextualSpacing/>
            </w:pPr>
            <w:r>
              <w:t>恒生前海消费升级混合型证券投资基金</w:t>
            </w:r>
          </w:p>
        </w:tc>
      </w:tr>
      <w:tr w:rsidR="00D90D21">
        <w:trPr>
          <w:trHeight w:hRule="exact" w:val="454"/>
          <w:jc w:val="center"/>
        </w:trPr>
        <w:tc>
          <w:tcPr>
            <w:tcW w:w="2158" w:type="dxa"/>
            <w:vAlign w:val="center"/>
          </w:tcPr>
          <w:p w:rsidR="00D90D21" w:rsidRDefault="000D0E21">
            <w:pPr>
              <w:snapToGrid w:val="0"/>
              <w:spacing w:line="240" w:lineRule="auto"/>
              <w:ind w:left="0" w:firstLine="0"/>
              <w:contextualSpacing/>
              <w:jc w:val="center"/>
            </w:pPr>
            <w:r>
              <w:t>009301</w:t>
            </w:r>
          </w:p>
        </w:tc>
        <w:tc>
          <w:tcPr>
            <w:tcW w:w="6237" w:type="dxa"/>
            <w:vAlign w:val="center"/>
          </w:tcPr>
          <w:p w:rsidR="00D90D21" w:rsidRDefault="000D0E21">
            <w:pPr>
              <w:snapToGrid w:val="0"/>
              <w:spacing w:line="240" w:lineRule="auto"/>
              <w:ind w:left="0" w:firstLine="0"/>
              <w:contextualSpacing/>
            </w:pPr>
            <w:r>
              <w:t>恒生前海短债债券型发起式证券投资基金A类</w:t>
            </w:r>
          </w:p>
        </w:tc>
      </w:tr>
      <w:tr w:rsidR="00672B36">
        <w:trPr>
          <w:trHeight w:hRule="exact" w:val="454"/>
          <w:jc w:val="center"/>
        </w:trPr>
        <w:tc>
          <w:tcPr>
            <w:tcW w:w="2158" w:type="dxa"/>
            <w:vAlign w:val="center"/>
          </w:tcPr>
          <w:p w:rsidR="00672B36" w:rsidRDefault="00672B36">
            <w:pPr>
              <w:snapToGrid w:val="0"/>
              <w:spacing w:line="240" w:lineRule="auto"/>
              <w:ind w:left="0" w:firstLine="0"/>
              <w:contextualSpacing/>
              <w:jc w:val="center"/>
            </w:pPr>
            <w:r w:rsidRPr="00672B36">
              <w:t>013202</w:t>
            </w:r>
          </w:p>
        </w:tc>
        <w:tc>
          <w:tcPr>
            <w:tcW w:w="6237" w:type="dxa"/>
            <w:vAlign w:val="center"/>
          </w:tcPr>
          <w:p w:rsidR="00672B36" w:rsidRDefault="00672B36">
            <w:pPr>
              <w:snapToGrid w:val="0"/>
              <w:spacing w:line="240" w:lineRule="auto"/>
              <w:ind w:left="0" w:firstLine="0"/>
              <w:contextualSpacing/>
            </w:pPr>
            <w:r w:rsidRPr="00672B36">
              <w:rPr>
                <w:rFonts w:hint="eastAsia"/>
              </w:rPr>
              <w:t>恒生前海恒祥纯债债券型证券投资基金</w:t>
            </w:r>
            <w:r w:rsidRPr="00672B36">
              <w:t>A</w:t>
            </w:r>
            <w:r w:rsidRPr="00672B36">
              <w:rPr>
                <w:rFonts w:hint="eastAsia"/>
              </w:rPr>
              <w:t>类</w:t>
            </w:r>
          </w:p>
        </w:tc>
      </w:tr>
      <w:tr w:rsidR="00D90D21">
        <w:trPr>
          <w:trHeight w:hRule="exact" w:val="454"/>
          <w:jc w:val="center"/>
        </w:trPr>
        <w:tc>
          <w:tcPr>
            <w:tcW w:w="2158" w:type="dxa"/>
            <w:vAlign w:val="center"/>
          </w:tcPr>
          <w:p w:rsidR="00D90D21" w:rsidRDefault="000D0E21">
            <w:pPr>
              <w:snapToGrid w:val="0"/>
              <w:spacing w:line="240" w:lineRule="auto"/>
              <w:ind w:left="0" w:firstLine="0"/>
              <w:contextualSpacing/>
              <w:jc w:val="center"/>
            </w:pPr>
            <w:r>
              <w:t>013204</w:t>
            </w:r>
          </w:p>
        </w:tc>
        <w:tc>
          <w:tcPr>
            <w:tcW w:w="6237" w:type="dxa"/>
            <w:vAlign w:val="center"/>
          </w:tcPr>
          <w:p w:rsidR="00D90D21" w:rsidRDefault="000D0E21">
            <w:pPr>
              <w:snapToGrid w:val="0"/>
              <w:spacing w:line="240" w:lineRule="auto"/>
              <w:ind w:left="0" w:firstLine="0"/>
              <w:contextualSpacing/>
            </w:pPr>
            <w:r>
              <w:t>恒生前海</w:t>
            </w:r>
            <w:r>
              <w:rPr>
                <w:rFonts w:hint="eastAsia"/>
              </w:rPr>
              <w:t>恒源</w:t>
            </w:r>
            <w:r>
              <w:t>天利债券型证券投资基金A类</w:t>
            </w:r>
          </w:p>
        </w:tc>
      </w:tr>
      <w:tr w:rsidR="00D90D21">
        <w:trPr>
          <w:trHeight w:hRule="exact" w:val="454"/>
          <w:jc w:val="center"/>
        </w:trPr>
        <w:tc>
          <w:tcPr>
            <w:tcW w:w="2158" w:type="dxa"/>
            <w:vAlign w:val="center"/>
          </w:tcPr>
          <w:p w:rsidR="00D90D21" w:rsidRDefault="000D0E21">
            <w:pPr>
              <w:snapToGrid w:val="0"/>
              <w:spacing w:line="240" w:lineRule="auto"/>
              <w:ind w:left="0" w:firstLine="0"/>
              <w:contextualSpacing/>
              <w:jc w:val="center"/>
            </w:pPr>
            <w:r>
              <w:t>014712</w:t>
            </w:r>
          </w:p>
        </w:tc>
        <w:tc>
          <w:tcPr>
            <w:tcW w:w="6237" w:type="dxa"/>
            <w:vAlign w:val="center"/>
          </w:tcPr>
          <w:p w:rsidR="00D90D21" w:rsidRDefault="000D0E21">
            <w:pPr>
              <w:snapToGrid w:val="0"/>
              <w:spacing w:line="240" w:lineRule="auto"/>
              <w:ind w:left="0" w:firstLine="0"/>
              <w:contextualSpacing/>
            </w:pPr>
            <w:r>
              <w:t>恒生前海</w:t>
            </w:r>
            <w:r>
              <w:rPr>
                <w:rFonts w:hint="eastAsia"/>
              </w:rPr>
              <w:t>恒裕债券型证券投资基金</w:t>
            </w:r>
            <w:r>
              <w:t>A类</w:t>
            </w:r>
          </w:p>
        </w:tc>
      </w:tr>
      <w:tr w:rsidR="00D90D21">
        <w:trPr>
          <w:trHeight w:hRule="exact" w:val="454"/>
          <w:jc w:val="center"/>
        </w:trPr>
        <w:tc>
          <w:tcPr>
            <w:tcW w:w="2158" w:type="dxa"/>
            <w:vAlign w:val="center"/>
          </w:tcPr>
          <w:p w:rsidR="00D90D21" w:rsidRDefault="000D0E21">
            <w:pPr>
              <w:snapToGrid w:val="0"/>
              <w:spacing w:line="240" w:lineRule="auto"/>
              <w:ind w:left="0" w:firstLine="0"/>
              <w:contextualSpacing/>
              <w:jc w:val="center"/>
            </w:pPr>
            <w:r>
              <w:rPr>
                <w:rFonts w:hint="eastAsia"/>
              </w:rPr>
              <w:t>0</w:t>
            </w:r>
            <w:r>
              <w:t>14742</w:t>
            </w:r>
          </w:p>
        </w:tc>
        <w:tc>
          <w:tcPr>
            <w:tcW w:w="6237" w:type="dxa"/>
            <w:vAlign w:val="center"/>
          </w:tcPr>
          <w:p w:rsidR="00D90D21" w:rsidRDefault="000D0E21">
            <w:pPr>
              <w:snapToGrid w:val="0"/>
              <w:spacing w:line="240" w:lineRule="auto"/>
              <w:ind w:left="0" w:firstLine="0"/>
              <w:contextualSpacing/>
            </w:pPr>
            <w:r>
              <w:t>恒生前海恒源嘉利债券型证券投资基金A类</w:t>
            </w:r>
          </w:p>
        </w:tc>
      </w:tr>
      <w:tr w:rsidR="00D90D21">
        <w:trPr>
          <w:trHeight w:hRule="exact" w:val="454"/>
          <w:jc w:val="center"/>
        </w:trPr>
        <w:tc>
          <w:tcPr>
            <w:tcW w:w="2158" w:type="dxa"/>
            <w:vAlign w:val="center"/>
          </w:tcPr>
          <w:p w:rsidR="00D90D21" w:rsidRDefault="000D0E21">
            <w:pPr>
              <w:snapToGrid w:val="0"/>
              <w:spacing w:line="240" w:lineRule="auto"/>
              <w:ind w:left="0" w:firstLine="0"/>
              <w:contextualSpacing/>
              <w:jc w:val="center"/>
            </w:pPr>
            <w:r>
              <w:rPr>
                <w:rFonts w:hint="eastAsia"/>
              </w:rPr>
              <w:t>0</w:t>
            </w:r>
            <w:r>
              <w:t>15331</w:t>
            </w:r>
          </w:p>
        </w:tc>
        <w:tc>
          <w:tcPr>
            <w:tcW w:w="6237" w:type="dxa"/>
            <w:vAlign w:val="center"/>
          </w:tcPr>
          <w:p w:rsidR="00D90D21" w:rsidRDefault="000D0E21">
            <w:pPr>
              <w:snapToGrid w:val="0"/>
              <w:spacing w:line="240" w:lineRule="auto"/>
              <w:ind w:left="0" w:firstLine="0"/>
              <w:contextualSpacing/>
            </w:pPr>
            <w:r>
              <w:t>恒生前海恒利纯债债券型证券投资基金A类</w:t>
            </w:r>
          </w:p>
        </w:tc>
      </w:tr>
      <w:tr w:rsidR="00D90D21">
        <w:trPr>
          <w:trHeight w:hRule="exact" w:val="454"/>
          <w:jc w:val="center"/>
        </w:trPr>
        <w:tc>
          <w:tcPr>
            <w:tcW w:w="2158" w:type="dxa"/>
            <w:vAlign w:val="center"/>
          </w:tcPr>
          <w:p w:rsidR="00D90D21" w:rsidRDefault="000D0E21">
            <w:pPr>
              <w:snapToGrid w:val="0"/>
              <w:spacing w:line="240" w:lineRule="auto"/>
              <w:ind w:left="0" w:firstLine="0"/>
              <w:contextualSpacing/>
              <w:jc w:val="center"/>
            </w:pPr>
            <w:r>
              <w:rPr>
                <w:rFonts w:hint="eastAsia"/>
              </w:rPr>
              <w:t>0</w:t>
            </w:r>
            <w:r>
              <w:t>13383</w:t>
            </w:r>
          </w:p>
        </w:tc>
        <w:tc>
          <w:tcPr>
            <w:tcW w:w="6237" w:type="dxa"/>
            <w:vAlign w:val="center"/>
          </w:tcPr>
          <w:p w:rsidR="00D90D21" w:rsidRDefault="000D0E21">
            <w:pPr>
              <w:snapToGrid w:val="0"/>
              <w:spacing w:line="240" w:lineRule="auto"/>
              <w:ind w:left="0" w:firstLine="0"/>
              <w:contextualSpacing/>
            </w:pPr>
            <w:bookmarkStart w:id="0" w:name="OLE_LINK2"/>
            <w:bookmarkStart w:id="1" w:name="OLE_LINK1"/>
            <w:r>
              <w:t>恒生前海高端制造混合型证券投资基金A类</w:t>
            </w:r>
            <w:bookmarkEnd w:id="0"/>
            <w:bookmarkEnd w:id="1"/>
          </w:p>
        </w:tc>
      </w:tr>
      <w:tr w:rsidR="00D90D21">
        <w:trPr>
          <w:trHeight w:hRule="exact" w:val="454"/>
          <w:jc w:val="center"/>
        </w:trPr>
        <w:tc>
          <w:tcPr>
            <w:tcW w:w="2158" w:type="dxa"/>
            <w:vAlign w:val="center"/>
          </w:tcPr>
          <w:p w:rsidR="00D90D21" w:rsidRDefault="000D0E21">
            <w:pPr>
              <w:snapToGrid w:val="0"/>
              <w:spacing w:line="240" w:lineRule="auto"/>
              <w:ind w:left="0" w:firstLine="0"/>
              <w:contextualSpacing/>
              <w:jc w:val="center"/>
            </w:pPr>
            <w:r>
              <w:rPr>
                <w:rFonts w:hint="eastAsia"/>
              </w:rPr>
              <w:t>0</w:t>
            </w:r>
            <w:r>
              <w:t>16193</w:t>
            </w:r>
          </w:p>
        </w:tc>
        <w:tc>
          <w:tcPr>
            <w:tcW w:w="6237" w:type="dxa"/>
            <w:vAlign w:val="center"/>
          </w:tcPr>
          <w:p w:rsidR="00D90D21" w:rsidRDefault="000D0E21">
            <w:pPr>
              <w:snapToGrid w:val="0"/>
              <w:spacing w:line="240" w:lineRule="auto"/>
              <w:ind w:left="0" w:firstLine="0"/>
              <w:contextualSpacing/>
            </w:pPr>
            <w:r>
              <w:t>恒生前海恒悦纯债债券型证券投资基金A类</w:t>
            </w:r>
          </w:p>
        </w:tc>
      </w:tr>
      <w:tr w:rsidR="00D90D21">
        <w:trPr>
          <w:trHeight w:hRule="exact" w:val="454"/>
          <w:jc w:val="center"/>
        </w:trPr>
        <w:tc>
          <w:tcPr>
            <w:tcW w:w="2158" w:type="dxa"/>
            <w:vAlign w:val="center"/>
          </w:tcPr>
          <w:p w:rsidR="00D90D21" w:rsidRDefault="000D0E21">
            <w:pPr>
              <w:snapToGrid w:val="0"/>
              <w:spacing w:line="240" w:lineRule="auto"/>
              <w:ind w:left="0" w:firstLine="0"/>
              <w:contextualSpacing/>
              <w:jc w:val="center"/>
            </w:pPr>
            <w:r>
              <w:rPr>
                <w:rFonts w:hint="eastAsia"/>
              </w:rPr>
              <w:t>0</w:t>
            </w:r>
            <w:r>
              <w:t>16359</w:t>
            </w:r>
          </w:p>
        </w:tc>
        <w:tc>
          <w:tcPr>
            <w:tcW w:w="6237" w:type="dxa"/>
            <w:vAlign w:val="center"/>
          </w:tcPr>
          <w:p w:rsidR="00D90D21" w:rsidRDefault="000D0E21">
            <w:pPr>
              <w:snapToGrid w:val="0"/>
              <w:spacing w:line="240" w:lineRule="auto"/>
              <w:ind w:left="0" w:firstLine="0"/>
              <w:contextualSpacing/>
            </w:pPr>
            <w:r>
              <w:t>恒生前海恒</w:t>
            </w:r>
            <w:r>
              <w:rPr>
                <w:rFonts w:hint="eastAsia"/>
              </w:rPr>
              <w:t>源丰利</w:t>
            </w:r>
            <w:r>
              <w:t>债券型证券投资基金A类</w:t>
            </w:r>
          </w:p>
        </w:tc>
      </w:tr>
      <w:tr w:rsidR="00D90D21">
        <w:trPr>
          <w:trHeight w:hRule="exact" w:val="454"/>
          <w:jc w:val="center"/>
        </w:trPr>
        <w:tc>
          <w:tcPr>
            <w:tcW w:w="2158" w:type="dxa"/>
            <w:vAlign w:val="center"/>
          </w:tcPr>
          <w:p w:rsidR="00D90D21" w:rsidRDefault="000D0E21">
            <w:pPr>
              <w:snapToGrid w:val="0"/>
              <w:spacing w:line="240" w:lineRule="auto"/>
              <w:ind w:left="0" w:firstLine="0"/>
              <w:contextualSpacing/>
              <w:jc w:val="center"/>
            </w:pPr>
            <w:r>
              <w:t>018496</w:t>
            </w:r>
          </w:p>
        </w:tc>
        <w:tc>
          <w:tcPr>
            <w:tcW w:w="6237" w:type="dxa"/>
            <w:vAlign w:val="center"/>
          </w:tcPr>
          <w:p w:rsidR="00D90D21" w:rsidRDefault="000D0E21">
            <w:pPr>
              <w:snapToGrid w:val="0"/>
              <w:spacing w:line="240" w:lineRule="auto"/>
              <w:ind w:left="0" w:firstLine="0"/>
              <w:contextualSpacing/>
            </w:pPr>
            <w:r>
              <w:rPr>
                <w:rFonts w:hint="eastAsia"/>
              </w:rPr>
              <w:t>恒生前海恒润纯债债券型证券投资基金</w:t>
            </w:r>
            <w:r>
              <w:t>A类</w:t>
            </w:r>
          </w:p>
        </w:tc>
      </w:tr>
      <w:tr w:rsidR="002A5E3D">
        <w:trPr>
          <w:trHeight w:hRule="exact" w:val="454"/>
          <w:jc w:val="center"/>
        </w:trPr>
        <w:tc>
          <w:tcPr>
            <w:tcW w:w="2158" w:type="dxa"/>
            <w:vAlign w:val="center"/>
          </w:tcPr>
          <w:p w:rsidR="002A5E3D" w:rsidRDefault="00EE2800">
            <w:pPr>
              <w:snapToGrid w:val="0"/>
              <w:spacing w:line="240" w:lineRule="auto"/>
              <w:ind w:left="0" w:firstLine="0"/>
              <w:contextualSpacing/>
              <w:jc w:val="center"/>
            </w:pPr>
            <w:r>
              <w:t>018566</w:t>
            </w:r>
          </w:p>
        </w:tc>
        <w:tc>
          <w:tcPr>
            <w:tcW w:w="6237" w:type="dxa"/>
            <w:vAlign w:val="center"/>
          </w:tcPr>
          <w:p w:rsidR="002A5E3D" w:rsidRDefault="00EE2800">
            <w:pPr>
              <w:snapToGrid w:val="0"/>
              <w:spacing w:line="240" w:lineRule="auto"/>
              <w:ind w:left="0" w:firstLine="0"/>
              <w:contextualSpacing/>
            </w:pPr>
            <w:r w:rsidRPr="00EE2800">
              <w:rPr>
                <w:rFonts w:hint="eastAsia"/>
              </w:rPr>
              <w:t>恒生前海恒源泓利债券型证券投资基金</w:t>
            </w:r>
            <w:r w:rsidRPr="00EE2800">
              <w:t>A类</w:t>
            </w:r>
          </w:p>
        </w:tc>
      </w:tr>
      <w:tr w:rsidR="008D3B88">
        <w:trPr>
          <w:trHeight w:hRule="exact" w:val="454"/>
          <w:jc w:val="center"/>
        </w:trPr>
        <w:tc>
          <w:tcPr>
            <w:tcW w:w="2158" w:type="dxa"/>
            <w:vAlign w:val="center"/>
          </w:tcPr>
          <w:p w:rsidR="008D3B88" w:rsidRDefault="008D3B88">
            <w:pPr>
              <w:snapToGrid w:val="0"/>
              <w:spacing w:line="240" w:lineRule="auto"/>
              <w:ind w:left="0" w:firstLine="0"/>
              <w:contextualSpacing/>
              <w:jc w:val="center"/>
            </w:pPr>
            <w:r>
              <w:t>019841</w:t>
            </w:r>
          </w:p>
        </w:tc>
        <w:tc>
          <w:tcPr>
            <w:tcW w:w="6237" w:type="dxa"/>
            <w:vAlign w:val="center"/>
          </w:tcPr>
          <w:p w:rsidR="008D3B88" w:rsidRPr="00EE2800" w:rsidRDefault="008D3B88">
            <w:pPr>
              <w:snapToGrid w:val="0"/>
              <w:spacing w:line="240" w:lineRule="auto"/>
              <w:ind w:left="0" w:firstLine="0"/>
              <w:contextualSpacing/>
            </w:pPr>
            <w:r w:rsidRPr="008D3B88">
              <w:rPr>
                <w:rFonts w:hint="eastAsia"/>
              </w:rPr>
              <w:t>恒生前海中债</w:t>
            </w:r>
            <w:r w:rsidRPr="008D3B88">
              <w:t>0-3年政策性金融债指数证券投资基金A类</w:t>
            </w:r>
          </w:p>
        </w:tc>
      </w:tr>
      <w:tr w:rsidR="00634F5C">
        <w:trPr>
          <w:trHeight w:hRule="exact" w:val="454"/>
          <w:jc w:val="center"/>
        </w:trPr>
        <w:tc>
          <w:tcPr>
            <w:tcW w:w="2158" w:type="dxa"/>
            <w:vAlign w:val="center"/>
          </w:tcPr>
          <w:p w:rsidR="00634F5C" w:rsidRDefault="00634F5C" w:rsidP="00634F5C">
            <w:pPr>
              <w:snapToGrid w:val="0"/>
              <w:spacing w:line="240" w:lineRule="auto"/>
              <w:ind w:left="0" w:firstLine="0"/>
              <w:contextualSpacing/>
              <w:jc w:val="center"/>
            </w:pPr>
            <w:r w:rsidRPr="0056255A">
              <w:rPr>
                <w:rFonts w:hint="eastAsia"/>
              </w:rPr>
              <w:t>0</w:t>
            </w:r>
            <w:r w:rsidRPr="0056255A">
              <w:t>20069</w:t>
            </w:r>
          </w:p>
        </w:tc>
        <w:tc>
          <w:tcPr>
            <w:tcW w:w="6237" w:type="dxa"/>
            <w:vAlign w:val="center"/>
          </w:tcPr>
          <w:p w:rsidR="00634F5C" w:rsidRPr="008D3B88" w:rsidRDefault="00634F5C" w:rsidP="00634F5C">
            <w:pPr>
              <w:snapToGrid w:val="0"/>
              <w:spacing w:line="240" w:lineRule="auto"/>
              <w:ind w:left="0" w:firstLine="0"/>
              <w:contextualSpacing/>
            </w:pPr>
            <w:r>
              <w:rPr>
                <w:rFonts w:asciiTheme="minorHAnsi" w:hAnsiTheme="minorHAnsi" w:hint="eastAsia"/>
              </w:rPr>
              <w:t>恒生前海恒源臻利债券型证券投资基金</w:t>
            </w:r>
            <w:r>
              <w:rPr>
                <w:rFonts w:asciiTheme="minorHAnsi" w:hAnsiTheme="minorHAnsi" w:hint="eastAsia"/>
              </w:rPr>
              <w:t>A</w:t>
            </w:r>
            <w:r>
              <w:rPr>
                <w:rFonts w:asciiTheme="minorHAnsi" w:hAnsiTheme="minorHAnsi" w:hint="eastAsia"/>
              </w:rPr>
              <w:t>类</w:t>
            </w:r>
          </w:p>
        </w:tc>
      </w:tr>
      <w:tr w:rsidR="00634F5C">
        <w:trPr>
          <w:trHeight w:hRule="exact" w:val="454"/>
          <w:jc w:val="center"/>
        </w:trPr>
        <w:tc>
          <w:tcPr>
            <w:tcW w:w="2158" w:type="dxa"/>
            <w:vAlign w:val="center"/>
          </w:tcPr>
          <w:p w:rsidR="00634F5C" w:rsidRDefault="00634F5C" w:rsidP="00634F5C">
            <w:pPr>
              <w:snapToGrid w:val="0"/>
              <w:spacing w:line="240" w:lineRule="auto"/>
              <w:ind w:left="0" w:firstLine="0"/>
              <w:contextualSpacing/>
              <w:jc w:val="center"/>
            </w:pPr>
            <w:r w:rsidRPr="009A1E43">
              <w:rPr>
                <w:rFonts w:asciiTheme="minorHAnsi" w:hAnsiTheme="minorHAnsi" w:cstheme="minorBidi"/>
              </w:rPr>
              <w:lastRenderedPageBreak/>
              <w:t>02065</w:t>
            </w:r>
            <w:r>
              <w:rPr>
                <w:rFonts w:asciiTheme="minorHAnsi" w:hAnsiTheme="minorHAnsi" w:cstheme="minorBidi"/>
              </w:rPr>
              <w:t>3</w:t>
            </w:r>
          </w:p>
        </w:tc>
        <w:tc>
          <w:tcPr>
            <w:tcW w:w="6237" w:type="dxa"/>
            <w:vAlign w:val="center"/>
          </w:tcPr>
          <w:p w:rsidR="00634F5C" w:rsidRPr="008D3B88" w:rsidRDefault="00634F5C" w:rsidP="00634F5C">
            <w:pPr>
              <w:snapToGrid w:val="0"/>
              <w:spacing w:line="240" w:lineRule="auto"/>
              <w:ind w:left="0" w:firstLine="0"/>
              <w:contextualSpacing/>
            </w:pPr>
            <w:r w:rsidRPr="009A1E43">
              <w:rPr>
                <w:rFonts w:asciiTheme="minorHAnsi" w:hAnsiTheme="minorHAnsi" w:hint="eastAsia"/>
              </w:rPr>
              <w:t>恒生前海兴泰混合型证券投资基金</w:t>
            </w:r>
            <w:r>
              <w:rPr>
                <w:rFonts w:asciiTheme="minorHAnsi" w:hAnsiTheme="minorHAnsi" w:cstheme="minorBidi"/>
              </w:rPr>
              <w:t>A</w:t>
            </w:r>
            <w:r w:rsidRPr="009A1E43">
              <w:rPr>
                <w:rFonts w:asciiTheme="minorHAnsi" w:hAnsiTheme="minorHAnsi" w:hint="eastAsia"/>
              </w:rPr>
              <w:t>类</w:t>
            </w:r>
          </w:p>
        </w:tc>
      </w:tr>
      <w:tr w:rsidR="00634F5C">
        <w:trPr>
          <w:trHeight w:hRule="exact" w:val="454"/>
          <w:jc w:val="center"/>
        </w:trPr>
        <w:tc>
          <w:tcPr>
            <w:tcW w:w="2158" w:type="dxa"/>
            <w:vAlign w:val="center"/>
          </w:tcPr>
          <w:p w:rsidR="00634F5C" w:rsidRDefault="00634F5C" w:rsidP="00634F5C">
            <w:pPr>
              <w:snapToGrid w:val="0"/>
              <w:spacing w:line="240" w:lineRule="auto"/>
              <w:ind w:left="0" w:firstLine="0"/>
              <w:contextualSpacing/>
              <w:jc w:val="center"/>
            </w:pPr>
            <w:r>
              <w:rPr>
                <w:rFonts w:asciiTheme="minorHAnsi" w:hAnsiTheme="minorHAnsi" w:cstheme="minorBidi" w:hint="eastAsia"/>
              </w:rPr>
              <w:t>0</w:t>
            </w:r>
            <w:r>
              <w:rPr>
                <w:rFonts w:asciiTheme="minorHAnsi" w:hAnsiTheme="minorHAnsi" w:cstheme="minorBidi"/>
              </w:rPr>
              <w:t>21070</w:t>
            </w:r>
          </w:p>
        </w:tc>
        <w:tc>
          <w:tcPr>
            <w:tcW w:w="6237" w:type="dxa"/>
            <w:vAlign w:val="center"/>
          </w:tcPr>
          <w:p w:rsidR="00634F5C" w:rsidRPr="008D3B88" w:rsidRDefault="00634F5C" w:rsidP="00634F5C">
            <w:pPr>
              <w:snapToGrid w:val="0"/>
              <w:spacing w:line="240" w:lineRule="auto"/>
              <w:ind w:left="0" w:firstLine="0"/>
              <w:contextualSpacing/>
            </w:pPr>
            <w:r>
              <w:rPr>
                <w:rFonts w:asciiTheme="minorHAnsi" w:hAnsiTheme="minorHAnsi" w:hint="eastAsia"/>
              </w:rPr>
              <w:t>恒生前海恒荣纯债债券型证券投资基金</w:t>
            </w:r>
            <w:r>
              <w:rPr>
                <w:rFonts w:asciiTheme="minorHAnsi" w:hAnsiTheme="minorHAnsi" w:hint="eastAsia"/>
              </w:rPr>
              <w:t>A</w:t>
            </w:r>
            <w:r>
              <w:rPr>
                <w:rFonts w:asciiTheme="minorHAnsi" w:hAnsiTheme="minorHAnsi" w:hint="eastAsia"/>
              </w:rPr>
              <w:t>类</w:t>
            </w:r>
          </w:p>
        </w:tc>
      </w:tr>
      <w:tr w:rsidR="00672B36">
        <w:trPr>
          <w:trHeight w:hRule="exact" w:val="454"/>
          <w:jc w:val="center"/>
        </w:trPr>
        <w:tc>
          <w:tcPr>
            <w:tcW w:w="2158" w:type="dxa"/>
            <w:vAlign w:val="center"/>
          </w:tcPr>
          <w:p w:rsidR="00672B36" w:rsidRDefault="00672B36" w:rsidP="00634F5C">
            <w:pPr>
              <w:snapToGrid w:val="0"/>
              <w:spacing w:line="240" w:lineRule="auto"/>
              <w:ind w:left="0" w:firstLine="0"/>
              <w:contextualSpacing/>
              <w:jc w:val="center"/>
              <w:rPr>
                <w:rFonts w:asciiTheme="minorHAnsi" w:hAnsiTheme="minorHAnsi" w:cstheme="minorBidi"/>
              </w:rPr>
            </w:pPr>
            <w:r w:rsidRPr="00672B36">
              <w:rPr>
                <w:rFonts w:asciiTheme="minorHAnsi" w:hAnsiTheme="minorHAnsi" w:cstheme="minorBidi"/>
              </w:rPr>
              <w:t>022094</w:t>
            </w:r>
          </w:p>
        </w:tc>
        <w:tc>
          <w:tcPr>
            <w:tcW w:w="6237" w:type="dxa"/>
            <w:vAlign w:val="center"/>
          </w:tcPr>
          <w:p w:rsidR="00672B36" w:rsidRDefault="00672B36" w:rsidP="00634F5C">
            <w:pPr>
              <w:snapToGrid w:val="0"/>
              <w:spacing w:line="240" w:lineRule="auto"/>
              <w:ind w:left="0" w:firstLine="0"/>
              <w:contextualSpacing/>
              <w:rPr>
                <w:rFonts w:asciiTheme="minorHAnsi" w:hAnsiTheme="minorHAnsi"/>
              </w:rPr>
            </w:pPr>
            <w:r w:rsidRPr="00672B36">
              <w:rPr>
                <w:rFonts w:asciiTheme="minorHAnsi" w:hAnsiTheme="minorHAnsi"/>
              </w:rPr>
              <w:t>恒生前海恒源昭利债券型证券投资基金</w:t>
            </w:r>
            <w:r w:rsidRPr="00672B36">
              <w:rPr>
                <w:rFonts w:asciiTheme="minorHAnsi" w:hAnsiTheme="minorHAnsi"/>
              </w:rPr>
              <w:t>A</w:t>
            </w:r>
            <w:r w:rsidRPr="00672B36">
              <w:rPr>
                <w:rFonts w:asciiTheme="minorHAnsi" w:hAnsiTheme="minorHAnsi" w:hint="eastAsia"/>
              </w:rPr>
              <w:t>类</w:t>
            </w:r>
          </w:p>
        </w:tc>
      </w:tr>
      <w:tr w:rsidR="00634F5C">
        <w:trPr>
          <w:trHeight w:hRule="exact" w:val="454"/>
          <w:jc w:val="center"/>
        </w:trPr>
        <w:tc>
          <w:tcPr>
            <w:tcW w:w="2158" w:type="dxa"/>
            <w:vAlign w:val="center"/>
          </w:tcPr>
          <w:p w:rsidR="00634F5C" w:rsidRDefault="00634F5C" w:rsidP="00634F5C">
            <w:pPr>
              <w:snapToGrid w:val="0"/>
              <w:spacing w:line="240" w:lineRule="auto"/>
              <w:ind w:left="0" w:firstLine="0"/>
              <w:contextualSpacing/>
              <w:jc w:val="center"/>
            </w:pPr>
            <w:r w:rsidRPr="00927EF5">
              <w:rPr>
                <w:rFonts w:asciiTheme="minorHAnsi" w:hAnsiTheme="minorHAnsi" w:cstheme="minorBidi"/>
              </w:rPr>
              <w:t>022693</w:t>
            </w:r>
          </w:p>
        </w:tc>
        <w:tc>
          <w:tcPr>
            <w:tcW w:w="6237" w:type="dxa"/>
            <w:vAlign w:val="center"/>
          </w:tcPr>
          <w:p w:rsidR="00634F5C" w:rsidRPr="008D3B88" w:rsidRDefault="00634F5C" w:rsidP="00634F5C">
            <w:pPr>
              <w:snapToGrid w:val="0"/>
              <w:spacing w:line="240" w:lineRule="auto"/>
              <w:ind w:left="0" w:firstLine="0"/>
              <w:contextualSpacing/>
            </w:pPr>
            <w:r w:rsidRPr="00927EF5">
              <w:rPr>
                <w:rFonts w:asciiTheme="minorHAnsi" w:hAnsiTheme="minorHAnsi"/>
              </w:rPr>
              <w:t>恒生前海港股通价值混合型证券投资基金</w:t>
            </w:r>
            <w:r w:rsidRPr="00927EF5">
              <w:rPr>
                <w:rFonts w:asciiTheme="minorHAnsi" w:hAnsiTheme="minorHAnsi"/>
              </w:rPr>
              <w:t>A</w:t>
            </w:r>
            <w:r w:rsidRPr="00927EF5">
              <w:rPr>
                <w:rFonts w:asciiTheme="minorHAnsi" w:hAnsiTheme="minorHAnsi" w:hint="eastAsia"/>
              </w:rPr>
              <w:t>类</w:t>
            </w:r>
          </w:p>
        </w:tc>
      </w:tr>
    </w:tbl>
    <w:p w:rsidR="00D90D21" w:rsidRDefault="00D90D21">
      <w:pPr>
        <w:snapToGrid w:val="0"/>
        <w:spacing w:line="360" w:lineRule="auto"/>
        <w:ind w:left="10"/>
        <w:contextualSpacing/>
      </w:pPr>
    </w:p>
    <w:p w:rsidR="00D90D21" w:rsidRDefault="000D0E21">
      <w:pPr>
        <w:numPr>
          <w:ilvl w:val="0"/>
          <w:numId w:val="1"/>
        </w:numPr>
        <w:spacing w:after="171" w:line="259" w:lineRule="auto"/>
        <w:ind w:hanging="422"/>
      </w:pPr>
      <w:r>
        <w:t xml:space="preserve">优惠活动内容 </w:t>
      </w:r>
    </w:p>
    <w:p w:rsidR="00634F5C" w:rsidRDefault="000D0E21">
      <w:pPr>
        <w:ind w:left="0" w:firstLine="420"/>
      </w:pPr>
      <w:r>
        <w:t>活动期间，投资者通过</w:t>
      </w:r>
      <w:r w:rsidR="00FE6BED">
        <w:rPr>
          <w:rFonts w:hint="eastAsia"/>
        </w:rPr>
        <w:t>东海证券</w:t>
      </w:r>
      <w:r>
        <w:t>认购、申购及定期定额投资申购上述基金的（仅限前端收费模式），享有费率折扣优惠，具体费率折扣以</w:t>
      </w:r>
      <w:r w:rsidR="00FE6BED">
        <w:rPr>
          <w:rFonts w:hint="eastAsia"/>
        </w:rPr>
        <w:t>东海证券</w:t>
      </w:r>
      <w:r>
        <w:t>的业务规则或公告为准。</w:t>
      </w:r>
    </w:p>
    <w:p w:rsidR="00D90D21" w:rsidRDefault="000D0E21">
      <w:pPr>
        <w:ind w:left="0" w:firstLine="420"/>
      </w:pPr>
      <w:r>
        <w:t xml:space="preserve">处于封闭期的产品，自开放申购之日起适用于上述申购及定期定额投资申购费率优惠。 </w:t>
      </w:r>
    </w:p>
    <w:p w:rsidR="00D90D21" w:rsidRDefault="000D0E21">
      <w:pPr>
        <w:ind w:left="0" w:firstLine="420"/>
      </w:pPr>
      <w:r>
        <w:t>如本公司新增通过</w:t>
      </w:r>
      <w:r w:rsidR="00FE6BED">
        <w:rPr>
          <w:rFonts w:hint="eastAsia"/>
        </w:rPr>
        <w:t>东海证券</w:t>
      </w:r>
      <w:r>
        <w:t>销售的基金产品，该基金产品适用于上述优惠，具体费率优惠时间及内容以</w:t>
      </w:r>
      <w:r w:rsidR="00FE6BED">
        <w:rPr>
          <w:rFonts w:hint="eastAsia"/>
        </w:rPr>
        <w:t>东海证券</w:t>
      </w:r>
      <w:r>
        <w:t xml:space="preserve">的规定为准。 </w:t>
      </w:r>
    </w:p>
    <w:p w:rsidR="00D90D21" w:rsidRDefault="000D0E21">
      <w:pPr>
        <w:snapToGrid w:val="0"/>
        <w:spacing w:line="360" w:lineRule="auto"/>
        <w:ind w:left="10"/>
        <w:contextualSpacing/>
      </w:pPr>
      <w:r>
        <w:t xml:space="preserve"> </w:t>
      </w:r>
    </w:p>
    <w:p w:rsidR="00D90D21" w:rsidRDefault="000D0E21">
      <w:pPr>
        <w:numPr>
          <w:ilvl w:val="0"/>
          <w:numId w:val="1"/>
        </w:numPr>
        <w:spacing w:after="171" w:line="259" w:lineRule="auto"/>
        <w:ind w:hanging="422"/>
      </w:pPr>
      <w:r>
        <w:t xml:space="preserve">重要提示  </w:t>
      </w:r>
    </w:p>
    <w:p w:rsidR="00D90D21" w:rsidRDefault="000D0E21">
      <w:pPr>
        <w:numPr>
          <w:ilvl w:val="0"/>
          <w:numId w:val="2"/>
        </w:numPr>
        <w:spacing w:after="171" w:line="259" w:lineRule="auto"/>
        <w:ind w:firstLine="420"/>
      </w:pPr>
      <w:r>
        <w:t>本优惠活动仅适用于处于正常申购期的基金的一次性申购手续费和定期定额投资申</w:t>
      </w:r>
    </w:p>
    <w:p w:rsidR="00D90D21" w:rsidRDefault="000D0E21">
      <w:pPr>
        <w:ind w:left="10"/>
      </w:pPr>
      <w:r>
        <w:t xml:space="preserve">购手续费（仅限前端收费模式），不包括上述基金的后端收费模式的申购手续费，对于大额认购\申购采用固定费用方式收费的不参与折扣活动。 </w:t>
      </w:r>
    </w:p>
    <w:p w:rsidR="00D90D21" w:rsidRDefault="000D0E21">
      <w:pPr>
        <w:numPr>
          <w:ilvl w:val="0"/>
          <w:numId w:val="2"/>
        </w:numPr>
        <w:ind w:firstLine="420"/>
      </w:pPr>
      <w:r>
        <w:t xml:space="preserve">上述基金原申购费率标准请详见上述基金相关法律文件及本公司发布的最新业务公告。 </w:t>
      </w:r>
    </w:p>
    <w:p w:rsidR="00D90D21" w:rsidRDefault="000D0E21">
      <w:pPr>
        <w:numPr>
          <w:ilvl w:val="0"/>
          <w:numId w:val="2"/>
        </w:numPr>
        <w:ind w:firstLine="420"/>
      </w:pPr>
      <w:r>
        <w:t xml:space="preserve">此次公告的优惠活动内容或业务规则如与之前公告信息不同，请以本次公告信息为准。 </w:t>
      </w:r>
    </w:p>
    <w:p w:rsidR="00D90D21" w:rsidRDefault="000D0E21">
      <w:pPr>
        <w:snapToGrid w:val="0"/>
        <w:spacing w:line="360" w:lineRule="auto"/>
        <w:ind w:left="10"/>
        <w:contextualSpacing/>
      </w:pPr>
      <w:r>
        <w:t xml:space="preserve"> </w:t>
      </w:r>
    </w:p>
    <w:p w:rsidR="00D90D21" w:rsidRDefault="000D0E21">
      <w:pPr>
        <w:spacing w:after="171" w:line="259" w:lineRule="auto"/>
        <w:ind w:left="415"/>
      </w:pPr>
      <w:r>
        <w:t xml:space="preserve">四、投资者可通过以下途径了解或咨询相关情况 </w:t>
      </w:r>
    </w:p>
    <w:p w:rsidR="00D90D21" w:rsidRDefault="000D0E21">
      <w:pPr>
        <w:ind w:left="415"/>
      </w:pPr>
      <w:r>
        <w:t>1、</w:t>
      </w:r>
      <w:r w:rsidR="00FE6BED">
        <w:rPr>
          <w:rFonts w:hint="eastAsia"/>
        </w:rPr>
        <w:t>东海证券</w:t>
      </w:r>
      <w:r w:rsidR="00672B36">
        <w:rPr>
          <w:rFonts w:hint="eastAsia"/>
        </w:rPr>
        <w:t>股份有限公司</w:t>
      </w:r>
      <w:r>
        <w:rPr>
          <w:rFonts w:hint="eastAsia"/>
        </w:rPr>
        <w:t>客户服务电话：</w:t>
      </w:r>
      <w:r w:rsidR="00CB7207">
        <w:rPr>
          <w:rFonts w:asciiTheme="minorEastAsia" w:hAnsiTheme="minorEastAsia" w:cs="Times New Roman"/>
        </w:rPr>
        <w:t>95</w:t>
      </w:r>
      <w:r w:rsidR="00FE6BED">
        <w:rPr>
          <w:rFonts w:asciiTheme="minorEastAsia" w:hAnsiTheme="minorEastAsia" w:cs="Times New Roman"/>
        </w:rPr>
        <w:t>531</w:t>
      </w:r>
    </w:p>
    <w:p w:rsidR="0004089C" w:rsidRDefault="000D0E21">
      <w:pPr>
        <w:adjustRightInd w:val="0"/>
        <w:spacing w:line="408" w:lineRule="auto"/>
        <w:ind w:left="414" w:right="3266" w:firstLineChars="200" w:firstLine="420"/>
      </w:pPr>
      <w:r>
        <w:rPr>
          <w:rFonts w:hint="eastAsia"/>
        </w:rPr>
        <w:t>公司</w:t>
      </w:r>
      <w:r>
        <w:t>网址：</w:t>
      </w:r>
      <w:r w:rsidR="0078154F">
        <w:rPr>
          <w:rStyle w:val="aa"/>
          <w:rFonts w:asciiTheme="minorEastAsia" w:hAnsiTheme="minorEastAsia" w:cs="Times New Roman"/>
        </w:rPr>
        <w:t>www.longone.com.cn</w:t>
      </w:r>
    </w:p>
    <w:p w:rsidR="00E84EF1" w:rsidRPr="00FE6BED" w:rsidRDefault="00E84EF1" w:rsidP="0004089C">
      <w:pPr>
        <w:adjustRightInd w:val="0"/>
        <w:spacing w:line="408" w:lineRule="auto"/>
        <w:ind w:left="414" w:right="3266" w:firstLineChars="200" w:firstLine="420"/>
        <w:rPr>
          <w:rStyle w:val="aa"/>
          <w:u w:val="none"/>
        </w:rPr>
      </w:pPr>
      <w:bookmarkStart w:id="2" w:name="_GoBack"/>
      <w:bookmarkEnd w:id="2"/>
    </w:p>
    <w:p w:rsidR="00D90D21" w:rsidRDefault="000D0E21">
      <w:pPr>
        <w:ind w:left="0" w:firstLine="0"/>
      </w:pPr>
      <w:r>
        <w:t xml:space="preserve">    2、</w:t>
      </w:r>
      <w:r>
        <w:rPr>
          <w:rFonts w:hint="eastAsia"/>
        </w:rPr>
        <w:t>恒生前海基金管理有限公司客户服务电话：400-</w:t>
      </w:r>
      <w:r>
        <w:t>6206-608</w:t>
      </w:r>
    </w:p>
    <w:p w:rsidR="00D90D21" w:rsidRDefault="000D0E21">
      <w:pPr>
        <w:spacing w:after="171" w:line="259" w:lineRule="auto"/>
        <w:ind w:left="415" w:firstLineChars="200" w:firstLine="420"/>
      </w:pPr>
      <w:r>
        <w:t>公司网址：</w:t>
      </w:r>
      <w:hyperlink r:id="rId14" w:history="1">
        <w:r>
          <w:rPr>
            <w:rStyle w:val="aa"/>
          </w:rPr>
          <w:t>www.hsqhfunds.com</w:t>
        </w:r>
      </w:hyperlink>
      <w:r>
        <w:t xml:space="preserve"> </w:t>
      </w:r>
    </w:p>
    <w:p w:rsidR="00D90D21" w:rsidRDefault="00D90D21">
      <w:pPr>
        <w:spacing w:after="171" w:line="259" w:lineRule="auto"/>
        <w:ind w:left="0" w:firstLine="0"/>
      </w:pPr>
    </w:p>
    <w:p w:rsidR="00D90D21" w:rsidRDefault="000D0E21">
      <w:pPr>
        <w:ind w:left="0" w:firstLine="420"/>
      </w:pPr>
      <w:r>
        <w:t>本次优惠活动解释权归</w:t>
      </w:r>
      <w:r w:rsidR="00FE6BED">
        <w:rPr>
          <w:rFonts w:hint="eastAsia"/>
        </w:rPr>
        <w:t>东海证券</w:t>
      </w:r>
      <w:r w:rsidR="00672B36">
        <w:rPr>
          <w:rFonts w:hint="eastAsia"/>
        </w:rPr>
        <w:t>股份有限公司</w:t>
      </w:r>
      <w:r>
        <w:t>所有，有关本次活动的具体事宜，敬请投资者留意</w:t>
      </w:r>
      <w:r w:rsidR="00FE6BED">
        <w:rPr>
          <w:rFonts w:hint="eastAsia"/>
        </w:rPr>
        <w:t>东海证券</w:t>
      </w:r>
      <w:r w:rsidR="00672B36">
        <w:rPr>
          <w:rFonts w:hint="eastAsia"/>
        </w:rPr>
        <w:t>股份有限公司</w:t>
      </w:r>
      <w:r>
        <w:t xml:space="preserve">的有关公告。 </w:t>
      </w:r>
    </w:p>
    <w:p w:rsidR="00D90D21" w:rsidRDefault="00D90D21">
      <w:pPr>
        <w:ind w:left="0" w:firstLine="420"/>
      </w:pPr>
    </w:p>
    <w:p w:rsidR="00D90D21" w:rsidRDefault="000D0E21">
      <w:pPr>
        <w:spacing w:after="171" w:line="259" w:lineRule="auto"/>
        <w:ind w:left="415"/>
      </w:pPr>
      <w:r>
        <w:t xml:space="preserve">风险提示： </w:t>
      </w:r>
    </w:p>
    <w:p w:rsidR="00D90D21" w:rsidRDefault="000D0E21">
      <w:pPr>
        <w:ind w:left="0" w:firstLine="420"/>
      </w:pPr>
      <w:r>
        <w:t xml:space="preserve">基金管理人承诺以诚实信用、勤勉尽责的原则管理和运用基金资产，但不保证基金一定盈利，也不保证最低收益。销售机构根据法规要求对投资者类别、风险承受能力和基金的风险等级进行划分，并提出适当性匹配意见。投资者在投资基金前应认真阅读《基金合同》和《招募说明书》等基金法律文件，全面认识基金产品的风险收益特征，在了解产品情况及听取销售机构适当性意见的基础上，根据自身的风险承受能力、投资期限和投资目标，对基金投资作出独立决策，选择合适的基金产品。敬请投资者留意投资风险。  </w:t>
      </w:r>
    </w:p>
    <w:p w:rsidR="00D90D21" w:rsidRDefault="000D0E21">
      <w:pPr>
        <w:spacing w:after="171" w:line="259" w:lineRule="auto"/>
        <w:ind w:left="415"/>
      </w:pPr>
      <w:r>
        <w:t xml:space="preserve">特此公告。 </w:t>
      </w:r>
    </w:p>
    <w:p w:rsidR="00D90D21" w:rsidRDefault="00D90D21">
      <w:pPr>
        <w:spacing w:after="171" w:line="259" w:lineRule="auto"/>
        <w:ind w:left="415"/>
      </w:pPr>
    </w:p>
    <w:p w:rsidR="00D90D21" w:rsidRDefault="000D0E21">
      <w:pPr>
        <w:ind w:firstLine="0"/>
        <w:jc w:val="right"/>
      </w:pPr>
      <w:r>
        <w:t>恒生前海基金管理有限公司</w:t>
      </w:r>
    </w:p>
    <w:p w:rsidR="00D90D21" w:rsidRDefault="000D0E21">
      <w:pPr>
        <w:ind w:firstLine="0"/>
        <w:jc w:val="right"/>
      </w:pPr>
      <w:r w:rsidRPr="00FE6BED">
        <w:t>二○</w:t>
      </w:r>
      <w:r w:rsidR="00634F5C" w:rsidRPr="00FE6BED">
        <w:t>二</w:t>
      </w:r>
      <w:r w:rsidR="00634F5C" w:rsidRPr="00FE6BED">
        <w:rPr>
          <w:rFonts w:hint="eastAsia"/>
        </w:rPr>
        <w:t>五</w:t>
      </w:r>
      <w:r w:rsidR="00634F5C" w:rsidRPr="00FE6BED">
        <w:t>年</w:t>
      </w:r>
      <w:r w:rsidR="00FE6BED" w:rsidRPr="00FE6BED">
        <w:t>五</w:t>
      </w:r>
      <w:r w:rsidR="00634F5C" w:rsidRPr="00FE6BED">
        <w:t>月</w:t>
      </w:r>
      <w:r w:rsidR="00FE6BED" w:rsidRPr="00FE6BED">
        <w:rPr>
          <w:rFonts w:hint="eastAsia"/>
        </w:rPr>
        <w:t>十五</w:t>
      </w:r>
      <w:r w:rsidR="00634F5C" w:rsidRPr="00FE6BED">
        <w:t>日</w:t>
      </w:r>
      <w:r>
        <w:t xml:space="preserve"> </w:t>
      </w:r>
    </w:p>
    <w:sectPr w:rsidR="00D90D21" w:rsidSect="00BB573B">
      <w:pgSz w:w="11906" w:h="16838"/>
      <w:pgMar w:top="1568" w:right="1692" w:bottom="1485"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FDF" w:rsidRDefault="00206FDF">
      <w:pPr>
        <w:spacing w:line="240" w:lineRule="auto"/>
      </w:pPr>
      <w:r>
        <w:separator/>
      </w:r>
    </w:p>
  </w:endnote>
  <w:endnote w:type="continuationSeparator" w:id="0">
    <w:p w:rsidR="00206FDF" w:rsidRDefault="00206FD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Light">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FDF" w:rsidRDefault="00206FDF">
      <w:r>
        <w:separator/>
      </w:r>
    </w:p>
  </w:footnote>
  <w:footnote w:type="continuationSeparator" w:id="0">
    <w:p w:rsidR="00206FDF" w:rsidRDefault="00206F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254182"/>
    <w:multiLevelType w:val="multilevel"/>
    <w:tmpl w:val="2C254182"/>
    <w:lvl w:ilvl="0">
      <w:start w:val="1"/>
      <w:numFmt w:val="ideographDigital"/>
      <w:lvlText w:val="%1、"/>
      <w:lvlJc w:val="left"/>
      <w:pPr>
        <w:ind w:left="827"/>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50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222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94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66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38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510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82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54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1">
    <w:nsid w:val="55C82A41"/>
    <w:multiLevelType w:val="multilevel"/>
    <w:tmpl w:val="55C82A41"/>
    <w:lvl w:ilvl="0">
      <w:start w:val="1"/>
      <w:numFmt w:val="decimal"/>
      <w:lvlText w:val="%1、"/>
      <w:lvlJc w:val="left"/>
      <w:pPr>
        <w:ind w:left="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50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222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94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66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38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510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82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540"/>
      </w:pPr>
      <w:rPr>
        <w:rFonts w:ascii="宋体" w:eastAsia="宋体" w:hAnsi="宋体" w:cs="宋体"/>
        <w:b w:val="0"/>
        <w:i w:val="0"/>
        <w:strike w:val="0"/>
        <w:dstrike w:val="0"/>
        <w:color w:val="000000"/>
        <w:sz w:val="21"/>
        <w:szCs w:val="21"/>
        <w:u w:val="none" w:color="000000"/>
        <w:shd w:val="clear" w:color="auto" w:fill="auto"/>
        <w:vertAlign w:val="baseli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characterSpacingControl w:val="doNotCompress"/>
  <w:hdrShapeDefaults>
    <o:shapedefaults v:ext="edit" spidmax="4097"/>
  </w:hdrShapeDefaults>
  <w:footnotePr>
    <w:footnote w:id="-1"/>
    <w:footnote w:id="0"/>
  </w:footnotePr>
  <w:endnotePr>
    <w:endnote w:id="-1"/>
    <w:endnote w:id="0"/>
  </w:endnotePr>
  <w:compat>
    <w:useFELayout/>
  </w:compat>
  <w:docVars>
    <w:docVar w:name="commondata" w:val="eyJoZGlkIjoiNTk1M2JlNzZkY2Q4ZmU5M2QxNWJiNWI0OGQzYTQ1MTkifQ=="/>
  </w:docVars>
  <w:rsids>
    <w:rsidRoot w:val="00CC23C1"/>
    <w:rsid w:val="00011507"/>
    <w:rsid w:val="00031AFE"/>
    <w:rsid w:val="0004089C"/>
    <w:rsid w:val="000659C6"/>
    <w:rsid w:val="000B2104"/>
    <w:rsid w:val="000D0E21"/>
    <w:rsid w:val="000D1785"/>
    <w:rsid w:val="000D71DF"/>
    <w:rsid w:val="000F405B"/>
    <w:rsid w:val="00123FC5"/>
    <w:rsid w:val="00146793"/>
    <w:rsid w:val="00183DA9"/>
    <w:rsid w:val="0019441C"/>
    <w:rsid w:val="00197725"/>
    <w:rsid w:val="001A3565"/>
    <w:rsid w:val="001A799A"/>
    <w:rsid w:val="001D0DEE"/>
    <w:rsid w:val="001D13D6"/>
    <w:rsid w:val="001D17D6"/>
    <w:rsid w:val="001E43D8"/>
    <w:rsid w:val="001F28B4"/>
    <w:rsid w:val="00206FDF"/>
    <w:rsid w:val="002170E3"/>
    <w:rsid w:val="0025219E"/>
    <w:rsid w:val="00263917"/>
    <w:rsid w:val="00285282"/>
    <w:rsid w:val="002A5E3D"/>
    <w:rsid w:val="002E0ECA"/>
    <w:rsid w:val="002E42A6"/>
    <w:rsid w:val="002E44C9"/>
    <w:rsid w:val="002E68BB"/>
    <w:rsid w:val="002F6F0F"/>
    <w:rsid w:val="00315128"/>
    <w:rsid w:val="003274BF"/>
    <w:rsid w:val="003322D2"/>
    <w:rsid w:val="00335805"/>
    <w:rsid w:val="00351C43"/>
    <w:rsid w:val="00355B55"/>
    <w:rsid w:val="003A4559"/>
    <w:rsid w:val="003A4A8F"/>
    <w:rsid w:val="003A5E30"/>
    <w:rsid w:val="003B3FBF"/>
    <w:rsid w:val="003C60EA"/>
    <w:rsid w:val="003C73F9"/>
    <w:rsid w:val="003F00F3"/>
    <w:rsid w:val="00405E1E"/>
    <w:rsid w:val="00425D8D"/>
    <w:rsid w:val="004275D1"/>
    <w:rsid w:val="00452B43"/>
    <w:rsid w:val="00474128"/>
    <w:rsid w:val="00481664"/>
    <w:rsid w:val="004A7F69"/>
    <w:rsid w:val="004B5A6E"/>
    <w:rsid w:val="004C3CB7"/>
    <w:rsid w:val="004E6CF5"/>
    <w:rsid w:val="004E7F78"/>
    <w:rsid w:val="00514924"/>
    <w:rsid w:val="005151DB"/>
    <w:rsid w:val="0056255A"/>
    <w:rsid w:val="00584FBC"/>
    <w:rsid w:val="00612685"/>
    <w:rsid w:val="00612B2D"/>
    <w:rsid w:val="00634F5C"/>
    <w:rsid w:val="0064524B"/>
    <w:rsid w:val="00651EFF"/>
    <w:rsid w:val="00667C80"/>
    <w:rsid w:val="00672B36"/>
    <w:rsid w:val="006935EA"/>
    <w:rsid w:val="006B696B"/>
    <w:rsid w:val="006B71B8"/>
    <w:rsid w:val="006F5254"/>
    <w:rsid w:val="007006CB"/>
    <w:rsid w:val="007011C0"/>
    <w:rsid w:val="00721E71"/>
    <w:rsid w:val="00781322"/>
    <w:rsid w:val="0078154F"/>
    <w:rsid w:val="0079753E"/>
    <w:rsid w:val="007B46B2"/>
    <w:rsid w:val="008000AC"/>
    <w:rsid w:val="00812778"/>
    <w:rsid w:val="00850033"/>
    <w:rsid w:val="008830B4"/>
    <w:rsid w:val="008B6754"/>
    <w:rsid w:val="008D2505"/>
    <w:rsid w:val="008D3B88"/>
    <w:rsid w:val="00904E0B"/>
    <w:rsid w:val="00934FB1"/>
    <w:rsid w:val="0094751C"/>
    <w:rsid w:val="00963A2A"/>
    <w:rsid w:val="00993680"/>
    <w:rsid w:val="009A5120"/>
    <w:rsid w:val="009A622C"/>
    <w:rsid w:val="009C7085"/>
    <w:rsid w:val="00A40C77"/>
    <w:rsid w:val="00A41776"/>
    <w:rsid w:val="00A45DE0"/>
    <w:rsid w:val="00A63C10"/>
    <w:rsid w:val="00AB569B"/>
    <w:rsid w:val="00AD097F"/>
    <w:rsid w:val="00AE46F3"/>
    <w:rsid w:val="00AF2022"/>
    <w:rsid w:val="00B15537"/>
    <w:rsid w:val="00B312B1"/>
    <w:rsid w:val="00B61C8A"/>
    <w:rsid w:val="00BA3ADF"/>
    <w:rsid w:val="00BB573B"/>
    <w:rsid w:val="00BC14E5"/>
    <w:rsid w:val="00BC3D82"/>
    <w:rsid w:val="00C15B08"/>
    <w:rsid w:val="00C82866"/>
    <w:rsid w:val="00CB7207"/>
    <w:rsid w:val="00CC23C1"/>
    <w:rsid w:val="00D07DB4"/>
    <w:rsid w:val="00D1227D"/>
    <w:rsid w:val="00D5601E"/>
    <w:rsid w:val="00D576DC"/>
    <w:rsid w:val="00D90D21"/>
    <w:rsid w:val="00DB3A7A"/>
    <w:rsid w:val="00E04928"/>
    <w:rsid w:val="00E32F6C"/>
    <w:rsid w:val="00E41382"/>
    <w:rsid w:val="00E51147"/>
    <w:rsid w:val="00E71B96"/>
    <w:rsid w:val="00E740EE"/>
    <w:rsid w:val="00E81B0D"/>
    <w:rsid w:val="00E82BC0"/>
    <w:rsid w:val="00E84EF1"/>
    <w:rsid w:val="00E93043"/>
    <w:rsid w:val="00EA7059"/>
    <w:rsid w:val="00ED1A40"/>
    <w:rsid w:val="00EE2800"/>
    <w:rsid w:val="00EF1F50"/>
    <w:rsid w:val="00F40DF9"/>
    <w:rsid w:val="00F50B4E"/>
    <w:rsid w:val="00F6258A"/>
    <w:rsid w:val="00F841A5"/>
    <w:rsid w:val="00FC7C42"/>
    <w:rsid w:val="00FD6CD4"/>
    <w:rsid w:val="00FE6BED"/>
    <w:rsid w:val="00FF5A0A"/>
    <w:rsid w:val="42684ABD"/>
    <w:rsid w:val="4BFB24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73B"/>
    <w:pPr>
      <w:spacing w:line="409" w:lineRule="auto"/>
      <w:ind w:left="430" w:hanging="10"/>
    </w:pPr>
    <w:rPr>
      <w:rFonts w:ascii="宋体" w:eastAsia="宋体" w:hAnsi="宋体" w:cs="宋体"/>
      <w:color w:val="000000"/>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BB573B"/>
  </w:style>
  <w:style w:type="paragraph" w:styleId="a4">
    <w:name w:val="Balloon Text"/>
    <w:basedOn w:val="a"/>
    <w:link w:val="Char0"/>
    <w:uiPriority w:val="99"/>
    <w:semiHidden/>
    <w:unhideWhenUsed/>
    <w:qFormat/>
    <w:rsid w:val="00BB573B"/>
    <w:pPr>
      <w:spacing w:line="240" w:lineRule="auto"/>
    </w:pPr>
    <w:rPr>
      <w:sz w:val="18"/>
      <w:szCs w:val="18"/>
    </w:rPr>
  </w:style>
  <w:style w:type="paragraph" w:styleId="a5">
    <w:name w:val="footer"/>
    <w:basedOn w:val="a"/>
    <w:link w:val="Char1"/>
    <w:uiPriority w:val="99"/>
    <w:unhideWhenUsed/>
    <w:qFormat/>
    <w:rsid w:val="00BB573B"/>
    <w:pPr>
      <w:tabs>
        <w:tab w:val="center" w:pos="4153"/>
        <w:tab w:val="right" w:pos="8306"/>
      </w:tabs>
      <w:snapToGrid w:val="0"/>
      <w:spacing w:line="240" w:lineRule="auto"/>
    </w:pPr>
    <w:rPr>
      <w:sz w:val="18"/>
      <w:szCs w:val="18"/>
    </w:rPr>
  </w:style>
  <w:style w:type="paragraph" w:styleId="a6">
    <w:name w:val="header"/>
    <w:basedOn w:val="a"/>
    <w:link w:val="Char2"/>
    <w:uiPriority w:val="99"/>
    <w:unhideWhenUsed/>
    <w:qFormat/>
    <w:rsid w:val="00BB573B"/>
    <w:pPr>
      <w:pBdr>
        <w:bottom w:val="single" w:sz="6" w:space="1" w:color="auto"/>
      </w:pBdr>
      <w:tabs>
        <w:tab w:val="center" w:pos="4153"/>
        <w:tab w:val="right" w:pos="8306"/>
      </w:tabs>
      <w:snapToGrid w:val="0"/>
      <w:spacing w:line="240" w:lineRule="auto"/>
      <w:jc w:val="center"/>
    </w:pPr>
    <w:rPr>
      <w:sz w:val="18"/>
      <w:szCs w:val="18"/>
    </w:rPr>
  </w:style>
  <w:style w:type="paragraph" w:styleId="a7">
    <w:name w:val="annotation subject"/>
    <w:basedOn w:val="a3"/>
    <w:next w:val="a3"/>
    <w:link w:val="Char3"/>
    <w:uiPriority w:val="99"/>
    <w:semiHidden/>
    <w:unhideWhenUsed/>
    <w:qFormat/>
    <w:rsid w:val="00BB573B"/>
    <w:rPr>
      <w:b/>
      <w:bCs/>
    </w:rPr>
  </w:style>
  <w:style w:type="table" w:styleId="a8">
    <w:name w:val="Table Grid"/>
    <w:basedOn w:val="a1"/>
    <w:uiPriority w:val="39"/>
    <w:qFormat/>
    <w:rsid w:val="00BB57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basedOn w:val="a0"/>
    <w:uiPriority w:val="99"/>
    <w:semiHidden/>
    <w:unhideWhenUsed/>
    <w:qFormat/>
    <w:rsid w:val="00BB573B"/>
    <w:rPr>
      <w:color w:val="954F72" w:themeColor="followedHyperlink"/>
      <w:u w:val="single"/>
    </w:rPr>
  </w:style>
  <w:style w:type="character" w:styleId="aa">
    <w:name w:val="Hyperlink"/>
    <w:basedOn w:val="a0"/>
    <w:uiPriority w:val="99"/>
    <w:unhideWhenUsed/>
    <w:qFormat/>
    <w:rsid w:val="00BB573B"/>
    <w:rPr>
      <w:color w:val="0563C1" w:themeColor="hyperlink"/>
      <w:u w:val="single"/>
    </w:rPr>
  </w:style>
  <w:style w:type="character" w:styleId="ab">
    <w:name w:val="annotation reference"/>
    <w:basedOn w:val="a0"/>
    <w:uiPriority w:val="99"/>
    <w:semiHidden/>
    <w:unhideWhenUsed/>
    <w:qFormat/>
    <w:rsid w:val="00BB573B"/>
    <w:rPr>
      <w:sz w:val="21"/>
      <w:szCs w:val="21"/>
    </w:rPr>
  </w:style>
  <w:style w:type="table" w:customStyle="1" w:styleId="TableGrid">
    <w:name w:val="TableGrid"/>
    <w:rsid w:val="00BB573B"/>
    <w:tblPr>
      <w:tblCellMar>
        <w:top w:w="0" w:type="dxa"/>
        <w:left w:w="0" w:type="dxa"/>
        <w:bottom w:w="0" w:type="dxa"/>
        <w:right w:w="0" w:type="dxa"/>
      </w:tblCellMar>
    </w:tblPr>
  </w:style>
  <w:style w:type="character" w:customStyle="1" w:styleId="Char2">
    <w:name w:val="页眉 Char"/>
    <w:basedOn w:val="a0"/>
    <w:link w:val="a6"/>
    <w:uiPriority w:val="99"/>
    <w:qFormat/>
    <w:rsid w:val="00BB573B"/>
    <w:rPr>
      <w:rFonts w:ascii="宋体" w:eastAsia="宋体" w:hAnsi="宋体" w:cs="宋体"/>
      <w:color w:val="000000"/>
      <w:sz w:val="18"/>
      <w:szCs w:val="18"/>
    </w:rPr>
  </w:style>
  <w:style w:type="character" w:customStyle="1" w:styleId="Char1">
    <w:name w:val="页脚 Char"/>
    <w:basedOn w:val="a0"/>
    <w:link w:val="a5"/>
    <w:uiPriority w:val="99"/>
    <w:qFormat/>
    <w:rsid w:val="00BB573B"/>
    <w:rPr>
      <w:rFonts w:ascii="宋体" w:eastAsia="宋体" w:hAnsi="宋体" w:cs="宋体"/>
      <w:color w:val="000000"/>
      <w:sz w:val="18"/>
      <w:szCs w:val="18"/>
    </w:rPr>
  </w:style>
  <w:style w:type="paragraph" w:styleId="ac">
    <w:name w:val="List Paragraph"/>
    <w:basedOn w:val="a"/>
    <w:uiPriority w:val="34"/>
    <w:qFormat/>
    <w:rsid w:val="00BB573B"/>
    <w:pPr>
      <w:ind w:firstLineChars="200" w:firstLine="420"/>
    </w:pPr>
  </w:style>
  <w:style w:type="character" w:customStyle="1" w:styleId="Char">
    <w:name w:val="批注文字 Char"/>
    <w:basedOn w:val="a0"/>
    <w:link w:val="a3"/>
    <w:uiPriority w:val="99"/>
    <w:semiHidden/>
    <w:qFormat/>
    <w:rsid w:val="00BB573B"/>
    <w:rPr>
      <w:rFonts w:ascii="宋体" w:eastAsia="宋体" w:hAnsi="宋体" w:cs="宋体"/>
      <w:color w:val="000000"/>
    </w:rPr>
  </w:style>
  <w:style w:type="character" w:customStyle="1" w:styleId="Char3">
    <w:name w:val="批注主题 Char"/>
    <w:basedOn w:val="Char"/>
    <w:link w:val="a7"/>
    <w:uiPriority w:val="99"/>
    <w:semiHidden/>
    <w:qFormat/>
    <w:rsid w:val="00BB573B"/>
    <w:rPr>
      <w:rFonts w:ascii="宋体" w:eastAsia="宋体" w:hAnsi="宋体" w:cs="宋体"/>
      <w:b/>
      <w:bCs/>
      <w:color w:val="000000"/>
    </w:rPr>
  </w:style>
  <w:style w:type="character" w:customStyle="1" w:styleId="Char0">
    <w:name w:val="批注框文本 Char"/>
    <w:basedOn w:val="a0"/>
    <w:link w:val="a4"/>
    <w:uiPriority w:val="99"/>
    <w:semiHidden/>
    <w:qFormat/>
    <w:rsid w:val="00BB573B"/>
    <w:rPr>
      <w:rFonts w:ascii="宋体" w:eastAsia="宋体" w:hAnsi="宋体" w:cs="宋体"/>
      <w:color w:val="00000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hsqhfunds.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XMLData TextToDisplay="%DOCUMENTGUID%">{00000000-0000-0000-0000-000000000000}</XMLData>
</file>

<file path=customXml/item2.xml><?xml version="1.0" encoding="utf-8"?>
<XMLData TextToDisplay="%CLASSIFICATIONDATETIME%">03:05 14/03/2023</XMLData>
</file>

<file path=customXml/item3.xml><?xml version="1.0" encoding="utf-8"?>
<XMLData TextToDisplay="RightsWATCHMark">4|HQSH-HSQH-内部信息|{00000000-0000-0000-0000-000000000000}</XMLData>
</file>

<file path=customXml/item4.xml><?xml version="1.0" encoding="utf-8"?>
<XMLData TextToDisplay="%HOSTNAME%">PC0VZ78G.hsqhfunds.com</XMLData>
</file>

<file path=customXml/item5.xml><?xml version="1.0" encoding="utf-8"?>
<XMLData TextToDisplay="%USERNAME%">huangxia</XMLData>
</file>

<file path=customXml/item6.xml><?xml version="1.0" encoding="utf-8"?>
<XMLData TextToDisplay="%EMAILADDRESS%">huangxia@hsqhfunds.com</XML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9B92B-F75E-4838-9B97-EE0D10AEC7C1}">
  <ds:schemaRefs/>
</ds:datastoreItem>
</file>

<file path=customXml/itemProps2.xml><?xml version="1.0" encoding="utf-8"?>
<ds:datastoreItem xmlns:ds="http://schemas.openxmlformats.org/officeDocument/2006/customXml" ds:itemID="{4CB3831C-ECED-4436-80DD-37C96DF49FFB}">
  <ds:schemaRefs/>
</ds:datastoreItem>
</file>

<file path=customXml/itemProps3.xml><?xml version="1.0" encoding="utf-8"?>
<ds:datastoreItem xmlns:ds="http://schemas.openxmlformats.org/officeDocument/2006/customXml" ds:itemID="{9DD66A94-2181-4756-9713-14BB32723285}">
  <ds:schemaRefs/>
</ds:datastoreItem>
</file>

<file path=customXml/itemProps4.xml><?xml version="1.0" encoding="utf-8"?>
<ds:datastoreItem xmlns:ds="http://schemas.openxmlformats.org/officeDocument/2006/customXml" ds:itemID="{02D47A94-AD9D-4B6E-9324-F1813C17DDD8}">
  <ds:schemaRefs/>
</ds:datastoreItem>
</file>

<file path=customXml/itemProps5.xml><?xml version="1.0" encoding="utf-8"?>
<ds:datastoreItem xmlns:ds="http://schemas.openxmlformats.org/officeDocument/2006/customXml" ds:itemID="{DAEBCC4F-5893-4D76-8AE6-79B1BB6296A1}">
  <ds:schemaRefs/>
</ds:datastoreItem>
</file>

<file path=customXml/itemProps6.xml><?xml version="1.0" encoding="utf-8"?>
<ds:datastoreItem xmlns:ds="http://schemas.openxmlformats.org/officeDocument/2006/customXml" ds:itemID="{FE5726E9-D159-48F2-BD2E-8526D6550027}">
  <ds:schemaRefs/>
</ds:datastoreItem>
</file>

<file path=customXml/itemProps7.xml><?xml version="1.0" encoding="utf-8"?>
<ds:datastoreItem xmlns:ds="http://schemas.openxmlformats.org/officeDocument/2006/customXml" ds:itemID="{0401006D-A390-44A3-B29E-6CB2C9C3B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259</Words>
  <Characters>1478</Characters>
  <Application>Microsoft Office Word</Application>
  <DocSecurity>4</DocSecurity>
  <Lines>12</Lines>
  <Paragraphs>3</Paragraphs>
  <ScaleCrop>false</ScaleCrop>
  <Company/>
  <LinksUpToDate>false</LinksUpToDate>
  <CharactersWithSpaces>1734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liyp</dc:creator>
  <cp:lastModifiedBy>ZHONGM</cp:lastModifiedBy>
  <cp:revision>2</cp:revision>
  <cp:lastPrinted>2023-06-26T08:54:00Z</cp:lastPrinted>
  <dcterms:created xsi:type="dcterms:W3CDTF">2025-05-14T16:00:00Z</dcterms:created>
  <dcterms:modified xsi:type="dcterms:W3CDTF">2025-05-14T16:00:00Z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4|HQSH-HSQH-内部信息|{00000000-0000-0000-0000-000000000000}</vt:lpwstr>
  </property>
  <property fmtid="{D5CDD505-2E9C-101B-9397-08002B2CF9AE}" pid="3" name="KSOProductBuildVer">
    <vt:lpwstr>2052-11.1.0.14309</vt:lpwstr>
  </property>
  <property fmtid="{D5CDD505-2E9C-101B-9397-08002B2CF9AE}" pid="4" name="ICV">
    <vt:lpwstr>D875C0AD47FC4E348CFC80A8178F6E39_13</vt:lpwstr>
  </property>
</Properties>
</file>