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86" w:rsidRPr="0052214D" w:rsidRDefault="004B0AA8" w:rsidP="0052214D">
      <w:pPr>
        <w:spacing w:line="360" w:lineRule="auto"/>
        <w:jc w:val="center"/>
        <w:rPr>
          <w:rFonts w:ascii="宋体" w:eastAsia="宋体" w:hAnsi="宋体" w:cs="宋体"/>
          <w:b/>
          <w:sz w:val="24"/>
          <w:szCs w:val="24"/>
          <w:lang/>
        </w:rPr>
      </w:pPr>
      <w:r w:rsidRPr="004B0AA8">
        <w:rPr>
          <w:rFonts w:ascii="宋体" w:eastAsia="宋体" w:hAnsi="宋体" w:cs="宋体" w:hint="eastAsia"/>
          <w:b/>
          <w:sz w:val="24"/>
          <w:szCs w:val="24"/>
          <w:lang/>
        </w:rPr>
        <w:t>西藏东财基金管理有限公司</w:t>
      </w:r>
      <w:r>
        <w:rPr>
          <w:rFonts w:ascii="宋体" w:eastAsia="宋体" w:hAnsi="宋体" w:cs="宋体" w:hint="eastAsia"/>
          <w:b/>
          <w:sz w:val="24"/>
          <w:szCs w:val="24"/>
          <w:lang/>
        </w:rPr>
        <w:t>旗下部分基金</w:t>
      </w:r>
      <w:r w:rsidR="00C25786" w:rsidRPr="0052214D">
        <w:rPr>
          <w:rFonts w:ascii="宋体" w:eastAsia="宋体" w:hAnsi="宋体" w:cs="宋体" w:hint="eastAsia"/>
          <w:b/>
          <w:sz w:val="24"/>
          <w:szCs w:val="24"/>
          <w:lang/>
        </w:rPr>
        <w:t>增加</w:t>
      </w:r>
      <w:bookmarkStart w:id="0" w:name="_Hlk197519757"/>
      <w:r w:rsidR="00CF6D82" w:rsidRPr="00CF6D82">
        <w:rPr>
          <w:rFonts w:ascii="宋体" w:eastAsia="宋体" w:hAnsi="宋体" w:cs="宋体" w:hint="eastAsia"/>
          <w:b/>
          <w:sz w:val="24"/>
          <w:szCs w:val="24"/>
          <w:lang/>
        </w:rPr>
        <w:t>国泰海通证券股份有限公司</w:t>
      </w:r>
      <w:bookmarkEnd w:id="0"/>
      <w:r w:rsidR="00C25786" w:rsidRPr="0052214D">
        <w:rPr>
          <w:rFonts w:ascii="宋体" w:eastAsia="宋体" w:hAnsi="宋体" w:cs="宋体" w:hint="eastAsia"/>
          <w:b/>
          <w:sz w:val="24"/>
          <w:szCs w:val="24"/>
          <w:lang/>
        </w:rPr>
        <w:t>为申购赎回代理券商的</w:t>
      </w:r>
      <w:r w:rsidR="00D37DDD">
        <w:rPr>
          <w:rFonts w:ascii="宋体" w:eastAsia="宋体" w:hAnsi="宋体" w:cs="宋体" w:hint="eastAsia"/>
          <w:b/>
          <w:sz w:val="24"/>
          <w:szCs w:val="24"/>
          <w:lang/>
        </w:rPr>
        <w:t>公告</w:t>
      </w:r>
    </w:p>
    <w:p w:rsidR="008E53D7" w:rsidRPr="0052214D" w:rsidRDefault="008E53D7" w:rsidP="0052214D">
      <w:pPr>
        <w:spacing w:line="360" w:lineRule="auto"/>
        <w:rPr>
          <w:rFonts w:ascii="宋体" w:eastAsia="宋体" w:hAnsi="宋体" w:cs="宋体"/>
          <w:sz w:val="24"/>
          <w:szCs w:val="24"/>
          <w:lang/>
        </w:rPr>
      </w:pPr>
    </w:p>
    <w:p w:rsidR="00C25786" w:rsidRDefault="00C25786" w:rsidP="0052214D">
      <w:pPr>
        <w:spacing w:line="360" w:lineRule="auto"/>
        <w:ind w:firstLineChars="200" w:firstLine="480"/>
        <w:rPr>
          <w:rFonts w:ascii="宋体" w:eastAsia="宋体" w:hAnsi="宋体" w:cs="宋体"/>
          <w:sz w:val="24"/>
          <w:szCs w:val="24"/>
          <w:lang/>
        </w:rPr>
      </w:pPr>
      <w:r w:rsidRPr="00BD20C3">
        <w:rPr>
          <w:rFonts w:ascii="宋体" w:eastAsia="宋体" w:hAnsi="宋体" w:cs="宋体" w:hint="eastAsia"/>
          <w:sz w:val="24"/>
          <w:szCs w:val="24"/>
          <w:lang/>
        </w:rPr>
        <w:t>经深圳证券交易所确认，根据</w:t>
      </w:r>
      <w:r w:rsidR="008E53D7" w:rsidRPr="00BD20C3">
        <w:rPr>
          <w:rFonts w:ascii="宋体" w:eastAsia="宋体" w:hAnsi="宋体" w:cs="宋体" w:hint="eastAsia"/>
          <w:sz w:val="24"/>
          <w:szCs w:val="24"/>
          <w:lang/>
        </w:rPr>
        <w:t>西藏东财基金管理有限公司</w:t>
      </w:r>
      <w:r w:rsidRPr="00BD20C3">
        <w:rPr>
          <w:rFonts w:ascii="宋体" w:eastAsia="宋体" w:hAnsi="宋体" w:cs="宋体" w:hint="eastAsia"/>
          <w:sz w:val="24"/>
          <w:szCs w:val="24"/>
          <w:lang/>
        </w:rPr>
        <w:t>（以下简称：本公司）与</w:t>
      </w:r>
      <w:r w:rsidR="00F86F4A" w:rsidRPr="00F86F4A">
        <w:rPr>
          <w:rFonts w:ascii="宋体" w:eastAsia="宋体" w:hAnsi="宋体" w:cs="宋体" w:hint="eastAsia"/>
          <w:sz w:val="24"/>
          <w:szCs w:val="24"/>
          <w:lang/>
        </w:rPr>
        <w:t>国泰海通证券股份有限公司</w:t>
      </w:r>
      <w:r w:rsidRPr="00BD20C3">
        <w:rPr>
          <w:rFonts w:ascii="宋体" w:eastAsia="宋体" w:hAnsi="宋体" w:cs="宋体" w:hint="eastAsia"/>
          <w:sz w:val="24"/>
          <w:szCs w:val="24"/>
          <w:lang/>
        </w:rPr>
        <w:t>签署的相关协议，本公司决定自</w:t>
      </w:r>
      <w:r w:rsidR="009D0EF7" w:rsidRPr="009D0EF7">
        <w:rPr>
          <w:rFonts w:ascii="宋体" w:eastAsia="宋体" w:hAnsi="宋体" w:cs="宋体"/>
          <w:sz w:val="24"/>
          <w:szCs w:val="24"/>
          <w:lang/>
        </w:rPr>
        <w:t>202</w:t>
      </w:r>
      <w:r w:rsidR="00D81C1C">
        <w:rPr>
          <w:rFonts w:ascii="宋体" w:eastAsia="宋体" w:hAnsi="宋体" w:cs="宋体"/>
          <w:sz w:val="24"/>
          <w:szCs w:val="24"/>
          <w:lang/>
        </w:rPr>
        <w:t>5</w:t>
      </w:r>
      <w:r w:rsidR="009D0EF7" w:rsidRPr="009D0EF7">
        <w:rPr>
          <w:rFonts w:ascii="宋体" w:eastAsia="宋体" w:hAnsi="宋体" w:cs="宋体"/>
          <w:sz w:val="24"/>
          <w:szCs w:val="24"/>
          <w:lang/>
        </w:rPr>
        <w:t>年</w:t>
      </w:r>
      <w:r w:rsidR="00F86F4A">
        <w:rPr>
          <w:rFonts w:ascii="宋体" w:eastAsia="宋体" w:hAnsi="宋体" w:cs="宋体" w:hint="eastAsia"/>
          <w:sz w:val="24"/>
          <w:szCs w:val="24"/>
          <w:lang/>
        </w:rPr>
        <w:t>5月1</w:t>
      </w:r>
      <w:r w:rsidR="00F86F4A">
        <w:rPr>
          <w:rFonts w:ascii="宋体" w:eastAsia="宋体" w:hAnsi="宋体" w:cs="宋体"/>
          <w:sz w:val="24"/>
          <w:szCs w:val="24"/>
          <w:lang/>
        </w:rPr>
        <w:t>3</w:t>
      </w:r>
      <w:r w:rsidR="009D0EF7" w:rsidRPr="009D0EF7">
        <w:rPr>
          <w:rFonts w:ascii="宋体" w:eastAsia="宋体" w:hAnsi="宋体" w:cs="宋体"/>
          <w:sz w:val="24"/>
          <w:szCs w:val="24"/>
          <w:lang/>
        </w:rPr>
        <w:t>日</w:t>
      </w:r>
      <w:r w:rsidRPr="00BD20C3">
        <w:rPr>
          <w:rFonts w:ascii="宋体" w:eastAsia="宋体" w:hAnsi="宋体" w:cs="宋体" w:hint="eastAsia"/>
          <w:sz w:val="24"/>
          <w:szCs w:val="24"/>
          <w:lang/>
        </w:rPr>
        <w:t>起增加</w:t>
      </w:r>
      <w:r w:rsidR="00F86F4A" w:rsidRPr="00F86F4A">
        <w:rPr>
          <w:rFonts w:ascii="宋体" w:eastAsia="宋体" w:hAnsi="宋体" w:cs="宋体" w:hint="eastAsia"/>
          <w:sz w:val="24"/>
          <w:szCs w:val="24"/>
          <w:lang/>
        </w:rPr>
        <w:t>国泰海通证券股份有限公司</w:t>
      </w:r>
      <w:r w:rsidR="00826480">
        <w:rPr>
          <w:rFonts w:ascii="宋体" w:eastAsia="宋体" w:hAnsi="宋体" w:cs="宋体" w:hint="eastAsia"/>
          <w:sz w:val="24"/>
          <w:szCs w:val="24"/>
          <w:lang/>
        </w:rPr>
        <w:t>为</w:t>
      </w:r>
      <w:r w:rsidR="004B0AA8">
        <w:rPr>
          <w:rFonts w:ascii="宋体" w:eastAsia="宋体" w:hAnsi="宋体" w:cs="宋体" w:hint="eastAsia"/>
          <w:sz w:val="24"/>
          <w:szCs w:val="24"/>
          <w:lang/>
        </w:rPr>
        <w:t>以下基金</w:t>
      </w:r>
      <w:r w:rsidRPr="00BD20C3">
        <w:rPr>
          <w:rFonts w:ascii="宋体" w:eastAsia="宋体" w:hAnsi="宋体" w:cs="宋体" w:hint="eastAsia"/>
          <w:sz w:val="24"/>
          <w:szCs w:val="24"/>
          <w:lang/>
        </w:rPr>
        <w:t>的申购赎回代理券商</w:t>
      </w:r>
      <w:r w:rsidR="004B0AA8">
        <w:rPr>
          <w:rFonts w:ascii="宋体" w:eastAsia="宋体" w:hAnsi="宋体" w:cs="宋体" w:hint="eastAsia"/>
          <w:sz w:val="24"/>
          <w:szCs w:val="24"/>
          <w:lang/>
        </w:rPr>
        <w:t>：</w:t>
      </w:r>
    </w:p>
    <w:p w:rsidR="004B0AA8" w:rsidRPr="004B0AA8" w:rsidRDefault="004B0AA8" w:rsidP="004B0AA8">
      <w:pPr>
        <w:pStyle w:val="aa"/>
        <w:numPr>
          <w:ilvl w:val="0"/>
          <w:numId w:val="2"/>
        </w:numPr>
        <w:spacing w:line="360" w:lineRule="auto"/>
        <w:ind w:firstLineChars="0"/>
        <w:rPr>
          <w:rFonts w:ascii="宋体" w:eastAsia="宋体" w:hAnsi="宋体" w:cs="宋体"/>
          <w:sz w:val="24"/>
          <w:szCs w:val="24"/>
          <w:lang/>
        </w:rPr>
      </w:pPr>
      <w:r w:rsidRPr="004B0AA8">
        <w:rPr>
          <w:rFonts w:ascii="宋体" w:eastAsia="宋体" w:hAnsi="宋体" w:cs="宋体" w:hint="eastAsia"/>
          <w:sz w:val="24"/>
          <w:szCs w:val="24"/>
          <w:lang/>
        </w:rPr>
        <w:t>西藏东财中证新能源汽车交易型开放式指数证券投资基金（基金简称：新能源车龙头</w:t>
      </w:r>
      <w:r w:rsidRPr="004B0AA8">
        <w:rPr>
          <w:rFonts w:ascii="宋体" w:eastAsia="宋体" w:hAnsi="宋体" w:cs="宋体"/>
          <w:sz w:val="24"/>
          <w:szCs w:val="24"/>
          <w:lang/>
        </w:rPr>
        <w:t>ETF</w:t>
      </w:r>
      <w:r w:rsidRPr="004B0AA8">
        <w:rPr>
          <w:rFonts w:ascii="宋体" w:eastAsia="宋体" w:hAnsi="宋体" w:cs="宋体" w:hint="eastAsia"/>
          <w:sz w:val="24"/>
          <w:szCs w:val="24"/>
          <w:lang/>
        </w:rPr>
        <w:t>，基金代码：</w:t>
      </w:r>
      <w:r w:rsidRPr="004B0AA8">
        <w:rPr>
          <w:rFonts w:ascii="宋体" w:eastAsia="宋体" w:hAnsi="宋体" w:cs="宋体"/>
          <w:sz w:val="24"/>
          <w:szCs w:val="24"/>
          <w:lang/>
        </w:rPr>
        <w:t>159637</w:t>
      </w:r>
      <w:r w:rsidRPr="004B0AA8">
        <w:rPr>
          <w:rFonts w:ascii="宋体" w:eastAsia="宋体" w:hAnsi="宋体" w:cs="宋体" w:hint="eastAsia"/>
          <w:sz w:val="24"/>
          <w:szCs w:val="24"/>
          <w:lang/>
        </w:rPr>
        <w:t>）</w:t>
      </w:r>
    </w:p>
    <w:p w:rsidR="004B0AA8" w:rsidRDefault="004B0AA8" w:rsidP="004B0AA8">
      <w:pPr>
        <w:pStyle w:val="aa"/>
        <w:numPr>
          <w:ilvl w:val="0"/>
          <w:numId w:val="2"/>
        </w:numPr>
        <w:spacing w:line="360" w:lineRule="auto"/>
        <w:ind w:firstLineChars="0"/>
        <w:rPr>
          <w:rFonts w:ascii="宋体" w:eastAsia="宋体" w:hAnsi="宋体" w:cs="宋体"/>
          <w:sz w:val="24"/>
          <w:szCs w:val="24"/>
        </w:rPr>
      </w:pPr>
      <w:r w:rsidRPr="00BD20C3">
        <w:rPr>
          <w:rFonts w:ascii="宋体" w:eastAsia="宋体" w:hAnsi="宋体" w:cs="宋体" w:hint="eastAsia"/>
          <w:sz w:val="24"/>
          <w:szCs w:val="24"/>
          <w:lang/>
        </w:rPr>
        <w:t>西藏东财中证沪港深创新药产业交易型开放式指数证券投资基金（基金简称：创新药E</w:t>
      </w:r>
      <w:r w:rsidRPr="00BD20C3">
        <w:rPr>
          <w:rFonts w:ascii="宋体" w:eastAsia="宋体" w:hAnsi="宋体" w:cs="宋体"/>
          <w:sz w:val="24"/>
          <w:szCs w:val="24"/>
          <w:lang/>
        </w:rPr>
        <w:t>TF</w:t>
      </w:r>
      <w:r w:rsidRPr="00BD20C3">
        <w:rPr>
          <w:rFonts w:ascii="宋体" w:eastAsia="宋体" w:hAnsi="宋体" w:cs="宋体" w:hint="eastAsia"/>
          <w:sz w:val="24"/>
          <w:szCs w:val="24"/>
          <w:lang/>
        </w:rPr>
        <w:t>沪港深，基金代码：</w:t>
      </w:r>
      <w:r w:rsidRPr="00BD20C3">
        <w:rPr>
          <w:rFonts w:ascii="宋体" w:eastAsia="宋体" w:hAnsi="宋体" w:cs="宋体"/>
          <w:sz w:val="24"/>
          <w:szCs w:val="24"/>
          <w:lang/>
        </w:rPr>
        <w:t>159622</w:t>
      </w:r>
      <w:r w:rsidRPr="00BD20C3">
        <w:rPr>
          <w:rFonts w:ascii="宋体" w:eastAsia="宋体" w:hAnsi="宋体" w:cs="宋体" w:hint="eastAsia"/>
          <w:sz w:val="24"/>
          <w:szCs w:val="24"/>
          <w:lang/>
        </w:rPr>
        <w:t>）</w:t>
      </w:r>
    </w:p>
    <w:p w:rsidR="00C62D2F" w:rsidRDefault="00C62D2F" w:rsidP="004B0AA8">
      <w:pPr>
        <w:pStyle w:val="aa"/>
        <w:numPr>
          <w:ilvl w:val="0"/>
          <w:numId w:val="2"/>
        </w:numPr>
        <w:spacing w:line="360" w:lineRule="auto"/>
        <w:ind w:firstLineChars="0"/>
        <w:rPr>
          <w:rFonts w:ascii="宋体" w:eastAsia="宋体" w:hAnsi="宋体" w:cs="宋体"/>
          <w:sz w:val="24"/>
          <w:szCs w:val="24"/>
        </w:rPr>
      </w:pPr>
      <w:r w:rsidRPr="00C62D2F">
        <w:rPr>
          <w:rFonts w:ascii="宋体" w:eastAsia="宋体" w:hAnsi="宋体" w:cs="宋体" w:hint="eastAsia"/>
          <w:sz w:val="24"/>
          <w:szCs w:val="24"/>
        </w:rPr>
        <w:t>西藏东财中证证券公司</w:t>
      </w:r>
      <w:r w:rsidRPr="00C62D2F">
        <w:rPr>
          <w:rFonts w:ascii="宋体" w:eastAsia="宋体" w:hAnsi="宋体" w:cs="宋体"/>
          <w:sz w:val="24"/>
          <w:szCs w:val="24"/>
        </w:rPr>
        <w:t>30交易型开放式指数证券投资基金</w:t>
      </w:r>
      <w:r w:rsidRPr="00BD20C3">
        <w:rPr>
          <w:rFonts w:ascii="宋体" w:eastAsia="宋体" w:hAnsi="宋体" w:cs="宋体" w:hint="eastAsia"/>
          <w:sz w:val="24"/>
          <w:szCs w:val="24"/>
          <w:lang/>
        </w:rPr>
        <w:t>（基金简称</w:t>
      </w:r>
      <w:r w:rsidR="001B6DCC">
        <w:rPr>
          <w:rFonts w:ascii="宋体" w:eastAsia="宋体" w:hAnsi="宋体" w:cs="宋体" w:hint="eastAsia"/>
          <w:sz w:val="24"/>
          <w:szCs w:val="24"/>
          <w:lang/>
        </w:rPr>
        <w:t>：</w:t>
      </w:r>
      <w:r w:rsidRPr="00C62D2F">
        <w:rPr>
          <w:rFonts w:ascii="宋体" w:eastAsia="宋体" w:hAnsi="宋体" w:cs="宋体"/>
          <w:sz w:val="24"/>
          <w:szCs w:val="24"/>
          <w:lang/>
        </w:rPr>
        <w:t>证券ETF东财</w:t>
      </w:r>
      <w:r w:rsidRPr="00BD20C3">
        <w:rPr>
          <w:rFonts w:ascii="宋体" w:eastAsia="宋体" w:hAnsi="宋体" w:cs="宋体" w:hint="eastAsia"/>
          <w:sz w:val="24"/>
          <w:szCs w:val="24"/>
          <w:lang/>
        </w:rPr>
        <w:t>，基金代码：</w:t>
      </w:r>
      <w:r w:rsidRPr="00C62D2F">
        <w:rPr>
          <w:rFonts w:ascii="宋体" w:eastAsia="宋体" w:hAnsi="宋体" w:cs="宋体"/>
          <w:sz w:val="24"/>
          <w:szCs w:val="24"/>
          <w:lang/>
        </w:rPr>
        <w:t>159692</w:t>
      </w:r>
      <w:r w:rsidRPr="00BD20C3">
        <w:rPr>
          <w:rFonts w:ascii="宋体" w:eastAsia="宋体" w:hAnsi="宋体" w:cs="宋体" w:hint="eastAsia"/>
          <w:sz w:val="24"/>
          <w:szCs w:val="24"/>
          <w:lang/>
        </w:rPr>
        <w:t>）</w:t>
      </w:r>
    </w:p>
    <w:p w:rsidR="000C0F6F" w:rsidRDefault="000C0F6F" w:rsidP="000C0F6F">
      <w:pPr>
        <w:pStyle w:val="aa"/>
        <w:numPr>
          <w:ilvl w:val="0"/>
          <w:numId w:val="2"/>
        </w:numPr>
        <w:spacing w:line="360" w:lineRule="auto"/>
        <w:ind w:firstLineChars="0"/>
        <w:rPr>
          <w:rFonts w:ascii="宋体" w:eastAsia="宋体" w:hAnsi="宋体" w:cs="宋体"/>
          <w:sz w:val="24"/>
          <w:szCs w:val="24"/>
        </w:rPr>
      </w:pPr>
      <w:r w:rsidRPr="000C0F6F">
        <w:rPr>
          <w:rFonts w:ascii="宋体" w:eastAsia="宋体" w:hAnsi="宋体" w:cs="宋体" w:hint="eastAsia"/>
          <w:sz w:val="24"/>
          <w:szCs w:val="24"/>
        </w:rPr>
        <w:t>西藏东财中证芯片产业交易型开放式指数证券投资基金</w:t>
      </w:r>
      <w:r w:rsidRPr="00BD20C3">
        <w:rPr>
          <w:rFonts w:ascii="宋体" w:eastAsia="宋体" w:hAnsi="宋体" w:cs="宋体" w:hint="eastAsia"/>
          <w:sz w:val="24"/>
          <w:szCs w:val="24"/>
          <w:lang/>
        </w:rPr>
        <w:t>（基金简称</w:t>
      </w:r>
      <w:r>
        <w:rPr>
          <w:rFonts w:ascii="宋体" w:eastAsia="宋体" w:hAnsi="宋体" w:cs="宋体" w:hint="eastAsia"/>
          <w:sz w:val="24"/>
          <w:szCs w:val="24"/>
          <w:lang/>
        </w:rPr>
        <w:t>：</w:t>
      </w:r>
      <w:r w:rsidRPr="000C0F6F">
        <w:rPr>
          <w:rFonts w:ascii="宋体" w:eastAsia="宋体" w:hAnsi="宋体" w:cs="宋体" w:hint="eastAsia"/>
          <w:sz w:val="24"/>
          <w:szCs w:val="24"/>
          <w:lang/>
        </w:rPr>
        <w:t>芯片</w:t>
      </w:r>
      <w:r w:rsidRPr="000C0F6F">
        <w:rPr>
          <w:rFonts w:ascii="宋体" w:eastAsia="宋体" w:hAnsi="宋体" w:cs="宋体"/>
          <w:sz w:val="24"/>
          <w:szCs w:val="24"/>
          <w:lang/>
        </w:rPr>
        <w:t>ETF基金</w:t>
      </w:r>
      <w:r w:rsidRPr="00BD20C3">
        <w:rPr>
          <w:rFonts w:ascii="宋体" w:eastAsia="宋体" w:hAnsi="宋体" w:cs="宋体" w:hint="eastAsia"/>
          <w:sz w:val="24"/>
          <w:szCs w:val="24"/>
          <w:lang/>
        </w:rPr>
        <w:t>，基金代码：</w:t>
      </w:r>
      <w:r w:rsidRPr="000C0F6F">
        <w:rPr>
          <w:rFonts w:ascii="宋体" w:eastAsia="宋体" w:hAnsi="宋体" w:cs="宋体"/>
          <w:sz w:val="24"/>
          <w:szCs w:val="24"/>
          <w:lang/>
        </w:rPr>
        <w:t>159599</w:t>
      </w:r>
      <w:r w:rsidRPr="00BD20C3">
        <w:rPr>
          <w:rFonts w:ascii="宋体" w:eastAsia="宋体" w:hAnsi="宋体" w:cs="宋体" w:hint="eastAsia"/>
          <w:sz w:val="24"/>
          <w:szCs w:val="24"/>
          <w:lang/>
        </w:rPr>
        <w:t>）</w:t>
      </w:r>
    </w:p>
    <w:p w:rsidR="000C0F6F" w:rsidRDefault="000C0F6F" w:rsidP="000C0F6F">
      <w:pPr>
        <w:pStyle w:val="aa"/>
        <w:numPr>
          <w:ilvl w:val="0"/>
          <w:numId w:val="2"/>
        </w:numPr>
        <w:spacing w:line="360" w:lineRule="auto"/>
        <w:ind w:firstLineChars="0"/>
        <w:rPr>
          <w:rFonts w:ascii="宋体" w:eastAsia="宋体" w:hAnsi="宋体" w:cs="宋体"/>
          <w:sz w:val="24"/>
          <w:szCs w:val="24"/>
        </w:rPr>
      </w:pPr>
      <w:r w:rsidRPr="000C0F6F">
        <w:rPr>
          <w:rFonts w:ascii="宋体" w:eastAsia="宋体" w:hAnsi="宋体" w:cs="宋体" w:hint="eastAsia"/>
          <w:sz w:val="24"/>
          <w:szCs w:val="24"/>
        </w:rPr>
        <w:t>西藏东财沪深</w:t>
      </w:r>
      <w:r w:rsidRPr="000C0F6F">
        <w:rPr>
          <w:rFonts w:ascii="宋体" w:eastAsia="宋体" w:hAnsi="宋体" w:cs="宋体"/>
          <w:sz w:val="24"/>
          <w:szCs w:val="24"/>
        </w:rPr>
        <w:t>300交易型开放式指数证券投资基金</w:t>
      </w:r>
      <w:r w:rsidRPr="00BD20C3">
        <w:rPr>
          <w:rFonts w:ascii="宋体" w:eastAsia="宋体" w:hAnsi="宋体" w:cs="宋体" w:hint="eastAsia"/>
          <w:sz w:val="24"/>
          <w:szCs w:val="24"/>
          <w:lang/>
        </w:rPr>
        <w:t>（基金简称</w:t>
      </w:r>
      <w:r>
        <w:rPr>
          <w:rFonts w:ascii="宋体" w:eastAsia="宋体" w:hAnsi="宋体" w:cs="宋体" w:hint="eastAsia"/>
          <w:sz w:val="24"/>
          <w:szCs w:val="24"/>
          <w:lang/>
        </w:rPr>
        <w:t>：</w:t>
      </w:r>
      <w:r w:rsidRPr="000C0F6F">
        <w:rPr>
          <w:rFonts w:ascii="宋体" w:eastAsia="宋体" w:hAnsi="宋体" w:cs="宋体" w:hint="eastAsia"/>
          <w:sz w:val="24"/>
          <w:szCs w:val="24"/>
          <w:lang/>
        </w:rPr>
        <w:t>沪深</w:t>
      </w:r>
      <w:r w:rsidRPr="000C0F6F">
        <w:rPr>
          <w:rFonts w:ascii="宋体" w:eastAsia="宋体" w:hAnsi="宋体" w:cs="宋体"/>
          <w:sz w:val="24"/>
          <w:szCs w:val="24"/>
          <w:lang/>
        </w:rPr>
        <w:t>300ETF基金</w:t>
      </w:r>
      <w:r w:rsidRPr="00BD20C3">
        <w:rPr>
          <w:rFonts w:ascii="宋体" w:eastAsia="宋体" w:hAnsi="宋体" w:cs="宋体" w:hint="eastAsia"/>
          <w:sz w:val="24"/>
          <w:szCs w:val="24"/>
          <w:lang/>
        </w:rPr>
        <w:t>，基金代码：</w:t>
      </w:r>
      <w:r w:rsidRPr="000C0F6F">
        <w:rPr>
          <w:rFonts w:ascii="宋体" w:eastAsia="宋体" w:hAnsi="宋体" w:cs="宋体"/>
          <w:sz w:val="24"/>
          <w:szCs w:val="24"/>
          <w:lang/>
        </w:rPr>
        <w:t xml:space="preserve"> 159330</w:t>
      </w:r>
      <w:r w:rsidRPr="00BD20C3">
        <w:rPr>
          <w:rFonts w:ascii="宋体" w:eastAsia="宋体" w:hAnsi="宋体" w:cs="宋体" w:hint="eastAsia"/>
          <w:sz w:val="24"/>
          <w:szCs w:val="24"/>
          <w:lang/>
        </w:rPr>
        <w:t>）</w:t>
      </w:r>
    </w:p>
    <w:p w:rsidR="000C0F6F" w:rsidRDefault="000C0F6F" w:rsidP="000C0F6F">
      <w:pPr>
        <w:pStyle w:val="aa"/>
        <w:numPr>
          <w:ilvl w:val="0"/>
          <w:numId w:val="2"/>
        </w:numPr>
        <w:spacing w:line="360" w:lineRule="auto"/>
        <w:ind w:firstLineChars="0"/>
        <w:rPr>
          <w:rFonts w:ascii="宋体" w:eastAsia="宋体" w:hAnsi="宋体" w:cs="宋体"/>
          <w:sz w:val="24"/>
          <w:szCs w:val="24"/>
        </w:rPr>
      </w:pPr>
      <w:r w:rsidRPr="000C0F6F">
        <w:rPr>
          <w:rFonts w:ascii="宋体" w:eastAsia="宋体" w:hAnsi="宋体" w:cs="宋体" w:hint="eastAsia"/>
          <w:sz w:val="24"/>
          <w:szCs w:val="24"/>
        </w:rPr>
        <w:t>西藏东财中证</w:t>
      </w:r>
      <w:r w:rsidRPr="000C0F6F">
        <w:rPr>
          <w:rFonts w:ascii="宋体" w:eastAsia="宋体" w:hAnsi="宋体" w:cs="宋体"/>
          <w:sz w:val="24"/>
          <w:szCs w:val="24"/>
        </w:rPr>
        <w:t>500交易型开放式指数证券投资基金</w:t>
      </w:r>
      <w:r w:rsidRPr="00BD20C3">
        <w:rPr>
          <w:rFonts w:ascii="宋体" w:eastAsia="宋体" w:hAnsi="宋体" w:cs="宋体" w:hint="eastAsia"/>
          <w:sz w:val="24"/>
          <w:szCs w:val="24"/>
          <w:lang/>
        </w:rPr>
        <w:t>（基金简称</w:t>
      </w:r>
      <w:r>
        <w:rPr>
          <w:rFonts w:ascii="宋体" w:eastAsia="宋体" w:hAnsi="宋体" w:cs="宋体" w:hint="eastAsia"/>
          <w:sz w:val="24"/>
          <w:szCs w:val="24"/>
          <w:lang/>
        </w:rPr>
        <w:t>：</w:t>
      </w:r>
      <w:r w:rsidRPr="000C0F6F">
        <w:rPr>
          <w:rFonts w:ascii="宋体" w:eastAsia="宋体" w:hAnsi="宋体" w:cs="宋体" w:hint="eastAsia"/>
          <w:sz w:val="24"/>
          <w:szCs w:val="24"/>
          <w:lang/>
        </w:rPr>
        <w:t>中证</w:t>
      </w:r>
      <w:r w:rsidRPr="000C0F6F">
        <w:rPr>
          <w:rFonts w:ascii="宋体" w:eastAsia="宋体" w:hAnsi="宋体" w:cs="宋体"/>
          <w:sz w:val="24"/>
          <w:szCs w:val="24"/>
          <w:lang/>
        </w:rPr>
        <w:t>500ETF基金</w:t>
      </w:r>
      <w:r w:rsidRPr="00BD20C3">
        <w:rPr>
          <w:rFonts w:ascii="宋体" w:eastAsia="宋体" w:hAnsi="宋体" w:cs="宋体" w:hint="eastAsia"/>
          <w:sz w:val="24"/>
          <w:szCs w:val="24"/>
          <w:lang/>
        </w:rPr>
        <w:t>，基金代码</w:t>
      </w:r>
      <w:r>
        <w:rPr>
          <w:rFonts w:ascii="宋体" w:eastAsia="宋体" w:hAnsi="宋体" w:cs="宋体" w:hint="eastAsia"/>
          <w:sz w:val="24"/>
          <w:szCs w:val="24"/>
          <w:lang/>
        </w:rPr>
        <w:t>：</w:t>
      </w:r>
      <w:r w:rsidRPr="000C0F6F">
        <w:rPr>
          <w:rFonts w:ascii="宋体" w:eastAsia="宋体" w:hAnsi="宋体" w:cs="宋体"/>
          <w:sz w:val="24"/>
          <w:szCs w:val="24"/>
          <w:lang/>
        </w:rPr>
        <w:t>159337</w:t>
      </w:r>
      <w:r w:rsidRPr="00BD20C3">
        <w:rPr>
          <w:rFonts w:ascii="宋体" w:eastAsia="宋体" w:hAnsi="宋体" w:cs="宋体" w:hint="eastAsia"/>
          <w:sz w:val="24"/>
          <w:szCs w:val="24"/>
          <w:lang/>
        </w:rPr>
        <w:t>）</w:t>
      </w:r>
    </w:p>
    <w:p w:rsidR="004A0E47" w:rsidRDefault="00830804" w:rsidP="000C0F6F">
      <w:pPr>
        <w:pStyle w:val="aa"/>
        <w:numPr>
          <w:ilvl w:val="0"/>
          <w:numId w:val="2"/>
        </w:numPr>
        <w:spacing w:line="360" w:lineRule="auto"/>
        <w:ind w:firstLineChars="0"/>
        <w:rPr>
          <w:rFonts w:ascii="宋体" w:eastAsia="宋体" w:hAnsi="宋体" w:cs="宋体"/>
          <w:sz w:val="24"/>
          <w:szCs w:val="24"/>
        </w:rPr>
      </w:pPr>
      <w:r w:rsidRPr="00830804">
        <w:rPr>
          <w:rFonts w:ascii="宋体" w:eastAsia="宋体" w:hAnsi="宋体" w:cs="宋体" w:hint="eastAsia"/>
          <w:sz w:val="24"/>
          <w:szCs w:val="24"/>
        </w:rPr>
        <w:t>西藏东财中证</w:t>
      </w:r>
      <w:r w:rsidRPr="00830804">
        <w:rPr>
          <w:rFonts w:ascii="宋体" w:eastAsia="宋体" w:hAnsi="宋体" w:cs="宋体"/>
          <w:sz w:val="24"/>
          <w:szCs w:val="24"/>
        </w:rPr>
        <w:t>A500交易型开放式指数证券投资基金</w:t>
      </w:r>
      <w:r w:rsidR="00C50B38">
        <w:rPr>
          <w:rFonts w:ascii="宋体" w:eastAsia="宋体" w:hAnsi="宋体" w:cs="宋体" w:hint="eastAsia"/>
          <w:sz w:val="24"/>
          <w:szCs w:val="24"/>
        </w:rPr>
        <w:t>（基金简称：</w:t>
      </w:r>
      <w:r w:rsidR="00C50B38" w:rsidRPr="00C50B38">
        <w:rPr>
          <w:rFonts w:ascii="宋体" w:eastAsia="宋体" w:hAnsi="宋体" w:cs="宋体"/>
          <w:sz w:val="24"/>
          <w:szCs w:val="24"/>
        </w:rPr>
        <w:t>A500ETF东财</w:t>
      </w:r>
      <w:r w:rsidR="00C50B38">
        <w:rPr>
          <w:rFonts w:ascii="宋体" w:eastAsia="宋体" w:hAnsi="宋体" w:cs="宋体" w:hint="eastAsia"/>
          <w:sz w:val="24"/>
          <w:szCs w:val="24"/>
        </w:rPr>
        <w:t>，基金代码：</w:t>
      </w:r>
      <w:r w:rsidR="00C50B38" w:rsidRPr="00C50B38">
        <w:rPr>
          <w:rFonts w:ascii="宋体" w:eastAsia="宋体" w:hAnsi="宋体" w:cs="宋体"/>
          <w:sz w:val="24"/>
          <w:szCs w:val="24"/>
        </w:rPr>
        <w:t>159380</w:t>
      </w:r>
      <w:r w:rsidR="00C50B38">
        <w:rPr>
          <w:rFonts w:ascii="宋体" w:eastAsia="宋体" w:hAnsi="宋体" w:cs="宋体" w:hint="eastAsia"/>
          <w:sz w:val="24"/>
          <w:szCs w:val="24"/>
        </w:rPr>
        <w:t>）</w:t>
      </w:r>
    </w:p>
    <w:p w:rsidR="00C50B38" w:rsidRPr="00C50B38" w:rsidRDefault="00C50B38" w:rsidP="00C50B38">
      <w:pPr>
        <w:spacing w:line="360" w:lineRule="auto"/>
        <w:rPr>
          <w:rFonts w:ascii="宋体" w:eastAsia="宋体" w:hAnsi="宋体" w:cs="宋体"/>
          <w:sz w:val="24"/>
          <w:szCs w:val="24"/>
        </w:rPr>
      </w:pPr>
    </w:p>
    <w:p w:rsidR="00C14932" w:rsidRPr="00C14932" w:rsidRDefault="00C14932" w:rsidP="00C14932">
      <w:pPr>
        <w:spacing w:line="360" w:lineRule="auto"/>
        <w:ind w:left="480"/>
        <w:rPr>
          <w:rFonts w:ascii="宋体" w:eastAsia="宋体" w:hAnsi="宋体" w:cs="宋体"/>
          <w:sz w:val="24"/>
          <w:szCs w:val="24"/>
        </w:rPr>
      </w:pPr>
    </w:p>
    <w:p w:rsidR="00C25786" w:rsidRPr="00BD20C3" w:rsidRDefault="00C25786" w:rsidP="0052214D">
      <w:pPr>
        <w:spacing w:line="360" w:lineRule="auto"/>
        <w:ind w:firstLineChars="200" w:firstLine="480"/>
        <w:rPr>
          <w:rFonts w:ascii="宋体" w:eastAsia="宋体" w:hAnsi="宋体" w:cs="宋体"/>
          <w:sz w:val="24"/>
          <w:szCs w:val="24"/>
          <w:lang/>
        </w:rPr>
      </w:pPr>
      <w:r w:rsidRPr="00BD20C3">
        <w:rPr>
          <w:rFonts w:ascii="宋体" w:eastAsia="宋体" w:hAnsi="宋体" w:cs="宋体" w:hint="eastAsia"/>
          <w:sz w:val="24"/>
          <w:szCs w:val="24"/>
          <w:lang/>
        </w:rPr>
        <w:t>投资人可通过以下途径了解或咨询相关情况：</w:t>
      </w:r>
    </w:p>
    <w:p w:rsidR="00583226" w:rsidRDefault="00583226" w:rsidP="00C14932">
      <w:pPr>
        <w:spacing w:line="360" w:lineRule="auto"/>
        <w:ind w:firstLineChars="200" w:firstLine="480"/>
        <w:rPr>
          <w:rFonts w:ascii="宋体" w:eastAsia="宋体" w:hAnsi="宋体" w:cs="宋体"/>
          <w:sz w:val="24"/>
          <w:szCs w:val="24"/>
          <w:lang/>
        </w:rPr>
      </w:pPr>
      <w:bookmarkStart w:id="1" w:name="_Hlk197519836"/>
      <w:r w:rsidRPr="00F86F4A">
        <w:rPr>
          <w:rFonts w:ascii="宋体" w:eastAsia="宋体" w:hAnsi="宋体" w:cs="宋体" w:hint="eastAsia"/>
          <w:sz w:val="24"/>
          <w:szCs w:val="24"/>
          <w:lang/>
        </w:rPr>
        <w:t>国泰海通证券股份有限公司</w:t>
      </w:r>
    </w:p>
    <w:p w:rsidR="00C14932" w:rsidRPr="00C14932" w:rsidRDefault="00C14932" w:rsidP="00C14932">
      <w:pPr>
        <w:spacing w:line="360" w:lineRule="auto"/>
        <w:ind w:firstLineChars="200" w:firstLine="480"/>
        <w:rPr>
          <w:rFonts w:ascii="宋体" w:eastAsia="宋体" w:hAnsi="宋体" w:cs="宋体"/>
          <w:sz w:val="24"/>
          <w:szCs w:val="24"/>
          <w:lang/>
        </w:rPr>
      </w:pPr>
      <w:r w:rsidRPr="00C14932">
        <w:rPr>
          <w:rFonts w:ascii="宋体" w:eastAsia="宋体" w:hAnsi="宋体" w:cs="宋体" w:hint="eastAsia"/>
          <w:sz w:val="24"/>
          <w:szCs w:val="24"/>
          <w:lang/>
        </w:rPr>
        <w:t>客户服务电话：</w:t>
      </w:r>
      <w:r w:rsidR="005D4CE7" w:rsidRPr="005D4CE7">
        <w:rPr>
          <w:rFonts w:ascii="宋体" w:eastAsia="宋体" w:hAnsi="宋体" w:cs="宋体"/>
          <w:sz w:val="24"/>
          <w:szCs w:val="24"/>
          <w:lang/>
        </w:rPr>
        <w:t>95521</w:t>
      </w:r>
    </w:p>
    <w:p w:rsidR="00C14932" w:rsidRDefault="00C14932" w:rsidP="00C14932">
      <w:pPr>
        <w:spacing w:line="360" w:lineRule="auto"/>
        <w:ind w:firstLineChars="200" w:firstLine="480"/>
        <w:rPr>
          <w:rFonts w:ascii="宋体" w:eastAsia="宋体" w:hAnsi="宋体" w:cs="宋体"/>
          <w:sz w:val="24"/>
          <w:szCs w:val="24"/>
          <w:lang/>
        </w:rPr>
      </w:pPr>
      <w:r w:rsidRPr="00C14932">
        <w:rPr>
          <w:rFonts w:ascii="宋体" w:eastAsia="宋体" w:hAnsi="宋体" w:cs="宋体"/>
          <w:sz w:val="24"/>
          <w:szCs w:val="24"/>
          <w:lang/>
        </w:rPr>
        <w:t>网址：</w:t>
      </w:r>
      <w:bookmarkEnd w:id="1"/>
      <w:r w:rsidR="005D4CE7" w:rsidRPr="005D4CE7">
        <w:rPr>
          <w:rFonts w:ascii="宋体" w:eastAsia="宋体" w:hAnsi="宋体" w:cs="宋体"/>
          <w:sz w:val="24"/>
          <w:szCs w:val="24"/>
          <w:lang/>
        </w:rPr>
        <w:t>www.gtht.com</w:t>
      </w:r>
      <w:bookmarkStart w:id="2" w:name="_GoBack"/>
      <w:bookmarkEnd w:id="2"/>
    </w:p>
    <w:p w:rsidR="00C14932" w:rsidRDefault="00C14932" w:rsidP="00C14932">
      <w:pPr>
        <w:spacing w:line="360" w:lineRule="auto"/>
        <w:ind w:firstLineChars="200" w:firstLine="480"/>
        <w:rPr>
          <w:rFonts w:ascii="宋体" w:eastAsia="宋体" w:hAnsi="宋体" w:cs="宋体"/>
          <w:sz w:val="24"/>
          <w:szCs w:val="24"/>
          <w:lang/>
        </w:rPr>
      </w:pPr>
    </w:p>
    <w:p w:rsidR="0052214D" w:rsidRPr="00BD20C3" w:rsidRDefault="0052214D" w:rsidP="00C14932">
      <w:pPr>
        <w:spacing w:line="360" w:lineRule="auto"/>
        <w:ind w:firstLineChars="200" w:firstLine="480"/>
        <w:rPr>
          <w:rFonts w:ascii="宋体" w:eastAsia="宋体" w:hAnsi="宋体" w:cs="宋体"/>
          <w:sz w:val="24"/>
          <w:szCs w:val="24"/>
          <w:lang/>
        </w:rPr>
      </w:pPr>
      <w:r w:rsidRPr="00BD20C3">
        <w:rPr>
          <w:rFonts w:ascii="宋体" w:eastAsia="宋体" w:hAnsi="宋体" w:cs="宋体"/>
          <w:sz w:val="24"/>
          <w:szCs w:val="24"/>
          <w:lang/>
        </w:rPr>
        <w:t>风险提示：</w:t>
      </w:r>
    </w:p>
    <w:p w:rsidR="0052214D" w:rsidRPr="00BD20C3" w:rsidRDefault="0052214D" w:rsidP="0052214D">
      <w:pPr>
        <w:spacing w:line="360" w:lineRule="auto"/>
        <w:ind w:firstLineChars="200" w:firstLine="480"/>
        <w:rPr>
          <w:rFonts w:ascii="宋体" w:eastAsia="宋体" w:hAnsi="宋体" w:cs="宋体"/>
          <w:sz w:val="24"/>
          <w:szCs w:val="24"/>
          <w:lang/>
        </w:rPr>
      </w:pPr>
      <w:r w:rsidRPr="00BD20C3">
        <w:rPr>
          <w:rFonts w:ascii="宋体" w:eastAsia="宋体" w:hAnsi="宋体" w:cs="宋体" w:hint="eastAsia"/>
          <w:sz w:val="24"/>
          <w:szCs w:val="24"/>
          <w:lang/>
        </w:rPr>
        <w:t>基金管理人承诺以诚实信用、勤勉尽责的原则管理和运用基金资产，但并不</w:t>
      </w:r>
      <w:r w:rsidRPr="00BD20C3">
        <w:rPr>
          <w:rFonts w:ascii="宋体" w:eastAsia="宋体" w:hAnsi="宋体" w:cs="宋体" w:hint="eastAsia"/>
          <w:sz w:val="24"/>
          <w:szCs w:val="24"/>
          <w:lang/>
        </w:rPr>
        <w:lastRenderedPageBreak/>
        <w:t>保证基金一定盈利，也不保证最低收益；因基金价格可升可跌，亦不保证基金份额持有人能全数取回其原本投资。</w:t>
      </w:r>
    </w:p>
    <w:p w:rsidR="0052214D" w:rsidRPr="00BD20C3" w:rsidRDefault="0052214D" w:rsidP="0052214D">
      <w:pPr>
        <w:spacing w:line="360" w:lineRule="auto"/>
        <w:ind w:firstLineChars="200" w:firstLine="480"/>
        <w:rPr>
          <w:rFonts w:ascii="宋体" w:eastAsia="宋体" w:hAnsi="宋体" w:cs="宋体"/>
          <w:sz w:val="24"/>
          <w:szCs w:val="24"/>
          <w:lang/>
        </w:rPr>
      </w:pPr>
      <w:r w:rsidRPr="00BD20C3">
        <w:rPr>
          <w:rFonts w:ascii="宋体" w:eastAsia="宋体" w:hAnsi="宋体" w:cs="宋体" w:hint="eastAsia"/>
          <w:sz w:val="24"/>
          <w:szCs w:val="24"/>
          <w:lang/>
        </w:rPr>
        <w:t>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保证。我国基金运作时间较短，不能反映证券市场发展的所有阶段。基金投资人在做出投资决策后，基金运营状况与基金净值波动变化引致的投资风险由投资人自行负担。</w:t>
      </w:r>
    </w:p>
    <w:p w:rsidR="0052214D" w:rsidRPr="00BD20C3" w:rsidRDefault="0052214D" w:rsidP="0052214D">
      <w:pPr>
        <w:spacing w:line="360" w:lineRule="auto"/>
        <w:ind w:firstLineChars="200" w:firstLine="480"/>
        <w:rPr>
          <w:rFonts w:ascii="宋体" w:eastAsia="宋体" w:hAnsi="宋体" w:cs="宋体"/>
          <w:sz w:val="24"/>
          <w:szCs w:val="24"/>
          <w:lang/>
        </w:rPr>
      </w:pPr>
      <w:r w:rsidRPr="00BD20C3">
        <w:rPr>
          <w:rFonts w:ascii="宋体" w:eastAsia="宋体" w:hAnsi="宋体" w:cs="宋体" w:hint="eastAsia"/>
          <w:sz w:val="24"/>
          <w:szCs w:val="24"/>
          <w:lang/>
        </w:rPr>
        <w:t>基金投资人在做出投资决策前，请务必详细阅读该基金相关的《基金合同》、《招募说明书》、《基金产品资料概要》及其更新等法律文件，全面了解该基金的具体情况、风险评级及特有风险。请务必了解投资者适当性管理相关规定，提前进行风险承受能力测评，在了解基金收益与风险特征的前提下选择与自身风险承受能力相匹配的基金产品进行投资。如基金投资人开立基金账户时提供的相关信息发生重要变化，可能影响风险承受能力评价结果，请及时告知基金销售机构并更新风险承受能力测评结果。</w:t>
      </w:r>
    </w:p>
    <w:p w:rsidR="0052214D" w:rsidRPr="00BD20C3" w:rsidRDefault="0052214D" w:rsidP="0052214D">
      <w:pPr>
        <w:spacing w:line="360" w:lineRule="auto"/>
        <w:ind w:firstLineChars="200" w:firstLine="480"/>
        <w:rPr>
          <w:rFonts w:ascii="宋体" w:eastAsia="宋体" w:hAnsi="宋体" w:cs="宋体"/>
          <w:sz w:val="24"/>
          <w:szCs w:val="24"/>
          <w:lang/>
        </w:rPr>
      </w:pPr>
      <w:r w:rsidRPr="00BD20C3">
        <w:rPr>
          <w:rFonts w:ascii="宋体" w:eastAsia="宋体" w:hAnsi="宋体" w:cs="宋体" w:hint="eastAsia"/>
          <w:sz w:val="24"/>
          <w:szCs w:val="24"/>
          <w:lang/>
        </w:rPr>
        <w:t>基金有风险，投资需谨慎。</w:t>
      </w:r>
    </w:p>
    <w:p w:rsidR="0052214D" w:rsidRPr="00BD20C3" w:rsidRDefault="0052214D" w:rsidP="0052214D">
      <w:pPr>
        <w:spacing w:line="360" w:lineRule="auto"/>
        <w:ind w:firstLineChars="200" w:firstLine="480"/>
        <w:rPr>
          <w:rFonts w:ascii="宋体" w:eastAsia="宋体" w:hAnsi="宋体" w:cs="宋体"/>
          <w:sz w:val="24"/>
          <w:szCs w:val="24"/>
          <w:lang/>
        </w:rPr>
      </w:pPr>
      <w:r w:rsidRPr="00BD20C3">
        <w:rPr>
          <w:rFonts w:ascii="宋体" w:eastAsia="宋体" w:hAnsi="宋体" w:cs="宋体" w:hint="eastAsia"/>
          <w:sz w:val="24"/>
          <w:szCs w:val="24"/>
          <w:lang/>
        </w:rPr>
        <w:t>特此公告。</w:t>
      </w:r>
    </w:p>
    <w:p w:rsidR="0052214D" w:rsidRPr="00BD20C3" w:rsidRDefault="0052214D" w:rsidP="0052214D">
      <w:pPr>
        <w:spacing w:line="360" w:lineRule="auto"/>
        <w:rPr>
          <w:rFonts w:ascii="宋体" w:eastAsia="宋体" w:hAnsi="宋体" w:cs="宋体"/>
          <w:sz w:val="24"/>
          <w:szCs w:val="24"/>
          <w:lang/>
        </w:rPr>
      </w:pPr>
    </w:p>
    <w:p w:rsidR="0052214D" w:rsidRPr="00BD20C3" w:rsidRDefault="0052214D" w:rsidP="0052214D">
      <w:pPr>
        <w:spacing w:line="360" w:lineRule="auto"/>
        <w:rPr>
          <w:rFonts w:ascii="宋体" w:eastAsia="宋体" w:hAnsi="宋体" w:cs="宋体"/>
          <w:sz w:val="24"/>
          <w:szCs w:val="24"/>
          <w:lang/>
        </w:rPr>
      </w:pPr>
    </w:p>
    <w:p w:rsidR="0052214D" w:rsidRPr="00BD20C3" w:rsidRDefault="0052214D" w:rsidP="0052214D">
      <w:pPr>
        <w:spacing w:line="360" w:lineRule="auto"/>
        <w:jc w:val="right"/>
        <w:rPr>
          <w:rFonts w:ascii="宋体" w:eastAsia="宋体" w:hAnsi="宋体" w:cs="宋体"/>
          <w:sz w:val="24"/>
          <w:szCs w:val="24"/>
          <w:lang/>
        </w:rPr>
      </w:pPr>
      <w:r w:rsidRPr="00BD20C3">
        <w:rPr>
          <w:rFonts w:ascii="宋体" w:eastAsia="宋体" w:hAnsi="宋体" w:cs="宋体" w:hint="eastAsia"/>
          <w:sz w:val="24"/>
          <w:szCs w:val="24"/>
          <w:lang/>
        </w:rPr>
        <w:t>西藏东财基金管理有限公司</w:t>
      </w:r>
    </w:p>
    <w:p w:rsidR="00F74F05" w:rsidRPr="009E551C" w:rsidRDefault="00FB6488" w:rsidP="00FB6488">
      <w:pPr>
        <w:spacing w:line="360" w:lineRule="auto"/>
        <w:jc w:val="right"/>
        <w:rPr>
          <w:rFonts w:ascii="宋体" w:eastAsia="宋体" w:hAnsi="宋体" w:cs="宋体"/>
          <w:sz w:val="24"/>
          <w:szCs w:val="24"/>
          <w:lang/>
        </w:rPr>
      </w:pPr>
      <w:r w:rsidRPr="00FB6488">
        <w:rPr>
          <w:rFonts w:ascii="宋体" w:eastAsia="宋体" w:hAnsi="宋体" w:cs="宋体"/>
          <w:sz w:val="24"/>
          <w:szCs w:val="24"/>
          <w:lang/>
        </w:rPr>
        <w:t>2025年</w:t>
      </w:r>
      <w:r w:rsidR="005D4CE7">
        <w:rPr>
          <w:rFonts w:ascii="宋体" w:eastAsia="宋体" w:hAnsi="宋体" w:cs="宋体" w:hint="eastAsia"/>
          <w:sz w:val="24"/>
          <w:szCs w:val="24"/>
          <w:lang/>
        </w:rPr>
        <w:t>5月1</w:t>
      </w:r>
      <w:r w:rsidR="005D4CE7">
        <w:rPr>
          <w:rFonts w:ascii="宋体" w:eastAsia="宋体" w:hAnsi="宋体" w:cs="宋体"/>
          <w:sz w:val="24"/>
          <w:szCs w:val="24"/>
          <w:lang/>
        </w:rPr>
        <w:t>3</w:t>
      </w:r>
      <w:r w:rsidR="005D4CE7" w:rsidRPr="009D0EF7">
        <w:rPr>
          <w:rFonts w:ascii="宋体" w:eastAsia="宋体" w:hAnsi="宋体" w:cs="宋体"/>
          <w:sz w:val="24"/>
          <w:szCs w:val="24"/>
          <w:lang/>
        </w:rPr>
        <w:t>日</w:t>
      </w:r>
    </w:p>
    <w:sectPr w:rsidR="00F74F05" w:rsidRPr="009E551C" w:rsidSect="00F215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E09" w:rsidRDefault="00044E09" w:rsidP="0055640F">
      <w:r>
        <w:separator/>
      </w:r>
    </w:p>
  </w:endnote>
  <w:endnote w:type="continuationSeparator" w:id="0">
    <w:p w:rsidR="00044E09" w:rsidRDefault="00044E09" w:rsidP="00556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E09" w:rsidRDefault="00044E09" w:rsidP="0055640F">
      <w:r>
        <w:separator/>
      </w:r>
    </w:p>
  </w:footnote>
  <w:footnote w:type="continuationSeparator" w:id="0">
    <w:p w:rsidR="00044E09" w:rsidRDefault="00044E09" w:rsidP="005564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AAA400"/>
    <w:multiLevelType w:val="singleLevel"/>
    <w:tmpl w:val="D2AAA400"/>
    <w:lvl w:ilvl="0">
      <w:start w:val="4"/>
      <w:numFmt w:val="decimal"/>
      <w:suff w:val="nothing"/>
      <w:lvlText w:val="（%1）"/>
      <w:lvlJc w:val="left"/>
    </w:lvl>
  </w:abstractNum>
  <w:abstractNum w:abstractNumId="1">
    <w:nsid w:val="722D6CC1"/>
    <w:multiLevelType w:val="hybridMultilevel"/>
    <w:tmpl w:val="46DA6DDE"/>
    <w:lvl w:ilvl="0" w:tplc="EFFAFED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6C20"/>
    <w:rsid w:val="0002263F"/>
    <w:rsid w:val="00025877"/>
    <w:rsid w:val="000433A1"/>
    <w:rsid w:val="00044E09"/>
    <w:rsid w:val="00065764"/>
    <w:rsid w:val="000A3DDF"/>
    <w:rsid w:val="000C0F6F"/>
    <w:rsid w:val="00153D96"/>
    <w:rsid w:val="00165A05"/>
    <w:rsid w:val="00176169"/>
    <w:rsid w:val="00183E65"/>
    <w:rsid w:val="001B0397"/>
    <w:rsid w:val="001B6DCC"/>
    <w:rsid w:val="001E6B60"/>
    <w:rsid w:val="002415CC"/>
    <w:rsid w:val="00261ECE"/>
    <w:rsid w:val="00282C25"/>
    <w:rsid w:val="00286F02"/>
    <w:rsid w:val="002B3937"/>
    <w:rsid w:val="002C4726"/>
    <w:rsid w:val="00311F95"/>
    <w:rsid w:val="00316FB6"/>
    <w:rsid w:val="00356EA4"/>
    <w:rsid w:val="003F63D5"/>
    <w:rsid w:val="004271A6"/>
    <w:rsid w:val="00450C93"/>
    <w:rsid w:val="0047067A"/>
    <w:rsid w:val="004A0E47"/>
    <w:rsid w:val="004B0AA8"/>
    <w:rsid w:val="00507B5E"/>
    <w:rsid w:val="0052214D"/>
    <w:rsid w:val="0054111A"/>
    <w:rsid w:val="00544840"/>
    <w:rsid w:val="00547A1E"/>
    <w:rsid w:val="005514AE"/>
    <w:rsid w:val="0055640F"/>
    <w:rsid w:val="00583226"/>
    <w:rsid w:val="00591513"/>
    <w:rsid w:val="005D4CE7"/>
    <w:rsid w:val="005D7A90"/>
    <w:rsid w:val="00622EE6"/>
    <w:rsid w:val="0062582F"/>
    <w:rsid w:val="0063138F"/>
    <w:rsid w:val="00654932"/>
    <w:rsid w:val="00693545"/>
    <w:rsid w:val="00764974"/>
    <w:rsid w:val="0077602B"/>
    <w:rsid w:val="007F2248"/>
    <w:rsid w:val="00826480"/>
    <w:rsid w:val="00830804"/>
    <w:rsid w:val="00856C20"/>
    <w:rsid w:val="00886149"/>
    <w:rsid w:val="00891220"/>
    <w:rsid w:val="008E53D7"/>
    <w:rsid w:val="009D0EF7"/>
    <w:rsid w:val="009E551C"/>
    <w:rsid w:val="00A31AD9"/>
    <w:rsid w:val="00A6591C"/>
    <w:rsid w:val="00AA2BB6"/>
    <w:rsid w:val="00BD20C3"/>
    <w:rsid w:val="00C14932"/>
    <w:rsid w:val="00C21D95"/>
    <w:rsid w:val="00C25786"/>
    <w:rsid w:val="00C50B38"/>
    <w:rsid w:val="00C620F1"/>
    <w:rsid w:val="00C62D2F"/>
    <w:rsid w:val="00CD36EC"/>
    <w:rsid w:val="00CE7215"/>
    <w:rsid w:val="00CF5D13"/>
    <w:rsid w:val="00CF6D82"/>
    <w:rsid w:val="00D37DDD"/>
    <w:rsid w:val="00D81B5F"/>
    <w:rsid w:val="00D81C1C"/>
    <w:rsid w:val="00D83854"/>
    <w:rsid w:val="00D95EEF"/>
    <w:rsid w:val="00DC51D1"/>
    <w:rsid w:val="00DF7B3B"/>
    <w:rsid w:val="00E224A6"/>
    <w:rsid w:val="00E427A5"/>
    <w:rsid w:val="00E464CC"/>
    <w:rsid w:val="00E855B5"/>
    <w:rsid w:val="00EB1141"/>
    <w:rsid w:val="00EB1B93"/>
    <w:rsid w:val="00F2155F"/>
    <w:rsid w:val="00F74F05"/>
    <w:rsid w:val="00F86F4A"/>
    <w:rsid w:val="00FB6488"/>
    <w:rsid w:val="00FF0E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786"/>
    <w:pPr>
      <w:widowControl w:val="0"/>
      <w:autoSpaceDE w:val="0"/>
      <w:autoSpaceDN w:val="0"/>
      <w:adjustRightInd w:val="0"/>
    </w:pPr>
    <w:rPr>
      <w:rFonts w:ascii="宋体" w:eastAsia="宋体" w:cs="宋体"/>
      <w:color w:val="000000"/>
      <w:kern w:val="0"/>
      <w:sz w:val="24"/>
      <w:szCs w:val="24"/>
    </w:rPr>
  </w:style>
  <w:style w:type="character" w:styleId="a3">
    <w:name w:val="Hyperlink"/>
    <w:basedOn w:val="a0"/>
    <w:rsid w:val="00183E65"/>
    <w:rPr>
      <w:color w:val="0563C1"/>
      <w:u w:val="single"/>
    </w:rPr>
  </w:style>
  <w:style w:type="paragraph" w:styleId="a4">
    <w:name w:val="header"/>
    <w:basedOn w:val="a"/>
    <w:link w:val="Char"/>
    <w:uiPriority w:val="99"/>
    <w:unhideWhenUsed/>
    <w:rsid w:val="005564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5640F"/>
    <w:rPr>
      <w:sz w:val="18"/>
      <w:szCs w:val="18"/>
    </w:rPr>
  </w:style>
  <w:style w:type="paragraph" w:styleId="a5">
    <w:name w:val="footer"/>
    <w:basedOn w:val="a"/>
    <w:link w:val="Char0"/>
    <w:uiPriority w:val="99"/>
    <w:unhideWhenUsed/>
    <w:rsid w:val="0055640F"/>
    <w:pPr>
      <w:tabs>
        <w:tab w:val="center" w:pos="4153"/>
        <w:tab w:val="right" w:pos="8306"/>
      </w:tabs>
      <w:snapToGrid w:val="0"/>
      <w:jc w:val="left"/>
    </w:pPr>
    <w:rPr>
      <w:sz w:val="18"/>
      <w:szCs w:val="18"/>
    </w:rPr>
  </w:style>
  <w:style w:type="character" w:customStyle="1" w:styleId="Char0">
    <w:name w:val="页脚 Char"/>
    <w:basedOn w:val="a0"/>
    <w:link w:val="a5"/>
    <w:uiPriority w:val="99"/>
    <w:rsid w:val="0055640F"/>
    <w:rPr>
      <w:sz w:val="18"/>
      <w:szCs w:val="18"/>
    </w:rPr>
  </w:style>
  <w:style w:type="character" w:styleId="a6">
    <w:name w:val="annotation reference"/>
    <w:basedOn w:val="a0"/>
    <w:uiPriority w:val="99"/>
    <w:semiHidden/>
    <w:unhideWhenUsed/>
    <w:rsid w:val="0055640F"/>
    <w:rPr>
      <w:sz w:val="21"/>
      <w:szCs w:val="21"/>
    </w:rPr>
  </w:style>
  <w:style w:type="paragraph" w:styleId="a7">
    <w:name w:val="annotation text"/>
    <w:basedOn w:val="a"/>
    <w:link w:val="Char1"/>
    <w:uiPriority w:val="99"/>
    <w:semiHidden/>
    <w:unhideWhenUsed/>
    <w:rsid w:val="0055640F"/>
    <w:pPr>
      <w:jc w:val="left"/>
    </w:pPr>
  </w:style>
  <w:style w:type="character" w:customStyle="1" w:styleId="Char1">
    <w:name w:val="批注文字 Char"/>
    <w:basedOn w:val="a0"/>
    <w:link w:val="a7"/>
    <w:uiPriority w:val="99"/>
    <w:semiHidden/>
    <w:rsid w:val="0055640F"/>
  </w:style>
  <w:style w:type="paragraph" w:styleId="a8">
    <w:name w:val="annotation subject"/>
    <w:basedOn w:val="a7"/>
    <w:next w:val="a7"/>
    <w:link w:val="Char2"/>
    <w:uiPriority w:val="99"/>
    <w:semiHidden/>
    <w:unhideWhenUsed/>
    <w:rsid w:val="0055640F"/>
    <w:rPr>
      <w:b/>
      <w:bCs/>
    </w:rPr>
  </w:style>
  <w:style w:type="character" w:customStyle="1" w:styleId="Char2">
    <w:name w:val="批注主题 Char"/>
    <w:basedOn w:val="Char1"/>
    <w:link w:val="a8"/>
    <w:uiPriority w:val="99"/>
    <w:semiHidden/>
    <w:rsid w:val="0055640F"/>
    <w:rPr>
      <w:b/>
      <w:bCs/>
    </w:rPr>
  </w:style>
  <w:style w:type="paragraph" w:styleId="a9">
    <w:name w:val="Balloon Text"/>
    <w:basedOn w:val="a"/>
    <w:link w:val="Char3"/>
    <w:uiPriority w:val="99"/>
    <w:semiHidden/>
    <w:unhideWhenUsed/>
    <w:rsid w:val="0055640F"/>
    <w:rPr>
      <w:sz w:val="18"/>
      <w:szCs w:val="18"/>
    </w:rPr>
  </w:style>
  <w:style w:type="character" w:customStyle="1" w:styleId="Char3">
    <w:name w:val="批注框文本 Char"/>
    <w:basedOn w:val="a0"/>
    <w:link w:val="a9"/>
    <w:uiPriority w:val="99"/>
    <w:semiHidden/>
    <w:rsid w:val="0055640F"/>
    <w:rPr>
      <w:sz w:val="18"/>
      <w:szCs w:val="18"/>
    </w:rPr>
  </w:style>
  <w:style w:type="character" w:customStyle="1" w:styleId="UnresolvedMention">
    <w:name w:val="Unresolved Mention"/>
    <w:basedOn w:val="a0"/>
    <w:uiPriority w:val="99"/>
    <w:semiHidden/>
    <w:unhideWhenUsed/>
    <w:rsid w:val="00261ECE"/>
    <w:rPr>
      <w:color w:val="605E5C"/>
      <w:shd w:val="clear" w:color="auto" w:fill="E1DFDD"/>
    </w:rPr>
  </w:style>
  <w:style w:type="paragraph" w:styleId="aa">
    <w:name w:val="List Paragraph"/>
    <w:basedOn w:val="a"/>
    <w:uiPriority w:val="34"/>
    <w:qFormat/>
    <w:rsid w:val="004B0AA8"/>
    <w:pPr>
      <w:ind w:firstLineChars="200" w:firstLine="420"/>
    </w:pPr>
  </w:style>
</w:styles>
</file>

<file path=word/webSettings.xml><?xml version="1.0" encoding="utf-8"?>
<w:webSettings xmlns:r="http://schemas.openxmlformats.org/officeDocument/2006/relationships" xmlns:w="http://schemas.openxmlformats.org/wordprocessingml/2006/main">
  <w:divs>
    <w:div w:id="499084227">
      <w:bodyDiv w:val="1"/>
      <w:marLeft w:val="0"/>
      <w:marRight w:val="0"/>
      <w:marTop w:val="0"/>
      <w:marBottom w:val="0"/>
      <w:divBdr>
        <w:top w:val="none" w:sz="0" w:space="0" w:color="auto"/>
        <w:left w:val="none" w:sz="0" w:space="0" w:color="auto"/>
        <w:bottom w:val="none" w:sz="0" w:space="0" w:color="auto"/>
        <w:right w:val="none" w:sz="0" w:space="0" w:color="auto"/>
      </w:divBdr>
    </w:div>
    <w:div w:id="589240457">
      <w:bodyDiv w:val="1"/>
      <w:marLeft w:val="0"/>
      <w:marRight w:val="0"/>
      <w:marTop w:val="0"/>
      <w:marBottom w:val="0"/>
      <w:divBdr>
        <w:top w:val="none" w:sz="0" w:space="0" w:color="auto"/>
        <w:left w:val="none" w:sz="0" w:space="0" w:color="auto"/>
        <w:bottom w:val="none" w:sz="0" w:space="0" w:color="auto"/>
        <w:right w:val="none" w:sz="0" w:space="0" w:color="auto"/>
      </w:divBdr>
    </w:div>
    <w:div w:id="613055584">
      <w:bodyDiv w:val="1"/>
      <w:marLeft w:val="0"/>
      <w:marRight w:val="0"/>
      <w:marTop w:val="0"/>
      <w:marBottom w:val="0"/>
      <w:divBdr>
        <w:top w:val="none" w:sz="0" w:space="0" w:color="auto"/>
        <w:left w:val="none" w:sz="0" w:space="0" w:color="auto"/>
        <w:bottom w:val="none" w:sz="0" w:space="0" w:color="auto"/>
        <w:right w:val="none" w:sz="0" w:space="0" w:color="auto"/>
      </w:divBdr>
    </w:div>
    <w:div w:id="775752774">
      <w:bodyDiv w:val="1"/>
      <w:marLeft w:val="0"/>
      <w:marRight w:val="0"/>
      <w:marTop w:val="0"/>
      <w:marBottom w:val="0"/>
      <w:divBdr>
        <w:top w:val="none" w:sz="0" w:space="0" w:color="auto"/>
        <w:left w:val="none" w:sz="0" w:space="0" w:color="auto"/>
        <w:bottom w:val="none" w:sz="0" w:space="0" w:color="auto"/>
        <w:right w:val="none" w:sz="0" w:space="0" w:color="auto"/>
      </w:divBdr>
    </w:div>
    <w:div w:id="1014453022">
      <w:bodyDiv w:val="1"/>
      <w:marLeft w:val="0"/>
      <w:marRight w:val="0"/>
      <w:marTop w:val="0"/>
      <w:marBottom w:val="0"/>
      <w:divBdr>
        <w:top w:val="none" w:sz="0" w:space="0" w:color="auto"/>
        <w:left w:val="none" w:sz="0" w:space="0" w:color="auto"/>
        <w:bottom w:val="none" w:sz="0" w:space="0" w:color="auto"/>
        <w:right w:val="none" w:sz="0" w:space="0" w:color="auto"/>
      </w:divBdr>
    </w:div>
    <w:div w:id="1255164766">
      <w:bodyDiv w:val="1"/>
      <w:marLeft w:val="0"/>
      <w:marRight w:val="0"/>
      <w:marTop w:val="0"/>
      <w:marBottom w:val="0"/>
      <w:divBdr>
        <w:top w:val="none" w:sz="0" w:space="0" w:color="auto"/>
        <w:left w:val="none" w:sz="0" w:space="0" w:color="auto"/>
        <w:bottom w:val="none" w:sz="0" w:space="0" w:color="auto"/>
        <w:right w:val="none" w:sz="0" w:space="0" w:color="auto"/>
      </w:divBdr>
    </w:div>
    <w:div w:id="19360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981</Characters>
  <Application>Microsoft Office Word</Application>
  <DocSecurity>4</DocSecurity>
  <Lines>8</Lines>
  <Paragraphs>2</Paragraphs>
  <ScaleCrop>false</ScaleCrop>
  <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fengchun</dc:creator>
  <cp:keywords/>
  <dc:description/>
  <cp:lastModifiedBy>ZHONGM</cp:lastModifiedBy>
  <cp:revision>2</cp:revision>
  <dcterms:created xsi:type="dcterms:W3CDTF">2025-05-12T16:00:00Z</dcterms:created>
  <dcterms:modified xsi:type="dcterms:W3CDTF">2025-05-12T16:00:00Z</dcterms:modified>
</cp:coreProperties>
</file>