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153" w:rsidRDefault="005C0703">
      <w:pPr>
        <w:jc w:val="center"/>
        <w:rPr>
          <w:rFonts w:ascii="宋体" w:eastAsia="宋体" w:hAnsi="宋体"/>
          <w:b/>
          <w:sz w:val="32"/>
          <w:szCs w:val="32"/>
        </w:rPr>
      </w:pPr>
      <w:bookmarkStart w:id="0" w:name="_GoBack"/>
      <w:bookmarkEnd w:id="0"/>
      <w:r>
        <w:rPr>
          <w:rFonts w:ascii="宋体" w:eastAsia="宋体" w:hAnsi="宋体" w:hint="eastAsia"/>
          <w:b/>
          <w:sz w:val="32"/>
          <w:szCs w:val="32"/>
        </w:rPr>
        <w:t>博时纳斯达克</w:t>
      </w:r>
      <w:r>
        <w:rPr>
          <w:rFonts w:ascii="宋体" w:eastAsia="宋体" w:hAnsi="宋体"/>
          <w:b/>
          <w:sz w:val="32"/>
          <w:szCs w:val="32"/>
        </w:rPr>
        <w:t>100</w:t>
      </w:r>
      <w:r>
        <w:rPr>
          <w:rFonts w:ascii="宋体" w:eastAsia="宋体" w:hAnsi="宋体"/>
          <w:b/>
          <w:sz w:val="32"/>
          <w:szCs w:val="32"/>
        </w:rPr>
        <w:t>交易型开放式指数证券投资基金发起式联接基金（</w:t>
      </w:r>
      <w:r>
        <w:rPr>
          <w:rFonts w:ascii="宋体" w:eastAsia="宋体" w:hAnsi="宋体"/>
          <w:b/>
          <w:sz w:val="32"/>
          <w:szCs w:val="32"/>
        </w:rPr>
        <w:t>QDII</w:t>
      </w:r>
      <w:r>
        <w:rPr>
          <w:rFonts w:ascii="宋体" w:eastAsia="宋体" w:hAnsi="宋体"/>
          <w:b/>
          <w:sz w:val="32"/>
          <w:szCs w:val="32"/>
        </w:rPr>
        <w:t>）</w:t>
      </w:r>
      <w:r>
        <w:rPr>
          <w:rFonts w:ascii="宋体" w:eastAsia="宋体" w:hAnsi="宋体"/>
          <w:b/>
          <w:sz w:val="32"/>
          <w:szCs w:val="32"/>
        </w:rPr>
        <w:t>2025</w:t>
      </w:r>
      <w:r>
        <w:rPr>
          <w:rFonts w:ascii="宋体" w:eastAsia="宋体" w:hAnsi="宋体"/>
          <w:b/>
          <w:sz w:val="32"/>
          <w:szCs w:val="32"/>
        </w:rPr>
        <w:t>年境外主要市场节假日暂停申购、赎回等交易类业务的公告</w:t>
      </w:r>
      <w:r>
        <w:rPr>
          <w:rFonts w:ascii="宋体" w:eastAsia="宋体" w:hAnsi="宋体"/>
          <w:b/>
          <w:sz w:val="32"/>
          <w:szCs w:val="32"/>
        </w:rPr>
        <w:t xml:space="preserve"> </w:t>
      </w:r>
    </w:p>
    <w:p w:rsidR="001D7153" w:rsidRDefault="005C0703">
      <w:pPr>
        <w:spacing w:line="560" w:lineRule="exact"/>
        <w:jc w:val="center"/>
        <w:rPr>
          <w:rFonts w:asciiTheme="minorEastAsia" w:hAnsiTheme="minorEastAsia" w:cs="宋体"/>
          <w:bCs/>
          <w:color w:val="FF0000"/>
          <w:sz w:val="24"/>
          <w:szCs w:val="24"/>
        </w:rPr>
      </w:pPr>
      <w:r>
        <w:rPr>
          <w:rFonts w:asciiTheme="minorEastAsia" w:hAnsiTheme="minorEastAsia"/>
          <w:color w:val="000000"/>
          <w:sz w:val="24"/>
          <w:szCs w:val="24"/>
        </w:rPr>
        <w:t>公告送出日期：</w:t>
      </w:r>
      <w:r>
        <w:rPr>
          <w:rFonts w:asciiTheme="minorEastAsia" w:hAnsiTheme="minorEastAsia" w:cs="宋体"/>
          <w:bCs/>
          <w:sz w:val="24"/>
          <w:szCs w:val="24"/>
        </w:rPr>
        <w:t>2025</w:t>
      </w:r>
      <w:r>
        <w:rPr>
          <w:rFonts w:asciiTheme="minorEastAsia" w:hAnsiTheme="minorEastAsia" w:cs="宋体"/>
          <w:bCs/>
          <w:sz w:val="24"/>
          <w:szCs w:val="24"/>
        </w:rPr>
        <w:t>年</w:t>
      </w:r>
      <w:r>
        <w:rPr>
          <w:rFonts w:asciiTheme="minorEastAsia" w:hAnsiTheme="minorEastAsia" w:cs="宋体" w:hint="eastAsia"/>
          <w:bCs/>
          <w:sz w:val="24"/>
          <w:szCs w:val="24"/>
        </w:rPr>
        <w:t>5</w:t>
      </w:r>
      <w:r>
        <w:rPr>
          <w:rFonts w:asciiTheme="minorEastAsia" w:hAnsiTheme="minorEastAsia" w:cs="宋体"/>
          <w:bCs/>
          <w:sz w:val="24"/>
          <w:szCs w:val="24"/>
        </w:rPr>
        <w:t>月</w:t>
      </w:r>
      <w:r>
        <w:rPr>
          <w:rFonts w:asciiTheme="minorEastAsia" w:hAnsiTheme="minorEastAsia" w:cs="宋体" w:hint="eastAsia"/>
          <w:bCs/>
          <w:sz w:val="24"/>
          <w:szCs w:val="24"/>
        </w:rPr>
        <w:t>13</w:t>
      </w:r>
      <w:r>
        <w:rPr>
          <w:rFonts w:asciiTheme="minorEastAsia" w:hAnsiTheme="minorEastAsia" w:cs="宋体"/>
          <w:bCs/>
          <w:sz w:val="24"/>
          <w:szCs w:val="24"/>
        </w:rPr>
        <w:t>日</w:t>
      </w:r>
    </w:p>
    <w:p w:rsidR="001D7153" w:rsidRDefault="001D7153">
      <w:pPr>
        <w:pStyle w:val="3"/>
        <w:keepNext w:val="0"/>
        <w:keepLines w:val="0"/>
        <w:spacing w:before="0" w:after="0" w:line="360" w:lineRule="auto"/>
        <w:ind w:firstLineChars="200" w:firstLine="480"/>
        <w:rPr>
          <w:rFonts w:ascii="宋体" w:hAnsi="宋体"/>
          <w:b w:val="0"/>
          <w:sz w:val="24"/>
        </w:rPr>
      </w:pPr>
    </w:p>
    <w:p w:rsidR="001D7153" w:rsidRDefault="005C0703">
      <w:pPr>
        <w:pStyle w:val="3"/>
        <w:keepNext w:val="0"/>
        <w:keepLines w:val="0"/>
        <w:spacing w:before="0" w:after="0" w:line="360" w:lineRule="auto"/>
        <w:ind w:firstLineChars="200" w:firstLine="480"/>
        <w:rPr>
          <w:rFonts w:ascii="宋体" w:hAnsi="宋体"/>
          <w:b w:val="0"/>
          <w:sz w:val="24"/>
        </w:rPr>
      </w:pPr>
      <w:r>
        <w:rPr>
          <w:rFonts w:ascii="宋体" w:hAnsi="宋体" w:hint="eastAsia"/>
          <w:b w:val="0"/>
          <w:sz w:val="24"/>
        </w:rPr>
        <w:t>根据《博时纳斯达克</w:t>
      </w:r>
      <w:r>
        <w:rPr>
          <w:rFonts w:ascii="宋体" w:hAnsi="宋体"/>
          <w:b w:val="0"/>
          <w:sz w:val="24"/>
        </w:rPr>
        <w:t>100</w:t>
      </w:r>
      <w:r>
        <w:rPr>
          <w:rFonts w:ascii="宋体" w:hAnsi="宋体"/>
          <w:b w:val="0"/>
          <w:sz w:val="24"/>
        </w:rPr>
        <w:t>交易型开放式指数证券投资基金发起式联接基金（</w:t>
      </w:r>
      <w:r>
        <w:rPr>
          <w:rFonts w:ascii="宋体" w:hAnsi="宋体"/>
          <w:b w:val="0"/>
          <w:sz w:val="24"/>
        </w:rPr>
        <w:t>QDII</w:t>
      </w:r>
      <w:r>
        <w:rPr>
          <w:rFonts w:ascii="宋体" w:hAnsi="宋体"/>
          <w:b w:val="0"/>
          <w:sz w:val="24"/>
        </w:rPr>
        <w:t>）基金合同</w:t>
      </w:r>
      <w:r>
        <w:rPr>
          <w:rFonts w:ascii="宋体" w:hAnsi="宋体" w:hint="eastAsia"/>
          <w:b w:val="0"/>
          <w:sz w:val="24"/>
        </w:rPr>
        <w:t>》及《</w:t>
      </w:r>
      <w:r>
        <w:rPr>
          <w:rFonts w:ascii="宋体" w:hAnsi="宋体" w:cs="Arial" w:hint="eastAsia"/>
          <w:b w:val="0"/>
          <w:kern w:val="0"/>
          <w:sz w:val="24"/>
          <w:szCs w:val="24"/>
        </w:rPr>
        <w:t>博时纳斯达克</w:t>
      </w:r>
      <w:r>
        <w:rPr>
          <w:rFonts w:ascii="宋体" w:hAnsi="宋体" w:cs="Arial"/>
          <w:b w:val="0"/>
          <w:kern w:val="0"/>
          <w:sz w:val="24"/>
          <w:szCs w:val="24"/>
        </w:rPr>
        <w:t>100</w:t>
      </w:r>
      <w:r>
        <w:rPr>
          <w:rFonts w:ascii="宋体" w:hAnsi="宋体" w:cs="Arial"/>
          <w:b w:val="0"/>
          <w:kern w:val="0"/>
          <w:sz w:val="24"/>
          <w:szCs w:val="24"/>
        </w:rPr>
        <w:t>交易型开放式指数证券投资基金发起式联接基金（</w:t>
      </w:r>
      <w:r>
        <w:rPr>
          <w:rFonts w:ascii="宋体" w:hAnsi="宋体" w:cs="Arial"/>
          <w:b w:val="0"/>
          <w:kern w:val="0"/>
          <w:sz w:val="24"/>
          <w:szCs w:val="24"/>
        </w:rPr>
        <w:t>QDII</w:t>
      </w:r>
      <w:r>
        <w:rPr>
          <w:rFonts w:ascii="宋体" w:hAnsi="宋体" w:cs="Arial"/>
          <w:b w:val="0"/>
          <w:kern w:val="0"/>
          <w:sz w:val="24"/>
          <w:szCs w:val="24"/>
        </w:rPr>
        <w:t>）</w:t>
      </w:r>
      <w:r>
        <w:rPr>
          <w:rFonts w:ascii="宋体" w:hAnsi="宋体"/>
          <w:b w:val="0"/>
          <w:sz w:val="24"/>
        </w:rPr>
        <w:t>招募说明书</w:t>
      </w:r>
      <w:r>
        <w:rPr>
          <w:rFonts w:ascii="宋体" w:hAnsi="宋体" w:hint="eastAsia"/>
          <w:b w:val="0"/>
          <w:sz w:val="24"/>
        </w:rPr>
        <w:t>》的有关规定，</w:t>
      </w:r>
      <w:r>
        <w:rPr>
          <w:rFonts w:ascii="宋体" w:hAnsi="宋体" w:cs="Arial" w:hint="eastAsia"/>
          <w:b w:val="0"/>
          <w:kern w:val="0"/>
          <w:sz w:val="24"/>
          <w:szCs w:val="24"/>
        </w:rPr>
        <w:t>博时纳斯达克</w:t>
      </w:r>
      <w:r>
        <w:rPr>
          <w:rFonts w:ascii="宋体" w:hAnsi="宋体" w:cs="Arial"/>
          <w:b w:val="0"/>
          <w:kern w:val="0"/>
          <w:sz w:val="24"/>
          <w:szCs w:val="24"/>
        </w:rPr>
        <w:t>100</w:t>
      </w:r>
      <w:r>
        <w:rPr>
          <w:rFonts w:ascii="宋体" w:hAnsi="宋体" w:cs="Arial"/>
          <w:b w:val="0"/>
          <w:kern w:val="0"/>
          <w:sz w:val="24"/>
          <w:szCs w:val="24"/>
        </w:rPr>
        <w:t>交易型开放式指数证券投资基金发起式联接基金（</w:t>
      </w:r>
      <w:r>
        <w:rPr>
          <w:rFonts w:ascii="宋体" w:hAnsi="宋体" w:cs="Arial"/>
          <w:b w:val="0"/>
          <w:kern w:val="0"/>
          <w:sz w:val="24"/>
          <w:szCs w:val="24"/>
        </w:rPr>
        <w:t>QDII</w:t>
      </w:r>
      <w:r>
        <w:rPr>
          <w:rFonts w:ascii="宋体" w:hAnsi="宋体" w:cs="Arial"/>
          <w:b w:val="0"/>
          <w:kern w:val="0"/>
          <w:sz w:val="24"/>
          <w:szCs w:val="24"/>
        </w:rPr>
        <w:t>）</w:t>
      </w:r>
      <w:r>
        <w:rPr>
          <w:rFonts w:ascii="宋体" w:hAnsi="宋体" w:hint="eastAsia"/>
          <w:b w:val="0"/>
          <w:sz w:val="24"/>
        </w:rPr>
        <w:t>（以下</w:t>
      </w:r>
      <w:r>
        <w:rPr>
          <w:rFonts w:ascii="宋体" w:hAnsi="宋体" w:cs="Arial" w:hint="eastAsia"/>
          <w:b w:val="0"/>
          <w:kern w:val="0"/>
          <w:sz w:val="24"/>
          <w:szCs w:val="24"/>
        </w:rPr>
        <w:t>简称“本基金”，</w:t>
      </w:r>
      <w:r>
        <w:rPr>
          <w:rFonts w:ascii="宋体" w:hAnsi="宋体" w:cs="Arial" w:hint="eastAsia"/>
          <w:b w:val="0"/>
          <w:kern w:val="0"/>
          <w:sz w:val="24"/>
          <w:szCs w:val="24"/>
        </w:rPr>
        <w:t>A</w:t>
      </w:r>
      <w:r>
        <w:rPr>
          <w:rFonts w:ascii="宋体" w:hAnsi="宋体" w:cs="Arial" w:hint="eastAsia"/>
          <w:b w:val="0"/>
          <w:kern w:val="0"/>
          <w:sz w:val="24"/>
          <w:szCs w:val="24"/>
        </w:rPr>
        <w:t>类份额（美元现汇）：</w:t>
      </w:r>
      <w:r>
        <w:rPr>
          <w:rFonts w:ascii="宋体" w:hAnsi="宋体" w:cs="Arial" w:hint="eastAsia"/>
          <w:b w:val="0"/>
          <w:kern w:val="0"/>
          <w:sz w:val="24"/>
          <w:szCs w:val="24"/>
        </w:rPr>
        <w:t>016056</w:t>
      </w:r>
      <w:r>
        <w:rPr>
          <w:rFonts w:ascii="宋体" w:hAnsi="宋体" w:cs="Arial" w:hint="eastAsia"/>
          <w:b w:val="0"/>
          <w:kern w:val="0"/>
          <w:sz w:val="24"/>
          <w:szCs w:val="24"/>
        </w:rPr>
        <w:t>；</w:t>
      </w:r>
      <w:r>
        <w:rPr>
          <w:rFonts w:ascii="宋体" w:hAnsi="宋体" w:cs="Arial" w:hint="eastAsia"/>
          <w:b w:val="0"/>
          <w:kern w:val="0"/>
          <w:sz w:val="24"/>
          <w:szCs w:val="24"/>
        </w:rPr>
        <w:t>A</w:t>
      </w:r>
      <w:r>
        <w:rPr>
          <w:rFonts w:ascii="宋体" w:hAnsi="宋体" w:cs="Arial" w:hint="eastAsia"/>
          <w:b w:val="0"/>
          <w:kern w:val="0"/>
          <w:sz w:val="24"/>
          <w:szCs w:val="24"/>
        </w:rPr>
        <w:t>类份额（人民币）：</w:t>
      </w:r>
      <w:r>
        <w:rPr>
          <w:rFonts w:ascii="宋体" w:hAnsi="宋体" w:cs="Arial" w:hint="eastAsia"/>
          <w:b w:val="0"/>
          <w:kern w:val="0"/>
          <w:sz w:val="24"/>
          <w:szCs w:val="24"/>
        </w:rPr>
        <w:t>016055</w:t>
      </w:r>
      <w:r>
        <w:rPr>
          <w:rFonts w:ascii="宋体" w:hAnsi="宋体" w:cs="Arial" w:hint="eastAsia"/>
          <w:b w:val="0"/>
          <w:kern w:val="0"/>
          <w:sz w:val="24"/>
          <w:szCs w:val="24"/>
        </w:rPr>
        <w:t>；</w:t>
      </w:r>
      <w:r>
        <w:rPr>
          <w:rFonts w:ascii="宋体" w:hAnsi="宋体" w:cs="Arial" w:hint="eastAsia"/>
          <w:b w:val="0"/>
          <w:kern w:val="0"/>
          <w:sz w:val="24"/>
          <w:szCs w:val="24"/>
        </w:rPr>
        <w:t>C</w:t>
      </w:r>
      <w:r>
        <w:rPr>
          <w:rFonts w:ascii="宋体" w:hAnsi="宋体" w:cs="Arial" w:hint="eastAsia"/>
          <w:b w:val="0"/>
          <w:kern w:val="0"/>
          <w:sz w:val="24"/>
          <w:szCs w:val="24"/>
        </w:rPr>
        <w:t>类份额（美元现汇）：</w:t>
      </w:r>
      <w:r>
        <w:rPr>
          <w:rFonts w:ascii="宋体" w:hAnsi="宋体" w:cs="Arial" w:hint="eastAsia"/>
          <w:b w:val="0"/>
          <w:kern w:val="0"/>
          <w:sz w:val="24"/>
          <w:szCs w:val="24"/>
        </w:rPr>
        <w:t>016058</w:t>
      </w:r>
      <w:r>
        <w:rPr>
          <w:rFonts w:ascii="宋体" w:hAnsi="宋体" w:cs="Arial" w:hint="eastAsia"/>
          <w:b w:val="0"/>
          <w:kern w:val="0"/>
          <w:sz w:val="24"/>
          <w:szCs w:val="24"/>
        </w:rPr>
        <w:t>；</w:t>
      </w:r>
      <w:r>
        <w:rPr>
          <w:rFonts w:ascii="宋体" w:hAnsi="宋体" w:cs="Arial" w:hint="eastAsia"/>
          <w:b w:val="0"/>
          <w:kern w:val="0"/>
          <w:sz w:val="24"/>
          <w:szCs w:val="24"/>
        </w:rPr>
        <w:t>C</w:t>
      </w:r>
      <w:r>
        <w:rPr>
          <w:rFonts w:ascii="宋体" w:hAnsi="宋体" w:cs="Arial" w:hint="eastAsia"/>
          <w:b w:val="0"/>
          <w:kern w:val="0"/>
          <w:sz w:val="24"/>
          <w:szCs w:val="24"/>
        </w:rPr>
        <w:t>类份额（人民币）：</w:t>
      </w:r>
      <w:r>
        <w:rPr>
          <w:rFonts w:ascii="宋体" w:hAnsi="宋体" w:cs="Arial" w:hint="eastAsia"/>
          <w:b w:val="0"/>
          <w:kern w:val="0"/>
          <w:sz w:val="24"/>
          <w:szCs w:val="24"/>
        </w:rPr>
        <w:t>016057</w:t>
      </w:r>
      <w:r>
        <w:rPr>
          <w:rFonts w:ascii="宋体" w:hAnsi="宋体" w:cs="Arial" w:hint="eastAsia"/>
          <w:b w:val="0"/>
          <w:kern w:val="0"/>
          <w:sz w:val="24"/>
          <w:szCs w:val="24"/>
        </w:rPr>
        <w:t>；</w:t>
      </w:r>
      <w:r>
        <w:rPr>
          <w:rFonts w:ascii="宋体" w:hAnsi="宋体" w:cs="Arial" w:hint="eastAsia"/>
          <w:b w:val="0"/>
          <w:kern w:val="0"/>
          <w:sz w:val="24"/>
          <w:szCs w:val="24"/>
        </w:rPr>
        <w:t>I</w:t>
      </w:r>
      <w:r>
        <w:rPr>
          <w:rFonts w:ascii="宋体" w:hAnsi="宋体" w:cs="Arial" w:hint="eastAsia"/>
          <w:b w:val="0"/>
          <w:kern w:val="0"/>
          <w:sz w:val="24"/>
          <w:szCs w:val="24"/>
        </w:rPr>
        <w:t>类份额（人民币）：</w:t>
      </w:r>
      <w:r>
        <w:rPr>
          <w:rFonts w:ascii="宋体" w:hAnsi="宋体" w:cs="Arial" w:hint="eastAsia"/>
          <w:b w:val="0"/>
          <w:kern w:val="0"/>
          <w:sz w:val="24"/>
          <w:szCs w:val="24"/>
        </w:rPr>
        <w:t>024237</w:t>
      </w:r>
      <w:r>
        <w:rPr>
          <w:rFonts w:ascii="宋体" w:hAnsi="宋体" w:cs="Arial" w:hint="eastAsia"/>
          <w:b w:val="0"/>
          <w:kern w:val="0"/>
          <w:sz w:val="24"/>
          <w:szCs w:val="24"/>
        </w:rPr>
        <w:t>）申购、赎回等业务的开放日为上海证券交易所、深圳证券交易所和本基金投资的境</w:t>
      </w:r>
      <w:r>
        <w:rPr>
          <w:rFonts w:ascii="宋体" w:hAnsi="宋体" w:hint="eastAsia"/>
          <w:b w:val="0"/>
          <w:sz w:val="24"/>
        </w:rPr>
        <w:t>外主要市场同时开放交易的工作日。基金目标</w:t>
      </w:r>
      <w:r>
        <w:rPr>
          <w:rFonts w:ascii="宋体" w:hAnsi="宋体" w:hint="eastAsia"/>
          <w:b w:val="0"/>
          <w:sz w:val="24"/>
        </w:rPr>
        <w:t>ETF</w:t>
      </w:r>
      <w:r>
        <w:rPr>
          <w:rFonts w:ascii="宋体" w:hAnsi="宋体" w:hint="eastAsia"/>
          <w:b w:val="0"/>
          <w:sz w:val="24"/>
        </w:rPr>
        <w:t>所投资的主要市场中有一个或一个以上因节假日而暂停交易，基金管理人可以暂停本基金的申购赎回等业务。</w:t>
      </w:r>
    </w:p>
    <w:p w:rsidR="001D7153" w:rsidRDefault="005C0703">
      <w:pPr>
        <w:pStyle w:val="3"/>
        <w:keepNext w:val="0"/>
        <w:keepLines w:val="0"/>
        <w:spacing w:before="0" w:after="0" w:line="360" w:lineRule="auto"/>
        <w:ind w:firstLineChars="200" w:firstLine="480"/>
        <w:rPr>
          <w:rFonts w:ascii="宋体" w:hAnsi="宋体"/>
          <w:b w:val="0"/>
          <w:sz w:val="24"/>
        </w:rPr>
      </w:pPr>
      <w:r>
        <w:rPr>
          <w:rFonts w:ascii="宋体" w:hAnsi="宋体" w:hint="eastAsia"/>
          <w:b w:val="0"/>
          <w:sz w:val="24"/>
        </w:rPr>
        <w:t>为了保障基金平稳运作，维护基金份额持有人利益，博时基金管理有限公司决定对处于上海证券交易所和深圳证券交易所</w:t>
      </w:r>
      <w:r>
        <w:rPr>
          <w:rFonts w:ascii="宋体" w:hAnsi="宋体" w:hint="eastAsia"/>
          <w:b w:val="0"/>
          <w:sz w:val="24"/>
        </w:rPr>
        <w:t>交易日的下列</w:t>
      </w:r>
      <w:r>
        <w:rPr>
          <w:rFonts w:ascii="宋体" w:hAnsi="宋体"/>
          <w:b w:val="0"/>
          <w:sz w:val="24"/>
        </w:rPr>
        <w:t>2025</w:t>
      </w:r>
      <w:r>
        <w:rPr>
          <w:rFonts w:ascii="宋体" w:hAnsi="宋体" w:hint="eastAsia"/>
          <w:b w:val="0"/>
          <w:sz w:val="24"/>
        </w:rPr>
        <w:t>年境外主要市场节假日暂停本基金的申购、赎回、定期定额申购、分红方式变更、基金转换及转托管等交易类业务，并自下列节假日的下一开放日恢复本基金的上述业务，届时不再另行公告。</w:t>
      </w:r>
    </w:p>
    <w:tbl>
      <w:tblPr>
        <w:tblW w:w="4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49"/>
        <w:gridCol w:w="848"/>
        <w:gridCol w:w="4961"/>
      </w:tblGrid>
      <w:tr w:rsidR="001D7153">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1D7153" w:rsidRDefault="005C0703">
            <w:pPr>
              <w:jc w:val="center"/>
              <w:rPr>
                <w:rFonts w:ascii="宋体" w:eastAsia="宋体" w:hAnsi="宋体" w:cs="宋体"/>
                <w:sz w:val="24"/>
                <w:szCs w:val="24"/>
              </w:rPr>
            </w:pPr>
            <w:r>
              <w:rPr>
                <w:rFonts w:ascii="宋体" w:eastAsia="宋体" w:hAnsi="宋体" w:hint="eastAsia"/>
                <w:sz w:val="24"/>
              </w:rPr>
              <w:t>月份</w:t>
            </w:r>
          </w:p>
        </w:tc>
        <w:tc>
          <w:tcPr>
            <w:tcW w:w="0" w:type="auto"/>
            <w:tcBorders>
              <w:top w:val="outset" w:sz="6" w:space="0" w:color="auto"/>
              <w:left w:val="outset" w:sz="6" w:space="0" w:color="auto"/>
              <w:bottom w:val="outset" w:sz="6" w:space="0" w:color="auto"/>
              <w:right w:val="outset" w:sz="6" w:space="0" w:color="auto"/>
            </w:tcBorders>
            <w:vAlign w:val="center"/>
          </w:tcPr>
          <w:p w:rsidR="001D7153" w:rsidRDefault="005C0703">
            <w:pPr>
              <w:jc w:val="center"/>
              <w:rPr>
                <w:rFonts w:ascii="宋体" w:eastAsia="宋体" w:hAnsi="宋体" w:cs="宋体"/>
                <w:sz w:val="24"/>
                <w:szCs w:val="24"/>
              </w:rPr>
            </w:pPr>
            <w:r>
              <w:rPr>
                <w:rFonts w:ascii="宋体" w:eastAsia="宋体" w:hAnsi="宋体" w:hint="eastAsia"/>
                <w:sz w:val="24"/>
              </w:rPr>
              <w:t>日期</w:t>
            </w:r>
          </w:p>
        </w:tc>
        <w:tc>
          <w:tcPr>
            <w:tcW w:w="0" w:type="auto"/>
            <w:tcBorders>
              <w:top w:val="outset" w:sz="6" w:space="0" w:color="auto"/>
              <w:left w:val="outset" w:sz="6" w:space="0" w:color="auto"/>
              <w:bottom w:val="outset" w:sz="6" w:space="0" w:color="auto"/>
              <w:right w:val="outset" w:sz="6" w:space="0" w:color="auto"/>
            </w:tcBorders>
            <w:vAlign w:val="center"/>
          </w:tcPr>
          <w:p w:rsidR="001D7153" w:rsidRDefault="005C0703">
            <w:pPr>
              <w:jc w:val="center"/>
              <w:rPr>
                <w:rFonts w:ascii="宋体" w:eastAsia="宋体" w:hAnsi="宋体" w:cs="宋体"/>
                <w:sz w:val="24"/>
                <w:szCs w:val="24"/>
              </w:rPr>
            </w:pPr>
            <w:r>
              <w:rPr>
                <w:rFonts w:ascii="宋体" w:eastAsia="宋体" w:hAnsi="宋体" w:hint="eastAsia"/>
                <w:sz w:val="24"/>
              </w:rPr>
              <w:t>节日名称</w:t>
            </w:r>
          </w:p>
        </w:tc>
      </w:tr>
      <w:tr w:rsidR="001D7153">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1D7153" w:rsidRDefault="005C0703">
            <w:pPr>
              <w:jc w:val="center"/>
              <w:rPr>
                <w:rFonts w:ascii="宋体" w:eastAsia="宋体" w:hAnsi="宋体" w:cs="宋体"/>
                <w:sz w:val="24"/>
                <w:szCs w:val="24"/>
              </w:rPr>
            </w:pPr>
            <w:r>
              <w:rPr>
                <w:rFonts w:ascii="宋体" w:eastAsia="宋体" w:hAnsi="宋体"/>
                <w:sz w:val="24"/>
              </w:rPr>
              <w:t>1</w:t>
            </w:r>
          </w:p>
        </w:tc>
        <w:tc>
          <w:tcPr>
            <w:tcW w:w="0" w:type="auto"/>
            <w:tcBorders>
              <w:top w:val="outset" w:sz="6" w:space="0" w:color="auto"/>
              <w:left w:val="outset" w:sz="6" w:space="0" w:color="auto"/>
              <w:bottom w:val="outset" w:sz="6" w:space="0" w:color="auto"/>
              <w:right w:val="outset" w:sz="6" w:space="0" w:color="auto"/>
            </w:tcBorders>
            <w:vAlign w:val="center"/>
          </w:tcPr>
          <w:p w:rsidR="001D7153" w:rsidRDefault="005C0703">
            <w:pPr>
              <w:jc w:val="center"/>
              <w:rPr>
                <w:rFonts w:ascii="宋体" w:eastAsia="宋体" w:hAnsi="宋体" w:cs="宋体"/>
                <w:sz w:val="24"/>
                <w:szCs w:val="24"/>
              </w:rPr>
            </w:pPr>
            <w:r>
              <w:rPr>
                <w:rFonts w:ascii="宋体" w:eastAsia="宋体" w:hAnsi="宋体"/>
                <w:sz w:val="24"/>
              </w:rPr>
              <w:t>9</w:t>
            </w:r>
          </w:p>
        </w:tc>
        <w:tc>
          <w:tcPr>
            <w:tcW w:w="0" w:type="auto"/>
            <w:tcBorders>
              <w:top w:val="outset" w:sz="6" w:space="0" w:color="auto"/>
              <w:left w:val="outset" w:sz="6" w:space="0" w:color="auto"/>
              <w:bottom w:val="outset" w:sz="6" w:space="0" w:color="auto"/>
              <w:right w:val="outset" w:sz="6" w:space="0" w:color="auto"/>
            </w:tcBorders>
            <w:vAlign w:val="center"/>
          </w:tcPr>
          <w:p w:rsidR="001D7153" w:rsidRDefault="005C0703">
            <w:pPr>
              <w:jc w:val="center"/>
              <w:rPr>
                <w:rFonts w:ascii="宋体" w:eastAsia="宋体" w:hAnsi="宋体" w:cs="宋体"/>
                <w:sz w:val="24"/>
                <w:szCs w:val="24"/>
              </w:rPr>
            </w:pPr>
            <w:r>
              <w:rPr>
                <w:rFonts w:ascii="宋体" w:eastAsia="宋体" w:hAnsi="宋体" w:hint="eastAsia"/>
                <w:sz w:val="24"/>
              </w:rPr>
              <w:t>美国总统吉米卡特纪念日</w:t>
            </w:r>
          </w:p>
        </w:tc>
      </w:tr>
      <w:tr w:rsidR="001D7153">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1D7153" w:rsidRDefault="005C0703">
            <w:pPr>
              <w:jc w:val="center"/>
              <w:rPr>
                <w:rFonts w:ascii="宋体" w:eastAsia="宋体" w:hAnsi="宋体" w:cs="宋体"/>
                <w:sz w:val="24"/>
                <w:szCs w:val="24"/>
              </w:rPr>
            </w:pPr>
            <w:r>
              <w:rPr>
                <w:rFonts w:ascii="宋体" w:eastAsia="宋体" w:hAnsi="宋体"/>
                <w:sz w:val="24"/>
              </w:rPr>
              <w:t>1</w:t>
            </w:r>
          </w:p>
        </w:tc>
        <w:tc>
          <w:tcPr>
            <w:tcW w:w="0" w:type="auto"/>
            <w:tcBorders>
              <w:top w:val="outset" w:sz="6" w:space="0" w:color="auto"/>
              <w:left w:val="outset" w:sz="6" w:space="0" w:color="auto"/>
              <w:bottom w:val="outset" w:sz="6" w:space="0" w:color="auto"/>
              <w:right w:val="outset" w:sz="6" w:space="0" w:color="auto"/>
            </w:tcBorders>
            <w:vAlign w:val="center"/>
          </w:tcPr>
          <w:p w:rsidR="001D7153" w:rsidRDefault="005C0703">
            <w:pPr>
              <w:jc w:val="center"/>
              <w:rPr>
                <w:rFonts w:ascii="宋体" w:eastAsia="宋体" w:hAnsi="宋体" w:cs="宋体"/>
                <w:sz w:val="24"/>
                <w:szCs w:val="24"/>
              </w:rPr>
            </w:pPr>
            <w:r>
              <w:rPr>
                <w:rFonts w:ascii="宋体" w:eastAsia="宋体" w:hAnsi="宋体"/>
                <w:sz w:val="24"/>
              </w:rPr>
              <w:t>20</w:t>
            </w:r>
          </w:p>
        </w:tc>
        <w:tc>
          <w:tcPr>
            <w:tcW w:w="0" w:type="auto"/>
            <w:tcBorders>
              <w:top w:val="outset" w:sz="6" w:space="0" w:color="auto"/>
              <w:left w:val="outset" w:sz="6" w:space="0" w:color="auto"/>
              <w:bottom w:val="outset" w:sz="6" w:space="0" w:color="auto"/>
              <w:right w:val="outset" w:sz="6" w:space="0" w:color="auto"/>
            </w:tcBorders>
            <w:vAlign w:val="center"/>
          </w:tcPr>
          <w:p w:rsidR="001D7153" w:rsidRDefault="005C0703">
            <w:pPr>
              <w:jc w:val="center"/>
              <w:rPr>
                <w:rFonts w:ascii="宋体" w:eastAsia="宋体" w:hAnsi="宋体" w:cs="宋体"/>
                <w:sz w:val="24"/>
                <w:szCs w:val="24"/>
              </w:rPr>
            </w:pPr>
            <w:r>
              <w:rPr>
                <w:rFonts w:ascii="宋体" w:eastAsia="宋体" w:hAnsi="宋体" w:hint="eastAsia"/>
                <w:sz w:val="24"/>
              </w:rPr>
              <w:t>美国马丁·路德·金纪念日</w:t>
            </w:r>
          </w:p>
        </w:tc>
      </w:tr>
      <w:tr w:rsidR="001D7153">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1D7153" w:rsidRDefault="005C0703">
            <w:pPr>
              <w:jc w:val="center"/>
              <w:rPr>
                <w:rFonts w:ascii="宋体" w:eastAsia="宋体" w:hAnsi="宋体" w:cs="宋体"/>
                <w:sz w:val="24"/>
                <w:szCs w:val="24"/>
              </w:rPr>
            </w:pPr>
            <w:r>
              <w:rPr>
                <w:rFonts w:ascii="宋体" w:eastAsia="宋体" w:hAnsi="宋体"/>
                <w:sz w:val="24"/>
              </w:rPr>
              <w:t>2</w:t>
            </w:r>
          </w:p>
        </w:tc>
        <w:tc>
          <w:tcPr>
            <w:tcW w:w="0" w:type="auto"/>
            <w:tcBorders>
              <w:top w:val="outset" w:sz="6" w:space="0" w:color="auto"/>
              <w:left w:val="outset" w:sz="6" w:space="0" w:color="auto"/>
              <w:bottom w:val="outset" w:sz="6" w:space="0" w:color="auto"/>
              <w:right w:val="outset" w:sz="6" w:space="0" w:color="auto"/>
            </w:tcBorders>
            <w:vAlign w:val="center"/>
          </w:tcPr>
          <w:p w:rsidR="001D7153" w:rsidRDefault="005C0703">
            <w:pPr>
              <w:jc w:val="center"/>
              <w:rPr>
                <w:rFonts w:ascii="宋体" w:eastAsia="宋体" w:hAnsi="宋体" w:cs="宋体"/>
                <w:sz w:val="24"/>
                <w:szCs w:val="24"/>
              </w:rPr>
            </w:pPr>
            <w:r>
              <w:rPr>
                <w:rFonts w:ascii="宋体" w:eastAsia="宋体" w:hAnsi="宋体"/>
                <w:sz w:val="24"/>
              </w:rPr>
              <w:t>17</w:t>
            </w:r>
          </w:p>
        </w:tc>
        <w:tc>
          <w:tcPr>
            <w:tcW w:w="0" w:type="auto"/>
            <w:tcBorders>
              <w:top w:val="outset" w:sz="6" w:space="0" w:color="auto"/>
              <w:left w:val="outset" w:sz="6" w:space="0" w:color="auto"/>
              <w:bottom w:val="outset" w:sz="6" w:space="0" w:color="auto"/>
              <w:right w:val="outset" w:sz="6" w:space="0" w:color="auto"/>
            </w:tcBorders>
            <w:vAlign w:val="center"/>
          </w:tcPr>
          <w:p w:rsidR="001D7153" w:rsidRDefault="005C0703">
            <w:pPr>
              <w:jc w:val="center"/>
              <w:rPr>
                <w:rFonts w:ascii="宋体" w:eastAsia="宋体" w:hAnsi="宋体" w:cs="宋体"/>
                <w:sz w:val="24"/>
                <w:szCs w:val="24"/>
              </w:rPr>
            </w:pPr>
            <w:r>
              <w:rPr>
                <w:rFonts w:ascii="宋体" w:eastAsia="宋体" w:hAnsi="宋体" w:hint="eastAsia"/>
                <w:sz w:val="24"/>
              </w:rPr>
              <w:t>美国总统纪念日</w:t>
            </w:r>
          </w:p>
        </w:tc>
      </w:tr>
      <w:tr w:rsidR="001D7153">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1D7153" w:rsidRDefault="005C0703">
            <w:pPr>
              <w:jc w:val="center"/>
              <w:rPr>
                <w:rFonts w:ascii="宋体" w:eastAsia="宋体" w:hAnsi="宋体" w:cs="宋体"/>
                <w:sz w:val="24"/>
                <w:szCs w:val="24"/>
              </w:rPr>
            </w:pPr>
            <w:r>
              <w:rPr>
                <w:rFonts w:ascii="宋体" w:eastAsia="宋体" w:hAnsi="宋体"/>
                <w:sz w:val="24"/>
              </w:rPr>
              <w:t>4</w:t>
            </w:r>
          </w:p>
        </w:tc>
        <w:tc>
          <w:tcPr>
            <w:tcW w:w="0" w:type="auto"/>
            <w:tcBorders>
              <w:top w:val="outset" w:sz="6" w:space="0" w:color="auto"/>
              <w:left w:val="outset" w:sz="6" w:space="0" w:color="auto"/>
              <w:bottom w:val="outset" w:sz="6" w:space="0" w:color="auto"/>
              <w:right w:val="outset" w:sz="6" w:space="0" w:color="auto"/>
            </w:tcBorders>
            <w:vAlign w:val="center"/>
          </w:tcPr>
          <w:p w:rsidR="001D7153" w:rsidRDefault="005C0703">
            <w:pPr>
              <w:jc w:val="center"/>
              <w:rPr>
                <w:rFonts w:ascii="宋体" w:eastAsia="宋体" w:hAnsi="宋体" w:cs="宋体"/>
                <w:sz w:val="24"/>
                <w:szCs w:val="24"/>
              </w:rPr>
            </w:pPr>
            <w:r>
              <w:rPr>
                <w:rFonts w:ascii="宋体" w:eastAsia="宋体" w:hAnsi="宋体"/>
                <w:sz w:val="24"/>
              </w:rPr>
              <w:t>18</w:t>
            </w:r>
          </w:p>
        </w:tc>
        <w:tc>
          <w:tcPr>
            <w:tcW w:w="0" w:type="auto"/>
            <w:tcBorders>
              <w:top w:val="outset" w:sz="6" w:space="0" w:color="auto"/>
              <w:left w:val="outset" w:sz="6" w:space="0" w:color="auto"/>
              <w:bottom w:val="outset" w:sz="6" w:space="0" w:color="auto"/>
              <w:right w:val="outset" w:sz="6" w:space="0" w:color="auto"/>
            </w:tcBorders>
            <w:vAlign w:val="center"/>
          </w:tcPr>
          <w:p w:rsidR="001D7153" w:rsidRDefault="005C0703">
            <w:pPr>
              <w:jc w:val="center"/>
              <w:rPr>
                <w:rFonts w:ascii="宋体" w:eastAsia="宋体" w:hAnsi="宋体" w:cs="宋体"/>
                <w:sz w:val="24"/>
                <w:szCs w:val="24"/>
              </w:rPr>
            </w:pPr>
            <w:r>
              <w:rPr>
                <w:rFonts w:ascii="宋体" w:eastAsia="宋体" w:hAnsi="宋体" w:hint="eastAsia"/>
                <w:sz w:val="24"/>
              </w:rPr>
              <w:t>美国耶稣受难日</w:t>
            </w:r>
          </w:p>
        </w:tc>
      </w:tr>
      <w:tr w:rsidR="001D7153">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1D7153" w:rsidRDefault="005C0703">
            <w:pPr>
              <w:jc w:val="center"/>
              <w:rPr>
                <w:rFonts w:ascii="宋体" w:eastAsia="宋体" w:hAnsi="宋体" w:cs="宋体"/>
                <w:sz w:val="24"/>
                <w:szCs w:val="24"/>
              </w:rPr>
            </w:pPr>
            <w:r>
              <w:rPr>
                <w:rFonts w:ascii="宋体" w:eastAsia="宋体" w:hAnsi="宋体"/>
                <w:sz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1D7153" w:rsidRDefault="005C0703">
            <w:pPr>
              <w:jc w:val="center"/>
              <w:rPr>
                <w:rFonts w:ascii="宋体" w:eastAsia="宋体" w:hAnsi="宋体" w:cs="宋体"/>
                <w:sz w:val="24"/>
                <w:szCs w:val="24"/>
              </w:rPr>
            </w:pPr>
            <w:r>
              <w:rPr>
                <w:rFonts w:ascii="宋体" w:eastAsia="宋体" w:hAnsi="宋体"/>
                <w:sz w:val="24"/>
              </w:rPr>
              <w:t>26</w:t>
            </w:r>
          </w:p>
        </w:tc>
        <w:tc>
          <w:tcPr>
            <w:tcW w:w="0" w:type="auto"/>
            <w:tcBorders>
              <w:top w:val="outset" w:sz="6" w:space="0" w:color="auto"/>
              <w:left w:val="outset" w:sz="6" w:space="0" w:color="auto"/>
              <w:bottom w:val="outset" w:sz="6" w:space="0" w:color="auto"/>
              <w:right w:val="outset" w:sz="6" w:space="0" w:color="auto"/>
            </w:tcBorders>
            <w:vAlign w:val="center"/>
          </w:tcPr>
          <w:p w:rsidR="001D7153" w:rsidRDefault="005C0703">
            <w:pPr>
              <w:jc w:val="center"/>
              <w:rPr>
                <w:rFonts w:ascii="宋体" w:eastAsia="宋体" w:hAnsi="宋体" w:cs="宋体"/>
                <w:sz w:val="24"/>
                <w:szCs w:val="24"/>
              </w:rPr>
            </w:pPr>
            <w:r>
              <w:rPr>
                <w:rFonts w:ascii="宋体" w:eastAsia="宋体" w:hAnsi="宋体" w:hint="eastAsia"/>
                <w:sz w:val="24"/>
              </w:rPr>
              <w:t>美国阵亡将士纪念日</w:t>
            </w:r>
          </w:p>
        </w:tc>
      </w:tr>
      <w:tr w:rsidR="001D7153">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1D7153" w:rsidRDefault="005C0703">
            <w:pPr>
              <w:jc w:val="center"/>
              <w:rPr>
                <w:rFonts w:ascii="宋体" w:eastAsia="宋体" w:hAnsi="宋体" w:cs="宋体"/>
                <w:sz w:val="24"/>
                <w:szCs w:val="24"/>
              </w:rPr>
            </w:pPr>
            <w:r>
              <w:rPr>
                <w:rFonts w:ascii="宋体" w:eastAsia="宋体" w:hAnsi="宋体"/>
                <w:sz w:val="24"/>
              </w:rPr>
              <w:t>6</w:t>
            </w:r>
          </w:p>
        </w:tc>
        <w:tc>
          <w:tcPr>
            <w:tcW w:w="0" w:type="auto"/>
            <w:tcBorders>
              <w:top w:val="outset" w:sz="6" w:space="0" w:color="auto"/>
              <w:left w:val="outset" w:sz="6" w:space="0" w:color="auto"/>
              <w:bottom w:val="outset" w:sz="6" w:space="0" w:color="auto"/>
              <w:right w:val="outset" w:sz="6" w:space="0" w:color="auto"/>
            </w:tcBorders>
            <w:vAlign w:val="center"/>
          </w:tcPr>
          <w:p w:rsidR="001D7153" w:rsidRDefault="005C0703">
            <w:pPr>
              <w:jc w:val="center"/>
              <w:rPr>
                <w:rFonts w:ascii="宋体" w:eastAsia="宋体" w:hAnsi="宋体" w:cs="宋体"/>
                <w:sz w:val="24"/>
                <w:szCs w:val="24"/>
              </w:rPr>
            </w:pPr>
            <w:r>
              <w:rPr>
                <w:rFonts w:ascii="宋体" w:eastAsia="宋体" w:hAnsi="宋体"/>
                <w:sz w:val="24"/>
              </w:rPr>
              <w:t>19</w:t>
            </w:r>
          </w:p>
        </w:tc>
        <w:tc>
          <w:tcPr>
            <w:tcW w:w="0" w:type="auto"/>
            <w:tcBorders>
              <w:top w:val="outset" w:sz="6" w:space="0" w:color="auto"/>
              <w:left w:val="outset" w:sz="6" w:space="0" w:color="auto"/>
              <w:bottom w:val="outset" w:sz="6" w:space="0" w:color="auto"/>
              <w:right w:val="outset" w:sz="6" w:space="0" w:color="auto"/>
            </w:tcBorders>
            <w:vAlign w:val="center"/>
          </w:tcPr>
          <w:p w:rsidR="001D7153" w:rsidRDefault="005C0703">
            <w:pPr>
              <w:jc w:val="center"/>
              <w:rPr>
                <w:rFonts w:ascii="宋体" w:eastAsia="宋体" w:hAnsi="宋体" w:cs="宋体"/>
                <w:sz w:val="24"/>
                <w:szCs w:val="24"/>
              </w:rPr>
            </w:pPr>
            <w:r>
              <w:rPr>
                <w:rFonts w:ascii="宋体" w:eastAsia="宋体" w:hAnsi="宋体" w:hint="eastAsia"/>
                <w:sz w:val="24"/>
              </w:rPr>
              <w:t>美国六月节</w:t>
            </w:r>
          </w:p>
        </w:tc>
      </w:tr>
      <w:tr w:rsidR="001D7153">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1D7153" w:rsidRDefault="005C0703">
            <w:pPr>
              <w:jc w:val="center"/>
              <w:rPr>
                <w:rFonts w:ascii="宋体" w:eastAsia="宋体" w:hAnsi="宋体" w:cs="宋体"/>
                <w:sz w:val="24"/>
                <w:szCs w:val="24"/>
              </w:rPr>
            </w:pPr>
            <w:r>
              <w:rPr>
                <w:rFonts w:ascii="宋体" w:eastAsia="宋体" w:hAnsi="宋体"/>
                <w:sz w:val="24"/>
              </w:rPr>
              <w:t>7</w:t>
            </w:r>
          </w:p>
        </w:tc>
        <w:tc>
          <w:tcPr>
            <w:tcW w:w="0" w:type="auto"/>
            <w:tcBorders>
              <w:top w:val="outset" w:sz="6" w:space="0" w:color="auto"/>
              <w:left w:val="outset" w:sz="6" w:space="0" w:color="auto"/>
              <w:bottom w:val="outset" w:sz="6" w:space="0" w:color="auto"/>
              <w:right w:val="outset" w:sz="6" w:space="0" w:color="auto"/>
            </w:tcBorders>
            <w:vAlign w:val="center"/>
          </w:tcPr>
          <w:p w:rsidR="001D7153" w:rsidRDefault="005C0703">
            <w:pPr>
              <w:jc w:val="center"/>
              <w:rPr>
                <w:rFonts w:ascii="宋体" w:eastAsia="宋体" w:hAnsi="宋体" w:cs="宋体"/>
                <w:sz w:val="24"/>
                <w:szCs w:val="24"/>
              </w:rPr>
            </w:pPr>
            <w:r>
              <w:rPr>
                <w:rFonts w:ascii="宋体" w:eastAsia="宋体" w:hAnsi="宋体"/>
                <w:sz w:val="24"/>
              </w:rPr>
              <w:t>4</w:t>
            </w:r>
          </w:p>
        </w:tc>
        <w:tc>
          <w:tcPr>
            <w:tcW w:w="0" w:type="auto"/>
            <w:tcBorders>
              <w:top w:val="outset" w:sz="6" w:space="0" w:color="auto"/>
              <w:left w:val="outset" w:sz="6" w:space="0" w:color="auto"/>
              <w:bottom w:val="outset" w:sz="6" w:space="0" w:color="auto"/>
              <w:right w:val="outset" w:sz="6" w:space="0" w:color="auto"/>
            </w:tcBorders>
            <w:vAlign w:val="center"/>
          </w:tcPr>
          <w:p w:rsidR="001D7153" w:rsidRDefault="005C0703">
            <w:pPr>
              <w:jc w:val="center"/>
              <w:rPr>
                <w:rFonts w:ascii="宋体" w:eastAsia="宋体" w:hAnsi="宋体" w:cs="宋体"/>
                <w:sz w:val="24"/>
                <w:szCs w:val="24"/>
              </w:rPr>
            </w:pPr>
            <w:r>
              <w:rPr>
                <w:rFonts w:ascii="宋体" w:eastAsia="宋体" w:hAnsi="宋体" w:hint="eastAsia"/>
                <w:sz w:val="24"/>
              </w:rPr>
              <w:t>美国独立日</w:t>
            </w:r>
          </w:p>
        </w:tc>
      </w:tr>
      <w:tr w:rsidR="001D7153">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1D7153" w:rsidRDefault="005C0703">
            <w:pPr>
              <w:jc w:val="center"/>
              <w:rPr>
                <w:rFonts w:ascii="宋体" w:eastAsia="宋体" w:hAnsi="宋体" w:cs="宋体"/>
                <w:sz w:val="24"/>
                <w:szCs w:val="24"/>
              </w:rPr>
            </w:pPr>
            <w:r>
              <w:rPr>
                <w:rFonts w:ascii="宋体" w:eastAsia="宋体" w:hAnsi="宋体"/>
                <w:sz w:val="24"/>
              </w:rPr>
              <w:t>9</w:t>
            </w:r>
          </w:p>
        </w:tc>
        <w:tc>
          <w:tcPr>
            <w:tcW w:w="0" w:type="auto"/>
            <w:tcBorders>
              <w:top w:val="outset" w:sz="6" w:space="0" w:color="auto"/>
              <w:left w:val="outset" w:sz="6" w:space="0" w:color="auto"/>
              <w:bottom w:val="outset" w:sz="6" w:space="0" w:color="auto"/>
              <w:right w:val="outset" w:sz="6" w:space="0" w:color="auto"/>
            </w:tcBorders>
            <w:vAlign w:val="center"/>
          </w:tcPr>
          <w:p w:rsidR="001D7153" w:rsidRDefault="005C0703">
            <w:pPr>
              <w:jc w:val="center"/>
              <w:rPr>
                <w:rFonts w:ascii="宋体" w:eastAsia="宋体" w:hAnsi="宋体" w:cs="宋体"/>
                <w:sz w:val="24"/>
                <w:szCs w:val="24"/>
              </w:rPr>
            </w:pPr>
            <w:r>
              <w:rPr>
                <w:rFonts w:ascii="宋体" w:eastAsia="宋体" w:hAnsi="宋体"/>
                <w:sz w:val="24"/>
              </w:rPr>
              <w:t>1</w:t>
            </w:r>
          </w:p>
        </w:tc>
        <w:tc>
          <w:tcPr>
            <w:tcW w:w="0" w:type="auto"/>
            <w:tcBorders>
              <w:top w:val="outset" w:sz="6" w:space="0" w:color="auto"/>
              <w:left w:val="outset" w:sz="6" w:space="0" w:color="auto"/>
              <w:bottom w:val="outset" w:sz="6" w:space="0" w:color="auto"/>
              <w:right w:val="outset" w:sz="6" w:space="0" w:color="auto"/>
            </w:tcBorders>
            <w:vAlign w:val="center"/>
          </w:tcPr>
          <w:p w:rsidR="001D7153" w:rsidRDefault="005C0703">
            <w:pPr>
              <w:jc w:val="center"/>
              <w:rPr>
                <w:rFonts w:ascii="宋体" w:eastAsia="宋体" w:hAnsi="宋体" w:cs="宋体"/>
                <w:sz w:val="24"/>
                <w:szCs w:val="24"/>
              </w:rPr>
            </w:pPr>
            <w:r>
              <w:rPr>
                <w:rFonts w:ascii="宋体" w:eastAsia="宋体" w:hAnsi="宋体" w:hint="eastAsia"/>
                <w:sz w:val="24"/>
              </w:rPr>
              <w:t>美国劳工节</w:t>
            </w:r>
          </w:p>
        </w:tc>
      </w:tr>
      <w:tr w:rsidR="001D7153">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1D7153" w:rsidRDefault="005C0703">
            <w:pPr>
              <w:jc w:val="center"/>
              <w:rPr>
                <w:rFonts w:ascii="宋体" w:eastAsia="宋体" w:hAnsi="宋体" w:cs="宋体"/>
                <w:sz w:val="24"/>
                <w:szCs w:val="24"/>
              </w:rPr>
            </w:pPr>
            <w:r>
              <w:rPr>
                <w:rFonts w:ascii="宋体" w:eastAsia="宋体" w:hAnsi="宋体"/>
                <w:sz w:val="24"/>
              </w:rPr>
              <w:t>11</w:t>
            </w:r>
          </w:p>
        </w:tc>
        <w:tc>
          <w:tcPr>
            <w:tcW w:w="0" w:type="auto"/>
            <w:tcBorders>
              <w:top w:val="outset" w:sz="6" w:space="0" w:color="auto"/>
              <w:left w:val="outset" w:sz="6" w:space="0" w:color="auto"/>
              <w:bottom w:val="outset" w:sz="6" w:space="0" w:color="auto"/>
              <w:right w:val="outset" w:sz="6" w:space="0" w:color="auto"/>
            </w:tcBorders>
            <w:vAlign w:val="center"/>
          </w:tcPr>
          <w:p w:rsidR="001D7153" w:rsidRDefault="005C0703">
            <w:pPr>
              <w:jc w:val="center"/>
              <w:rPr>
                <w:rFonts w:ascii="宋体" w:eastAsia="宋体" w:hAnsi="宋体" w:cs="宋体"/>
                <w:sz w:val="24"/>
                <w:szCs w:val="24"/>
              </w:rPr>
            </w:pPr>
            <w:r>
              <w:rPr>
                <w:rFonts w:ascii="宋体" w:eastAsia="宋体" w:hAnsi="宋体"/>
                <w:sz w:val="24"/>
              </w:rPr>
              <w:t>27</w:t>
            </w:r>
          </w:p>
        </w:tc>
        <w:tc>
          <w:tcPr>
            <w:tcW w:w="0" w:type="auto"/>
            <w:tcBorders>
              <w:top w:val="outset" w:sz="6" w:space="0" w:color="auto"/>
              <w:left w:val="outset" w:sz="6" w:space="0" w:color="auto"/>
              <w:bottom w:val="outset" w:sz="6" w:space="0" w:color="auto"/>
              <w:right w:val="outset" w:sz="6" w:space="0" w:color="auto"/>
            </w:tcBorders>
            <w:vAlign w:val="center"/>
          </w:tcPr>
          <w:p w:rsidR="001D7153" w:rsidRDefault="005C0703">
            <w:pPr>
              <w:jc w:val="center"/>
              <w:rPr>
                <w:rFonts w:ascii="宋体" w:eastAsia="宋体" w:hAnsi="宋体" w:cs="宋体"/>
                <w:sz w:val="24"/>
                <w:szCs w:val="24"/>
              </w:rPr>
            </w:pPr>
            <w:r>
              <w:rPr>
                <w:rFonts w:ascii="宋体" w:eastAsia="宋体" w:hAnsi="宋体" w:hint="eastAsia"/>
                <w:sz w:val="24"/>
              </w:rPr>
              <w:t>美国感恩节</w:t>
            </w:r>
          </w:p>
        </w:tc>
      </w:tr>
      <w:tr w:rsidR="001D7153">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1D7153" w:rsidRDefault="005C0703">
            <w:pPr>
              <w:jc w:val="center"/>
              <w:rPr>
                <w:rFonts w:ascii="宋体" w:eastAsia="宋体" w:hAnsi="宋体" w:cs="宋体"/>
                <w:sz w:val="24"/>
                <w:szCs w:val="24"/>
              </w:rPr>
            </w:pPr>
            <w:r>
              <w:rPr>
                <w:rFonts w:ascii="宋体" w:eastAsia="宋体" w:hAnsi="宋体"/>
                <w:sz w:val="24"/>
              </w:rPr>
              <w:t>12</w:t>
            </w:r>
          </w:p>
        </w:tc>
        <w:tc>
          <w:tcPr>
            <w:tcW w:w="0" w:type="auto"/>
            <w:tcBorders>
              <w:top w:val="outset" w:sz="6" w:space="0" w:color="auto"/>
              <w:left w:val="outset" w:sz="6" w:space="0" w:color="auto"/>
              <w:bottom w:val="outset" w:sz="6" w:space="0" w:color="auto"/>
              <w:right w:val="outset" w:sz="6" w:space="0" w:color="auto"/>
            </w:tcBorders>
            <w:vAlign w:val="center"/>
          </w:tcPr>
          <w:p w:rsidR="001D7153" w:rsidRDefault="005C0703">
            <w:pPr>
              <w:jc w:val="center"/>
              <w:rPr>
                <w:rFonts w:ascii="宋体" w:eastAsia="宋体" w:hAnsi="宋体" w:cs="宋体"/>
                <w:sz w:val="24"/>
                <w:szCs w:val="24"/>
              </w:rPr>
            </w:pPr>
            <w:r>
              <w:rPr>
                <w:rFonts w:ascii="宋体" w:eastAsia="宋体" w:hAnsi="宋体"/>
                <w:sz w:val="24"/>
              </w:rPr>
              <w:t>25</w:t>
            </w:r>
          </w:p>
        </w:tc>
        <w:tc>
          <w:tcPr>
            <w:tcW w:w="0" w:type="auto"/>
            <w:tcBorders>
              <w:top w:val="outset" w:sz="6" w:space="0" w:color="auto"/>
              <w:left w:val="outset" w:sz="6" w:space="0" w:color="auto"/>
              <w:bottom w:val="outset" w:sz="6" w:space="0" w:color="auto"/>
              <w:right w:val="outset" w:sz="6" w:space="0" w:color="auto"/>
            </w:tcBorders>
            <w:vAlign w:val="center"/>
          </w:tcPr>
          <w:p w:rsidR="001D7153" w:rsidRDefault="005C0703">
            <w:pPr>
              <w:jc w:val="center"/>
              <w:rPr>
                <w:rFonts w:ascii="宋体" w:eastAsia="宋体" w:hAnsi="宋体" w:cs="宋体"/>
                <w:sz w:val="24"/>
                <w:szCs w:val="24"/>
              </w:rPr>
            </w:pPr>
            <w:r>
              <w:rPr>
                <w:rFonts w:ascii="宋体" w:eastAsia="宋体" w:hAnsi="宋体" w:hint="eastAsia"/>
                <w:sz w:val="24"/>
              </w:rPr>
              <w:t>美国圣诞节</w:t>
            </w:r>
          </w:p>
        </w:tc>
      </w:tr>
    </w:tbl>
    <w:p w:rsidR="001D7153" w:rsidRDefault="001D7153"/>
    <w:p w:rsidR="001D7153" w:rsidRDefault="005C0703">
      <w:pPr>
        <w:pStyle w:val="3"/>
        <w:keepNext w:val="0"/>
        <w:keepLines w:val="0"/>
        <w:spacing w:before="0" w:after="0" w:line="360" w:lineRule="auto"/>
        <w:ind w:firstLineChars="200" w:firstLine="482"/>
      </w:pPr>
      <w:r>
        <w:rPr>
          <w:rFonts w:ascii="宋体" w:hAnsi="宋体" w:hint="eastAsia"/>
          <w:sz w:val="24"/>
        </w:rPr>
        <w:lastRenderedPageBreak/>
        <w:t>如本基金因其他原因暂停申购、赎回或有其他交易状态限制的，具体业务办理以相关公告为准。</w:t>
      </w:r>
      <w:r>
        <w:rPr>
          <w:rFonts w:ascii="宋体" w:hAnsi="宋体" w:hint="eastAsia"/>
          <w:b w:val="0"/>
          <w:sz w:val="24"/>
        </w:rPr>
        <w:t>若为境外主要市场节假日安排发生变化，本基金管理人将进行相应调整并公告。若境外主要市场状况发生变化，或将来根据法律法规和基金合同的约定需要调整上述安排的，本基金管理人将另行调整并公告。</w:t>
      </w:r>
    </w:p>
    <w:p w:rsidR="001D7153" w:rsidRDefault="005C0703">
      <w:pPr>
        <w:pStyle w:val="3"/>
        <w:keepNext w:val="0"/>
        <w:keepLines w:val="0"/>
        <w:spacing w:before="0" w:after="0" w:line="360" w:lineRule="auto"/>
        <w:ind w:firstLineChars="200" w:firstLine="480"/>
        <w:rPr>
          <w:rFonts w:ascii="宋体" w:hAnsi="宋体"/>
          <w:b w:val="0"/>
          <w:sz w:val="24"/>
        </w:rPr>
      </w:pPr>
      <w:r>
        <w:rPr>
          <w:rFonts w:ascii="宋体" w:hAnsi="宋体" w:hint="eastAsia"/>
          <w:b w:val="0"/>
          <w:sz w:val="24"/>
        </w:rPr>
        <w:t>敬请投资者及早做好交易安排，避免因假期原因带来不便。如有疑问，请拨打博时一线通：</w:t>
      </w:r>
      <w:r>
        <w:rPr>
          <w:rFonts w:ascii="宋体" w:hAnsi="宋体"/>
          <w:b w:val="0"/>
          <w:sz w:val="24"/>
        </w:rPr>
        <w:t>95105568</w:t>
      </w:r>
      <w:r>
        <w:rPr>
          <w:rFonts w:ascii="宋体" w:hAnsi="宋体"/>
          <w:b w:val="0"/>
          <w:sz w:val="24"/>
        </w:rPr>
        <w:t>（免长途话费），或登录本公司网站</w:t>
      </w:r>
      <w:r>
        <w:rPr>
          <w:rFonts w:ascii="宋体" w:hAnsi="宋体"/>
          <w:b w:val="0"/>
          <w:sz w:val="24"/>
        </w:rPr>
        <w:t>www.bosera.com</w:t>
      </w:r>
      <w:r>
        <w:rPr>
          <w:rFonts w:ascii="宋体" w:hAnsi="宋体"/>
          <w:b w:val="0"/>
          <w:sz w:val="24"/>
        </w:rPr>
        <w:t>获取相关信息。</w:t>
      </w:r>
    </w:p>
    <w:p w:rsidR="001D7153" w:rsidRDefault="001D7153"/>
    <w:p w:rsidR="001D7153" w:rsidRDefault="005C0703">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博时</w:t>
      </w:r>
      <w:r>
        <w:rPr>
          <w:rFonts w:ascii="宋体" w:eastAsia="宋体" w:hAnsi="宋体" w:cs="宋体"/>
          <w:kern w:val="0"/>
          <w:sz w:val="24"/>
          <w:szCs w:val="24"/>
        </w:rPr>
        <w:t>基金管理有限公司</w:t>
      </w:r>
    </w:p>
    <w:p w:rsidR="001D7153" w:rsidRDefault="005C0703">
      <w:pPr>
        <w:widowControl/>
        <w:spacing w:line="360" w:lineRule="auto"/>
        <w:jc w:val="right"/>
        <w:rPr>
          <w:rFonts w:ascii="宋体" w:eastAsia="宋体" w:hAnsi="宋体"/>
        </w:rPr>
      </w:pPr>
      <w:r>
        <w:rPr>
          <w:rFonts w:ascii="宋体" w:eastAsia="宋体" w:hAnsi="宋体" w:cs="宋体"/>
          <w:kern w:val="0"/>
          <w:sz w:val="24"/>
          <w:szCs w:val="24"/>
        </w:rPr>
        <w:t>2025</w:t>
      </w:r>
      <w:r>
        <w:rPr>
          <w:rFonts w:ascii="宋体" w:eastAsia="宋体" w:hAnsi="宋体" w:cs="宋体"/>
          <w:kern w:val="0"/>
          <w:sz w:val="24"/>
          <w:szCs w:val="24"/>
        </w:rPr>
        <w:t>年</w:t>
      </w:r>
      <w:r>
        <w:rPr>
          <w:rFonts w:ascii="宋体" w:eastAsia="宋体" w:hAnsi="宋体" w:cs="宋体" w:hint="eastAsia"/>
          <w:kern w:val="0"/>
          <w:sz w:val="24"/>
          <w:szCs w:val="24"/>
        </w:rPr>
        <w:t>5</w:t>
      </w:r>
      <w:r>
        <w:rPr>
          <w:rFonts w:ascii="宋体" w:eastAsia="宋体" w:hAnsi="宋体" w:cs="宋体"/>
          <w:kern w:val="0"/>
          <w:sz w:val="24"/>
          <w:szCs w:val="24"/>
        </w:rPr>
        <w:t>月</w:t>
      </w:r>
      <w:r>
        <w:rPr>
          <w:rFonts w:ascii="宋体" w:eastAsia="宋体" w:hAnsi="宋体" w:cs="宋体" w:hint="eastAsia"/>
          <w:kern w:val="0"/>
          <w:sz w:val="24"/>
          <w:szCs w:val="24"/>
        </w:rPr>
        <w:t>13</w:t>
      </w:r>
      <w:r>
        <w:rPr>
          <w:rFonts w:ascii="宋体" w:eastAsia="宋体" w:hAnsi="宋体" w:cs="宋体"/>
          <w:kern w:val="0"/>
          <w:sz w:val="24"/>
          <w:szCs w:val="24"/>
        </w:rPr>
        <w:t>日</w:t>
      </w:r>
    </w:p>
    <w:p w:rsidR="001D7153" w:rsidRDefault="001D7153"/>
    <w:sectPr w:rsidR="001D7153" w:rsidSect="001D715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BF249A"/>
    <w:rsid w:val="00025BF1"/>
    <w:rsid w:val="00075F97"/>
    <w:rsid w:val="000F28E9"/>
    <w:rsid w:val="00131429"/>
    <w:rsid w:val="001B2A5F"/>
    <w:rsid w:val="001D7153"/>
    <w:rsid w:val="0022343C"/>
    <w:rsid w:val="00300923"/>
    <w:rsid w:val="00470EB6"/>
    <w:rsid w:val="004C23C9"/>
    <w:rsid w:val="005119A7"/>
    <w:rsid w:val="005C0703"/>
    <w:rsid w:val="005F5B52"/>
    <w:rsid w:val="00743E6B"/>
    <w:rsid w:val="00A43648"/>
    <w:rsid w:val="00AD5604"/>
    <w:rsid w:val="00B260E1"/>
    <w:rsid w:val="00B26815"/>
    <w:rsid w:val="00BF249A"/>
    <w:rsid w:val="00C054BE"/>
    <w:rsid w:val="00D77A13"/>
    <w:rsid w:val="00D95C83"/>
    <w:rsid w:val="00DB51A6"/>
    <w:rsid w:val="00DC7639"/>
    <w:rsid w:val="00E550A7"/>
    <w:rsid w:val="00E931A5"/>
    <w:rsid w:val="00EF5BC7"/>
    <w:rsid w:val="00F02E14"/>
    <w:rsid w:val="00F03766"/>
    <w:rsid w:val="00F75733"/>
    <w:rsid w:val="00FA7C4E"/>
    <w:rsid w:val="00FB262C"/>
    <w:rsid w:val="00FD7FE3"/>
    <w:rsid w:val="01C55EDB"/>
    <w:rsid w:val="02D20E9F"/>
    <w:rsid w:val="0BA01E69"/>
    <w:rsid w:val="0F5B5883"/>
    <w:rsid w:val="0FAA5129"/>
    <w:rsid w:val="173071DA"/>
    <w:rsid w:val="186355D8"/>
    <w:rsid w:val="2B1D0CD5"/>
    <w:rsid w:val="36BA5570"/>
    <w:rsid w:val="3CD12A6C"/>
    <w:rsid w:val="3E172ACA"/>
    <w:rsid w:val="43B817B8"/>
    <w:rsid w:val="4BA86F18"/>
    <w:rsid w:val="6B8100D0"/>
    <w:rsid w:val="718F5724"/>
    <w:rsid w:val="76ED0548"/>
    <w:rsid w:val="7FC250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153"/>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qFormat/>
    <w:rsid w:val="001D7153"/>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1D7153"/>
    <w:pPr>
      <w:jc w:val="left"/>
    </w:pPr>
  </w:style>
  <w:style w:type="paragraph" w:styleId="a4">
    <w:name w:val="Balloon Text"/>
    <w:basedOn w:val="a"/>
    <w:link w:val="Char"/>
    <w:uiPriority w:val="99"/>
    <w:semiHidden/>
    <w:unhideWhenUsed/>
    <w:qFormat/>
    <w:rsid w:val="001D7153"/>
    <w:rPr>
      <w:sz w:val="18"/>
      <w:szCs w:val="18"/>
    </w:rPr>
  </w:style>
  <w:style w:type="paragraph" w:styleId="a5">
    <w:name w:val="footer"/>
    <w:basedOn w:val="a"/>
    <w:link w:val="Char0"/>
    <w:uiPriority w:val="99"/>
    <w:unhideWhenUsed/>
    <w:qFormat/>
    <w:rsid w:val="001D7153"/>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1D7153"/>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sid w:val="001D71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qFormat/>
    <w:rsid w:val="001D7153"/>
    <w:rPr>
      <w:sz w:val="21"/>
      <w:szCs w:val="21"/>
    </w:rPr>
  </w:style>
  <w:style w:type="character" w:customStyle="1" w:styleId="Char1">
    <w:name w:val="页眉 Char"/>
    <w:basedOn w:val="a0"/>
    <w:link w:val="a6"/>
    <w:uiPriority w:val="99"/>
    <w:qFormat/>
    <w:rsid w:val="001D7153"/>
    <w:rPr>
      <w:sz w:val="18"/>
      <w:szCs w:val="18"/>
    </w:rPr>
  </w:style>
  <w:style w:type="character" w:customStyle="1" w:styleId="Char0">
    <w:name w:val="页脚 Char"/>
    <w:basedOn w:val="a0"/>
    <w:link w:val="a5"/>
    <w:uiPriority w:val="99"/>
    <w:qFormat/>
    <w:rsid w:val="001D7153"/>
    <w:rPr>
      <w:sz w:val="18"/>
      <w:szCs w:val="18"/>
    </w:rPr>
  </w:style>
  <w:style w:type="paragraph" w:styleId="a9">
    <w:name w:val="List Paragraph"/>
    <w:basedOn w:val="a"/>
    <w:uiPriority w:val="34"/>
    <w:qFormat/>
    <w:rsid w:val="001D7153"/>
    <w:pPr>
      <w:ind w:firstLineChars="200" w:firstLine="420"/>
    </w:pPr>
  </w:style>
  <w:style w:type="character" w:customStyle="1" w:styleId="3Char">
    <w:name w:val="标题 3 Char"/>
    <w:basedOn w:val="a0"/>
    <w:link w:val="3"/>
    <w:qFormat/>
    <w:rsid w:val="001D7153"/>
    <w:rPr>
      <w:rFonts w:ascii="Times New Roman" w:eastAsia="宋体" w:hAnsi="Times New Roman" w:cs="Times New Roman"/>
      <w:b/>
      <w:bCs/>
      <w:sz w:val="32"/>
      <w:szCs w:val="32"/>
    </w:rPr>
  </w:style>
  <w:style w:type="character" w:customStyle="1" w:styleId="Char">
    <w:name w:val="批注框文本 Char"/>
    <w:basedOn w:val="a0"/>
    <w:link w:val="a4"/>
    <w:uiPriority w:val="99"/>
    <w:semiHidden/>
    <w:qFormat/>
    <w:rsid w:val="001D715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Application>Microsoft Office Word</Application>
  <DocSecurity>4</DocSecurity>
  <Lines>6</Lines>
  <Paragraphs>1</Paragraphs>
  <ScaleCrop>false</ScaleCrop>
  <Company>mycompany</Company>
  <LinksUpToDate>false</LinksUpToDate>
  <CharactersWithSpaces>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孙慧敏</dc:creator>
  <cp:lastModifiedBy>ZHONGM</cp:lastModifiedBy>
  <cp:revision>2</cp:revision>
  <dcterms:created xsi:type="dcterms:W3CDTF">2025-05-12T16:03:00Z</dcterms:created>
  <dcterms:modified xsi:type="dcterms:W3CDTF">2025-05-12T16:03:00Z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51A29D8D3CA1420FA84F6715A3280E87_13</vt:lpwstr>
  </property>
</Properties>
</file>