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D8" w:rsidRPr="007962E5" w:rsidRDefault="00A71F3D" w:rsidP="007962E5">
      <w:pPr>
        <w:autoSpaceDE w:val="0"/>
        <w:autoSpaceDN w:val="0"/>
        <w:adjustRightInd w:val="0"/>
        <w:spacing w:line="600" w:lineRule="exact"/>
        <w:jc w:val="center"/>
        <w:rPr>
          <w:rFonts w:ascii="方正小标宋简体" w:eastAsia="方正小标宋简体" w:hAnsi="仿宋" w:cs="黑体"/>
          <w:bCs/>
          <w:kern w:val="0"/>
          <w:sz w:val="32"/>
          <w:szCs w:val="32"/>
        </w:rPr>
      </w:pPr>
      <w:r w:rsidRPr="007962E5">
        <w:rPr>
          <w:rFonts w:ascii="方正小标宋简体" w:eastAsia="方正小标宋简体" w:hAnsi="仿宋" w:cs="黑体" w:hint="eastAsia"/>
          <w:bCs/>
          <w:kern w:val="0"/>
          <w:sz w:val="32"/>
          <w:szCs w:val="32"/>
        </w:rPr>
        <w:t>东兴基金</w:t>
      </w:r>
      <w:r w:rsidR="00776A15" w:rsidRPr="007962E5">
        <w:rPr>
          <w:rFonts w:ascii="方正小标宋简体" w:eastAsia="方正小标宋简体" w:hAnsi="仿宋" w:cs="黑体" w:hint="eastAsia"/>
          <w:bCs/>
          <w:kern w:val="0"/>
          <w:sz w:val="32"/>
          <w:szCs w:val="32"/>
        </w:rPr>
        <w:t>管理有限公司关于旗下公募基金</w:t>
      </w:r>
    </w:p>
    <w:p w:rsidR="00A71F3D" w:rsidRPr="007962E5" w:rsidRDefault="006A3330" w:rsidP="007962E5">
      <w:pPr>
        <w:autoSpaceDE w:val="0"/>
        <w:autoSpaceDN w:val="0"/>
        <w:adjustRightInd w:val="0"/>
        <w:spacing w:line="600" w:lineRule="exact"/>
        <w:jc w:val="center"/>
        <w:rPr>
          <w:rFonts w:ascii="方正小标宋简体" w:eastAsia="方正小标宋简体" w:hAnsi="仿宋" w:cs="黑体"/>
          <w:bCs/>
          <w:kern w:val="0"/>
          <w:sz w:val="32"/>
          <w:szCs w:val="32"/>
        </w:rPr>
      </w:pPr>
      <w:r>
        <w:rPr>
          <w:rFonts w:ascii="方正小标宋简体" w:eastAsia="方正小标宋简体" w:hAnsi="仿宋" w:cs="黑体" w:hint="eastAsia"/>
          <w:bCs/>
          <w:kern w:val="0"/>
          <w:sz w:val="32"/>
          <w:szCs w:val="32"/>
        </w:rPr>
        <w:t>产品</w:t>
      </w:r>
      <w:r w:rsidR="00776A15" w:rsidRPr="007962E5">
        <w:rPr>
          <w:rFonts w:ascii="方正小标宋简体" w:eastAsia="方正小标宋简体" w:hAnsi="仿宋" w:cs="黑体" w:hint="eastAsia"/>
          <w:bCs/>
          <w:kern w:val="0"/>
          <w:sz w:val="32"/>
          <w:szCs w:val="32"/>
        </w:rPr>
        <w:t>风险等级</w:t>
      </w:r>
      <w:r w:rsidR="00160575">
        <w:rPr>
          <w:rFonts w:ascii="方正小标宋简体" w:eastAsia="方正小标宋简体" w:hAnsi="仿宋" w:cs="黑体" w:hint="eastAsia"/>
          <w:bCs/>
          <w:kern w:val="0"/>
          <w:sz w:val="32"/>
          <w:szCs w:val="32"/>
        </w:rPr>
        <w:t>更新</w:t>
      </w:r>
      <w:r w:rsidR="00776A15" w:rsidRPr="007962E5">
        <w:rPr>
          <w:rFonts w:ascii="方正小标宋简体" w:eastAsia="方正小标宋简体" w:hAnsi="仿宋" w:cs="黑体" w:hint="eastAsia"/>
          <w:bCs/>
          <w:kern w:val="0"/>
          <w:sz w:val="32"/>
          <w:szCs w:val="32"/>
        </w:rPr>
        <w:t>的</w:t>
      </w:r>
      <w:r w:rsidR="000C2C59">
        <w:rPr>
          <w:rFonts w:ascii="方正小标宋简体" w:eastAsia="方正小标宋简体" w:hAnsi="仿宋" w:cs="黑体" w:hint="eastAsia"/>
          <w:bCs/>
          <w:kern w:val="0"/>
          <w:sz w:val="32"/>
          <w:szCs w:val="32"/>
        </w:rPr>
        <w:t>公告</w:t>
      </w:r>
    </w:p>
    <w:p w:rsidR="005569C2" w:rsidRPr="005C14F4" w:rsidRDefault="005569C2" w:rsidP="007962E5">
      <w:pPr>
        <w:autoSpaceDE w:val="0"/>
        <w:autoSpaceDN w:val="0"/>
        <w:adjustRightInd w:val="0"/>
        <w:spacing w:line="600" w:lineRule="exact"/>
        <w:jc w:val="center"/>
        <w:rPr>
          <w:rFonts w:ascii="仿宋" w:eastAsia="仿宋" w:hAnsi="仿宋" w:cs="黑体"/>
          <w:b/>
          <w:kern w:val="0"/>
          <w:sz w:val="32"/>
          <w:szCs w:val="32"/>
        </w:rPr>
      </w:pPr>
    </w:p>
    <w:p w:rsidR="00A71F3D" w:rsidRPr="005C14F4" w:rsidRDefault="00A71F3D"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根据《证券期货投资者适当性管理办法》（证监会令</w:t>
      </w:r>
      <w:r w:rsidRPr="005C14F4">
        <w:rPr>
          <w:rFonts w:ascii="仿宋" w:eastAsia="仿宋" w:hAnsi="仿宋" w:cs="仿宋"/>
          <w:kern w:val="0"/>
          <w:sz w:val="28"/>
          <w:szCs w:val="28"/>
        </w:rPr>
        <w:t>[</w:t>
      </w:r>
      <w:r w:rsidRPr="005C14F4">
        <w:rPr>
          <w:rFonts w:ascii="仿宋" w:eastAsia="仿宋" w:hAnsi="仿宋" w:cs="仿宋" w:hint="eastAsia"/>
          <w:kern w:val="0"/>
          <w:sz w:val="28"/>
          <w:szCs w:val="28"/>
        </w:rPr>
        <w:t>第</w:t>
      </w:r>
      <w:r w:rsidRPr="005C14F4">
        <w:rPr>
          <w:rFonts w:ascii="仿宋" w:eastAsia="仿宋" w:hAnsi="仿宋" w:cs="仿宋"/>
          <w:kern w:val="0"/>
          <w:sz w:val="28"/>
          <w:szCs w:val="28"/>
        </w:rPr>
        <w:t>130</w:t>
      </w:r>
      <w:r w:rsidRPr="005C14F4">
        <w:rPr>
          <w:rFonts w:ascii="仿宋" w:eastAsia="仿宋" w:hAnsi="仿宋" w:cs="仿宋" w:hint="eastAsia"/>
          <w:kern w:val="0"/>
          <w:sz w:val="28"/>
          <w:szCs w:val="28"/>
        </w:rPr>
        <w:t>号</w:t>
      </w:r>
      <w:r w:rsidRPr="005C14F4">
        <w:rPr>
          <w:rFonts w:ascii="仿宋" w:eastAsia="仿宋" w:hAnsi="仿宋" w:cs="仿宋"/>
          <w:kern w:val="0"/>
          <w:sz w:val="28"/>
          <w:szCs w:val="28"/>
        </w:rPr>
        <w:t>]</w:t>
      </w:r>
      <w:r w:rsidRPr="005C14F4">
        <w:rPr>
          <w:rFonts w:ascii="仿宋" w:eastAsia="仿宋" w:hAnsi="仿宋" w:cs="仿宋" w:hint="eastAsia"/>
          <w:kern w:val="0"/>
          <w:sz w:val="28"/>
          <w:szCs w:val="28"/>
        </w:rPr>
        <w:t>）、《证券经营机构投资者适当性管理实施指引</w:t>
      </w:r>
      <w:r w:rsidR="008641D8" w:rsidRPr="005C14F4">
        <w:rPr>
          <w:rFonts w:ascii="仿宋" w:eastAsia="仿宋" w:hAnsi="仿宋" w:cs="仿宋" w:hint="eastAsia"/>
          <w:kern w:val="0"/>
          <w:sz w:val="28"/>
          <w:szCs w:val="28"/>
        </w:rPr>
        <w:t>（试行）</w:t>
      </w:r>
      <w:r w:rsidRPr="005C14F4">
        <w:rPr>
          <w:rFonts w:ascii="仿宋" w:eastAsia="仿宋" w:hAnsi="仿宋" w:cs="仿宋" w:hint="eastAsia"/>
          <w:kern w:val="0"/>
          <w:sz w:val="28"/>
          <w:szCs w:val="28"/>
        </w:rPr>
        <w:t>》（中证协发</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2017</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153</w:t>
      </w:r>
      <w:r w:rsidRPr="005C14F4">
        <w:rPr>
          <w:rFonts w:ascii="仿宋" w:eastAsia="仿宋" w:hAnsi="仿宋" w:cs="仿宋" w:hint="eastAsia"/>
          <w:kern w:val="0"/>
          <w:sz w:val="28"/>
          <w:szCs w:val="28"/>
        </w:rPr>
        <w:t>号）、《基金募集机构投资者适当性管理实施指引（试行）》（中基协发</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2017</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4</w:t>
      </w:r>
      <w:r w:rsidRPr="005C14F4">
        <w:rPr>
          <w:rFonts w:ascii="仿宋" w:eastAsia="仿宋" w:hAnsi="仿宋" w:cs="仿宋" w:hint="eastAsia"/>
          <w:kern w:val="0"/>
          <w:sz w:val="28"/>
          <w:szCs w:val="28"/>
        </w:rPr>
        <w:t>号）等监管规定及《东兴基金管理有限公司销售适</w:t>
      </w:r>
      <w:r w:rsidR="00543FC1">
        <w:rPr>
          <w:rFonts w:ascii="仿宋" w:eastAsia="仿宋" w:hAnsi="仿宋" w:cs="仿宋" w:hint="eastAsia"/>
          <w:kern w:val="0"/>
          <w:sz w:val="28"/>
          <w:szCs w:val="28"/>
        </w:rPr>
        <w:t>用</w:t>
      </w:r>
      <w:r w:rsidRPr="005C14F4">
        <w:rPr>
          <w:rFonts w:ascii="仿宋" w:eastAsia="仿宋" w:hAnsi="仿宋" w:cs="仿宋" w:hint="eastAsia"/>
          <w:kern w:val="0"/>
          <w:sz w:val="28"/>
          <w:szCs w:val="28"/>
        </w:rPr>
        <w:t>性管理办法》、《东兴基金管理有限公司基金产品或者服务风险等级评估指引》，</w:t>
      </w:r>
      <w:r w:rsidR="00451BB6" w:rsidRPr="005C14F4">
        <w:rPr>
          <w:rFonts w:ascii="仿宋" w:eastAsia="仿宋" w:hAnsi="仿宋" w:cs="仿宋" w:hint="eastAsia"/>
          <w:kern w:val="0"/>
          <w:sz w:val="28"/>
          <w:szCs w:val="28"/>
        </w:rPr>
        <w:t>东兴基金管理有限公司</w:t>
      </w:r>
      <w:r w:rsidR="00CF7668" w:rsidRPr="005C14F4">
        <w:rPr>
          <w:rFonts w:ascii="仿宋" w:eastAsia="仿宋" w:hAnsi="仿宋" w:cs="仿宋" w:hint="eastAsia"/>
          <w:kern w:val="0"/>
          <w:sz w:val="28"/>
          <w:szCs w:val="28"/>
        </w:rPr>
        <w:t>（以下简称“本公司”）</w:t>
      </w:r>
      <w:r w:rsidR="00451BB6" w:rsidRPr="005C14F4">
        <w:rPr>
          <w:rFonts w:ascii="仿宋" w:eastAsia="仿宋" w:hAnsi="仿宋" w:cs="仿宋" w:hint="eastAsia"/>
          <w:kern w:val="0"/>
          <w:sz w:val="28"/>
          <w:szCs w:val="28"/>
        </w:rPr>
        <w:t>严格遵循投资者利益优先原则，积极落实投资者适当性管理，</w:t>
      </w:r>
      <w:r w:rsidR="00C0141B" w:rsidRPr="005C14F4">
        <w:rPr>
          <w:rFonts w:ascii="仿宋" w:eastAsia="仿宋" w:hAnsi="仿宋" w:cs="仿宋" w:hint="eastAsia"/>
          <w:kern w:val="0"/>
          <w:sz w:val="28"/>
          <w:szCs w:val="28"/>
        </w:rPr>
        <w:t>对旗下公募基金产品风险等级进行了评估</w:t>
      </w:r>
      <w:r w:rsidRPr="005C14F4">
        <w:rPr>
          <w:rFonts w:ascii="仿宋" w:eastAsia="仿宋" w:hAnsi="仿宋" w:cs="仿宋" w:hint="eastAsia"/>
          <w:kern w:val="0"/>
          <w:sz w:val="28"/>
          <w:szCs w:val="28"/>
        </w:rPr>
        <w:t>。本</w:t>
      </w:r>
      <w:r w:rsidR="004A620F" w:rsidRPr="005C14F4">
        <w:rPr>
          <w:rFonts w:ascii="仿宋" w:eastAsia="仿宋" w:hAnsi="仿宋" w:cs="仿宋" w:hint="eastAsia"/>
          <w:kern w:val="0"/>
          <w:sz w:val="28"/>
          <w:szCs w:val="28"/>
        </w:rPr>
        <w:t>通知</w:t>
      </w:r>
      <w:r w:rsidRPr="005C14F4">
        <w:rPr>
          <w:rFonts w:ascii="仿宋" w:eastAsia="仿宋" w:hAnsi="仿宋" w:cs="仿宋" w:hint="eastAsia"/>
          <w:kern w:val="0"/>
          <w:sz w:val="28"/>
          <w:szCs w:val="28"/>
        </w:rPr>
        <w:t>适用于</w:t>
      </w:r>
      <w:r w:rsidR="004A620F" w:rsidRPr="005C14F4">
        <w:rPr>
          <w:rFonts w:ascii="仿宋" w:eastAsia="仿宋" w:hAnsi="仿宋" w:cs="仿宋" w:hint="eastAsia"/>
          <w:kern w:val="0"/>
          <w:sz w:val="28"/>
          <w:szCs w:val="28"/>
        </w:rPr>
        <w:t>本</w:t>
      </w:r>
      <w:r w:rsidRPr="005C14F4">
        <w:rPr>
          <w:rFonts w:ascii="仿宋" w:eastAsia="仿宋" w:hAnsi="仿宋" w:cs="仿宋" w:hint="eastAsia"/>
          <w:kern w:val="0"/>
          <w:sz w:val="28"/>
          <w:szCs w:val="28"/>
        </w:rPr>
        <w:t>公司发行的向投资者公开募集的公募基金产品（以下简称“公募</w:t>
      </w:r>
      <w:r w:rsidR="00275717">
        <w:rPr>
          <w:rFonts w:ascii="仿宋" w:eastAsia="仿宋" w:hAnsi="仿宋" w:cs="仿宋" w:hint="eastAsia"/>
          <w:kern w:val="0"/>
          <w:sz w:val="28"/>
          <w:szCs w:val="28"/>
        </w:rPr>
        <w:t>基金</w:t>
      </w:r>
      <w:r w:rsidRPr="005C14F4">
        <w:rPr>
          <w:rFonts w:ascii="仿宋" w:eastAsia="仿宋" w:hAnsi="仿宋" w:cs="仿宋" w:hint="eastAsia"/>
          <w:kern w:val="0"/>
          <w:sz w:val="28"/>
          <w:szCs w:val="28"/>
        </w:rPr>
        <w:t>”或“产品”）。</w:t>
      </w:r>
    </w:p>
    <w:p w:rsidR="00A71F3D" w:rsidRPr="005C14F4" w:rsidRDefault="00BC3AB0"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本公司</w:t>
      </w:r>
      <w:r w:rsidR="008C4E76" w:rsidRPr="005C14F4">
        <w:rPr>
          <w:rFonts w:ascii="仿宋" w:eastAsia="仿宋" w:hAnsi="仿宋" w:cs="仿宋" w:hint="eastAsia"/>
          <w:kern w:val="0"/>
          <w:sz w:val="28"/>
          <w:szCs w:val="28"/>
        </w:rPr>
        <w:t>提供的公募</w:t>
      </w:r>
      <w:r w:rsidR="00532801">
        <w:rPr>
          <w:rFonts w:ascii="仿宋" w:eastAsia="仿宋" w:hAnsi="仿宋" w:cs="仿宋" w:hint="eastAsia"/>
          <w:kern w:val="0"/>
          <w:sz w:val="28"/>
          <w:szCs w:val="28"/>
        </w:rPr>
        <w:t>基金</w:t>
      </w:r>
      <w:r w:rsidR="008C4E76" w:rsidRPr="005C14F4">
        <w:rPr>
          <w:rFonts w:ascii="仿宋" w:eastAsia="仿宋" w:hAnsi="仿宋" w:cs="仿宋" w:hint="eastAsia"/>
          <w:kern w:val="0"/>
          <w:sz w:val="28"/>
          <w:szCs w:val="28"/>
        </w:rPr>
        <w:t>风险</w:t>
      </w:r>
      <w:r w:rsidR="0091487D" w:rsidRPr="005C14F4">
        <w:rPr>
          <w:rFonts w:ascii="仿宋" w:eastAsia="仿宋" w:hAnsi="仿宋" w:cs="仿宋" w:hint="eastAsia"/>
          <w:kern w:val="0"/>
          <w:sz w:val="28"/>
          <w:szCs w:val="28"/>
        </w:rPr>
        <w:t>等级</w:t>
      </w:r>
      <w:r w:rsidR="008C4E76" w:rsidRPr="005C14F4">
        <w:rPr>
          <w:rFonts w:ascii="仿宋" w:eastAsia="仿宋" w:hAnsi="仿宋" w:cs="仿宋" w:hint="eastAsia"/>
          <w:kern w:val="0"/>
          <w:sz w:val="28"/>
          <w:szCs w:val="28"/>
        </w:rPr>
        <w:t>，</w:t>
      </w:r>
      <w:r w:rsidR="00217248" w:rsidRPr="005C14F4">
        <w:rPr>
          <w:rFonts w:ascii="仿宋" w:eastAsia="仿宋" w:hAnsi="仿宋" w:cs="仿宋" w:hint="eastAsia"/>
          <w:kern w:val="0"/>
          <w:sz w:val="28"/>
          <w:szCs w:val="28"/>
        </w:rPr>
        <w:t>按照风险由低到高排序，依次</w:t>
      </w:r>
      <w:r w:rsidR="00A71F3D" w:rsidRPr="005C14F4">
        <w:rPr>
          <w:rFonts w:ascii="仿宋" w:eastAsia="仿宋" w:hAnsi="仿宋" w:cs="仿宋" w:hint="eastAsia"/>
          <w:kern w:val="0"/>
          <w:sz w:val="28"/>
          <w:szCs w:val="28"/>
        </w:rPr>
        <w:t>划分为</w:t>
      </w:r>
      <w:r w:rsidR="00183AE4"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低风险等级（</w:t>
      </w:r>
      <w:r w:rsidR="00A71F3D" w:rsidRPr="005C14F4">
        <w:rPr>
          <w:rFonts w:ascii="仿宋" w:eastAsia="仿宋" w:hAnsi="仿宋" w:cs="仿宋"/>
          <w:kern w:val="0"/>
          <w:sz w:val="28"/>
          <w:szCs w:val="28"/>
        </w:rPr>
        <w:t>R1</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中低风险等级（</w:t>
      </w:r>
      <w:r w:rsidR="00A71F3D" w:rsidRPr="005C14F4">
        <w:rPr>
          <w:rFonts w:ascii="仿宋" w:eastAsia="仿宋" w:hAnsi="仿宋" w:cs="仿宋"/>
          <w:kern w:val="0"/>
          <w:sz w:val="28"/>
          <w:szCs w:val="28"/>
        </w:rPr>
        <w:t>R2</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中风险等级（</w:t>
      </w:r>
      <w:r w:rsidR="00A71F3D" w:rsidRPr="005C14F4">
        <w:rPr>
          <w:rFonts w:ascii="仿宋" w:eastAsia="仿宋" w:hAnsi="仿宋" w:cs="仿宋"/>
          <w:kern w:val="0"/>
          <w:sz w:val="28"/>
          <w:szCs w:val="28"/>
        </w:rPr>
        <w:t>R3</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中高风险等级（</w:t>
      </w:r>
      <w:r w:rsidR="00A71F3D" w:rsidRPr="005C14F4">
        <w:rPr>
          <w:rFonts w:ascii="仿宋" w:eastAsia="仿宋" w:hAnsi="仿宋" w:cs="仿宋"/>
          <w:kern w:val="0"/>
          <w:sz w:val="28"/>
          <w:szCs w:val="28"/>
        </w:rPr>
        <w:t>R4</w:t>
      </w:r>
      <w:r w:rsidR="00A71F3D" w:rsidRPr="005C14F4">
        <w:rPr>
          <w:rFonts w:ascii="仿宋" w:eastAsia="仿宋" w:hAnsi="仿宋" w:cs="仿宋" w:hint="eastAsia"/>
          <w:kern w:val="0"/>
          <w:sz w:val="28"/>
          <w:szCs w:val="28"/>
        </w:rPr>
        <w:t>）</w:t>
      </w:r>
      <w:r w:rsidR="00C963AF" w:rsidRPr="005C14F4">
        <w:rPr>
          <w:rFonts w:ascii="仿宋" w:eastAsia="仿宋" w:hAnsi="仿宋" w:cs="仿宋" w:hint="eastAsia"/>
          <w:kern w:val="0"/>
          <w:sz w:val="28"/>
          <w:szCs w:val="28"/>
        </w:rPr>
        <w:t>和</w:t>
      </w:r>
      <w:r w:rsidR="00A71F3D" w:rsidRPr="005C14F4">
        <w:rPr>
          <w:rFonts w:ascii="仿宋" w:eastAsia="仿宋" w:hAnsi="仿宋" w:cs="仿宋" w:hint="eastAsia"/>
          <w:kern w:val="0"/>
          <w:sz w:val="28"/>
          <w:szCs w:val="28"/>
        </w:rPr>
        <w:t>高风险等级（</w:t>
      </w:r>
      <w:r w:rsidR="00A71F3D" w:rsidRPr="005C14F4">
        <w:rPr>
          <w:rFonts w:ascii="仿宋" w:eastAsia="仿宋" w:hAnsi="仿宋" w:cs="仿宋"/>
          <w:kern w:val="0"/>
          <w:sz w:val="28"/>
          <w:szCs w:val="28"/>
        </w:rPr>
        <w:t>R5</w:t>
      </w:r>
      <w:r w:rsidR="00A71F3D" w:rsidRPr="005C14F4">
        <w:rPr>
          <w:rFonts w:ascii="仿宋" w:eastAsia="仿宋" w:hAnsi="仿宋" w:cs="仿宋" w:hint="eastAsia"/>
          <w:kern w:val="0"/>
          <w:sz w:val="28"/>
          <w:szCs w:val="28"/>
        </w:rPr>
        <w:t>）</w:t>
      </w:r>
      <w:r w:rsidR="005A5E88" w:rsidRPr="005C14F4">
        <w:rPr>
          <w:rFonts w:ascii="仿宋" w:eastAsia="仿宋" w:hAnsi="仿宋" w:cs="仿宋" w:hint="eastAsia"/>
          <w:kern w:val="0"/>
          <w:sz w:val="28"/>
          <w:szCs w:val="28"/>
        </w:rPr>
        <w:t>共</w:t>
      </w:r>
      <w:r w:rsidR="00183AE4" w:rsidRPr="005C14F4">
        <w:rPr>
          <w:rFonts w:ascii="仿宋" w:eastAsia="仿宋" w:hAnsi="仿宋" w:cs="仿宋" w:hint="eastAsia"/>
          <w:kern w:val="0"/>
          <w:sz w:val="28"/>
          <w:szCs w:val="28"/>
        </w:rPr>
        <w:t>五个等级</w:t>
      </w:r>
      <w:r w:rsidR="00A71F3D" w:rsidRPr="005C14F4">
        <w:rPr>
          <w:rFonts w:ascii="仿宋" w:eastAsia="仿宋" w:hAnsi="仿宋" w:cs="仿宋" w:hint="eastAsia"/>
          <w:kern w:val="0"/>
          <w:sz w:val="28"/>
          <w:szCs w:val="28"/>
        </w:rPr>
        <w:t>。</w:t>
      </w:r>
    </w:p>
    <w:p w:rsidR="00152762" w:rsidRDefault="00152762" w:rsidP="003C2F48">
      <w:pPr>
        <w:ind w:firstLineChars="200" w:firstLine="560"/>
        <w:rPr>
          <w:rFonts w:ascii="仿宋" w:eastAsia="仿宋" w:hAnsi="仿宋" w:cs="仿宋"/>
          <w:kern w:val="0"/>
          <w:sz w:val="28"/>
          <w:szCs w:val="28"/>
        </w:rPr>
      </w:pPr>
      <w:r w:rsidRPr="00152762">
        <w:rPr>
          <w:rFonts w:ascii="仿宋" w:eastAsia="仿宋" w:hAnsi="仿宋" w:cs="仿宋" w:hint="eastAsia"/>
          <w:kern w:val="0"/>
          <w:sz w:val="28"/>
          <w:szCs w:val="28"/>
        </w:rPr>
        <w:t>本公司于2025年</w:t>
      </w:r>
      <w:r w:rsidR="00543C2E">
        <w:rPr>
          <w:rFonts w:ascii="仿宋" w:eastAsia="仿宋" w:hAnsi="仿宋" w:cs="仿宋" w:hint="eastAsia"/>
          <w:kern w:val="0"/>
          <w:sz w:val="28"/>
          <w:szCs w:val="28"/>
        </w:rPr>
        <w:t>5</w:t>
      </w:r>
      <w:r w:rsidRPr="00152762">
        <w:rPr>
          <w:rFonts w:ascii="仿宋" w:eastAsia="仿宋" w:hAnsi="仿宋" w:cs="仿宋" w:hint="eastAsia"/>
          <w:kern w:val="0"/>
          <w:sz w:val="28"/>
          <w:szCs w:val="28"/>
        </w:rPr>
        <w:t>月对旗下公募基金产品风险等级进行了评估，根据产品运作情况，本公司调整了旗下</w:t>
      </w:r>
      <w:r w:rsidR="0079096E" w:rsidRPr="0079096E">
        <w:rPr>
          <w:rFonts w:ascii="仿宋" w:eastAsia="仿宋" w:hAnsi="仿宋" w:cs="仿宋" w:hint="eastAsia"/>
          <w:b/>
          <w:bCs/>
          <w:kern w:val="0"/>
          <w:sz w:val="28"/>
          <w:szCs w:val="28"/>
        </w:rPr>
        <w:t>东兴改革精选灵活配置混合型证券投资基金（A类份额基金代码：001708、C类份额基金代码：019151）、东兴蓝海财富灵活配置混合型证券投资基金（A类份额基金代码：002182、C类份额基金代码：019166）、东兴未来价值灵活配置混合型证券投资基金（A类份额基金代码：004695、C类份额基金代码：007550）、东兴兴晟混合型证券投资基金（A类份额基金代码：009327、C类份额基金代码：009328）、东兴宸瑞量化混合型证券投资基金（A类份额基金代码：012297、C类份额基</w:t>
      </w:r>
      <w:r w:rsidR="0079096E" w:rsidRPr="0079096E">
        <w:rPr>
          <w:rFonts w:ascii="仿宋" w:eastAsia="仿宋" w:hAnsi="仿宋" w:cs="仿宋" w:hint="eastAsia"/>
          <w:b/>
          <w:bCs/>
          <w:kern w:val="0"/>
          <w:sz w:val="28"/>
          <w:szCs w:val="28"/>
        </w:rPr>
        <w:lastRenderedPageBreak/>
        <w:t>金代码：012298）、东兴宸祥量化混合型证券投资基金（A类份额基金代码：013166、C类份额基金代码：013167）、东兴数字经济混合型发起式证券投资基金（A类份额基金代码：020440、C类份额基金代码：020441）、东兴成长优选混合型发起式证券投资基金（A类份额基金代码：021390、C类份额基金代码：02139</w:t>
      </w:r>
      <w:r w:rsidR="008D162D">
        <w:rPr>
          <w:rFonts w:ascii="仿宋" w:eastAsia="仿宋" w:hAnsi="仿宋" w:cs="仿宋" w:hint="eastAsia"/>
          <w:b/>
          <w:bCs/>
          <w:kern w:val="0"/>
          <w:sz w:val="28"/>
          <w:szCs w:val="28"/>
        </w:rPr>
        <w:t>1</w:t>
      </w:r>
      <w:r w:rsidR="0079096E" w:rsidRPr="0079096E">
        <w:rPr>
          <w:rFonts w:ascii="仿宋" w:eastAsia="仿宋" w:hAnsi="仿宋" w:cs="仿宋" w:hint="eastAsia"/>
          <w:b/>
          <w:bCs/>
          <w:kern w:val="0"/>
          <w:sz w:val="28"/>
          <w:szCs w:val="28"/>
        </w:rPr>
        <w:t>）、东兴医药生物量化选股混合型证券投资基金（A类份额基金代码：020830、C类份额基金代码：020831）、东兴宸泰量化选股混合型发起式证券投资基金（A类份额基金代码：021812、C类份额基金代码：021813）、东兴红利优选混合型证券投资基金（A类份额基金代码：022157、C类份额基金代码：022158）</w:t>
      </w:r>
      <w:r w:rsidRPr="00152762">
        <w:rPr>
          <w:rFonts w:ascii="仿宋" w:eastAsia="仿宋" w:hAnsi="仿宋" w:cs="仿宋" w:hint="eastAsia"/>
          <w:kern w:val="0"/>
          <w:sz w:val="28"/>
          <w:szCs w:val="28"/>
        </w:rPr>
        <w:t>的风险等级，旗下其它公募基金产品风险等级未发生变动。</w:t>
      </w:r>
    </w:p>
    <w:p w:rsidR="00281538" w:rsidRPr="005C14F4" w:rsidRDefault="001613C8"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根据此次产品风险等级评估结果，本公司</w:t>
      </w:r>
      <w:r w:rsidR="004539FF" w:rsidRPr="004539FF">
        <w:rPr>
          <w:rFonts w:ascii="仿宋" w:eastAsia="仿宋" w:hAnsi="仿宋" w:cs="仿宋" w:hint="eastAsia"/>
          <w:kern w:val="0"/>
          <w:sz w:val="28"/>
          <w:szCs w:val="28"/>
        </w:rPr>
        <w:t>将于202</w:t>
      </w:r>
      <w:r w:rsidR="00E639D7">
        <w:rPr>
          <w:rFonts w:ascii="仿宋" w:eastAsia="仿宋" w:hAnsi="仿宋" w:cs="仿宋" w:hint="eastAsia"/>
          <w:kern w:val="0"/>
          <w:sz w:val="28"/>
          <w:szCs w:val="28"/>
        </w:rPr>
        <w:t>5</w:t>
      </w:r>
      <w:r w:rsidR="004539FF" w:rsidRPr="004539FF">
        <w:rPr>
          <w:rFonts w:ascii="仿宋" w:eastAsia="仿宋" w:hAnsi="仿宋" w:cs="仿宋" w:hint="eastAsia"/>
          <w:kern w:val="0"/>
          <w:sz w:val="28"/>
          <w:szCs w:val="28"/>
        </w:rPr>
        <w:t>年</w:t>
      </w:r>
      <w:r w:rsidR="00453D19">
        <w:rPr>
          <w:rFonts w:ascii="仿宋" w:eastAsia="仿宋" w:hAnsi="仿宋" w:cs="仿宋" w:hint="eastAsia"/>
          <w:kern w:val="0"/>
          <w:sz w:val="28"/>
          <w:szCs w:val="28"/>
        </w:rPr>
        <w:t>5</w:t>
      </w:r>
      <w:r w:rsidR="004539FF" w:rsidRPr="004539FF">
        <w:rPr>
          <w:rFonts w:ascii="仿宋" w:eastAsia="仿宋" w:hAnsi="仿宋" w:cs="仿宋" w:hint="eastAsia"/>
          <w:kern w:val="0"/>
          <w:sz w:val="28"/>
          <w:szCs w:val="28"/>
        </w:rPr>
        <w:t>月</w:t>
      </w:r>
      <w:r w:rsidR="00B5123E">
        <w:rPr>
          <w:rFonts w:ascii="仿宋" w:eastAsia="仿宋" w:hAnsi="仿宋" w:cs="仿宋" w:hint="eastAsia"/>
          <w:kern w:val="0"/>
          <w:sz w:val="28"/>
          <w:szCs w:val="28"/>
        </w:rPr>
        <w:t>1</w:t>
      </w:r>
      <w:r w:rsidR="003767C4">
        <w:rPr>
          <w:rFonts w:ascii="仿宋" w:eastAsia="仿宋" w:hAnsi="仿宋" w:cs="仿宋" w:hint="eastAsia"/>
          <w:kern w:val="0"/>
          <w:sz w:val="28"/>
          <w:szCs w:val="28"/>
        </w:rPr>
        <w:t>2</w:t>
      </w:r>
      <w:r w:rsidR="004539FF" w:rsidRPr="004539FF">
        <w:rPr>
          <w:rFonts w:ascii="仿宋" w:eastAsia="仿宋" w:hAnsi="仿宋" w:cs="仿宋" w:hint="eastAsia"/>
          <w:kern w:val="0"/>
          <w:sz w:val="28"/>
          <w:szCs w:val="28"/>
        </w:rPr>
        <w:t>日</w:t>
      </w:r>
      <w:r w:rsidR="00891AA8">
        <w:rPr>
          <w:rFonts w:ascii="仿宋" w:eastAsia="仿宋" w:hAnsi="仿宋" w:cs="仿宋" w:hint="eastAsia"/>
          <w:kern w:val="0"/>
          <w:sz w:val="28"/>
          <w:szCs w:val="28"/>
        </w:rPr>
        <w:t>起</w:t>
      </w:r>
      <w:r w:rsidR="004539FF" w:rsidRPr="004539FF">
        <w:rPr>
          <w:rFonts w:ascii="仿宋" w:eastAsia="仿宋" w:hAnsi="仿宋" w:cs="仿宋" w:hint="eastAsia"/>
          <w:kern w:val="0"/>
          <w:sz w:val="28"/>
          <w:szCs w:val="28"/>
        </w:rPr>
        <w:t>更新旗下</w:t>
      </w:r>
      <w:r w:rsidR="009675E1">
        <w:rPr>
          <w:rFonts w:ascii="仿宋" w:eastAsia="仿宋" w:hAnsi="仿宋" w:cs="仿宋" w:hint="eastAsia"/>
          <w:kern w:val="0"/>
          <w:sz w:val="28"/>
          <w:szCs w:val="28"/>
        </w:rPr>
        <w:t>产品</w:t>
      </w:r>
      <w:r w:rsidR="004539FF" w:rsidRPr="004539FF">
        <w:rPr>
          <w:rFonts w:ascii="仿宋" w:eastAsia="仿宋" w:hAnsi="仿宋" w:cs="仿宋" w:hint="eastAsia"/>
          <w:kern w:val="0"/>
          <w:sz w:val="28"/>
          <w:szCs w:val="28"/>
        </w:rPr>
        <w:t>的风险等级</w:t>
      </w:r>
      <w:r w:rsidR="004539FF">
        <w:rPr>
          <w:rFonts w:ascii="仿宋" w:eastAsia="仿宋" w:hAnsi="仿宋" w:cs="仿宋" w:hint="eastAsia"/>
          <w:kern w:val="0"/>
          <w:sz w:val="28"/>
          <w:szCs w:val="28"/>
        </w:rPr>
        <w:t>，</w:t>
      </w:r>
      <w:r w:rsidR="00E31F15" w:rsidRPr="005C14F4">
        <w:rPr>
          <w:rFonts w:ascii="仿宋" w:eastAsia="仿宋" w:hAnsi="仿宋" w:cs="仿宋" w:hint="eastAsia"/>
          <w:kern w:val="0"/>
          <w:sz w:val="28"/>
          <w:szCs w:val="28"/>
        </w:rPr>
        <w:t>详</w:t>
      </w:r>
      <w:r w:rsidR="00281538" w:rsidRPr="005C14F4">
        <w:rPr>
          <w:rFonts w:ascii="仿宋" w:eastAsia="仿宋" w:hAnsi="仿宋" w:cs="仿宋" w:hint="eastAsia"/>
          <w:kern w:val="0"/>
          <w:sz w:val="28"/>
          <w:szCs w:val="28"/>
        </w:rPr>
        <w:t>见附件《东兴基金管理有限公司</w:t>
      </w:r>
      <w:r w:rsidR="000755B3" w:rsidRPr="005C14F4">
        <w:rPr>
          <w:rFonts w:ascii="仿宋" w:eastAsia="仿宋" w:hAnsi="仿宋" w:cs="仿宋" w:hint="eastAsia"/>
          <w:kern w:val="0"/>
          <w:sz w:val="28"/>
          <w:szCs w:val="28"/>
        </w:rPr>
        <w:t>旗下</w:t>
      </w:r>
      <w:r w:rsidR="00281538" w:rsidRPr="005C14F4">
        <w:rPr>
          <w:rFonts w:ascii="仿宋" w:eastAsia="仿宋" w:hAnsi="仿宋" w:cs="仿宋" w:hint="eastAsia"/>
          <w:kern w:val="0"/>
          <w:sz w:val="28"/>
          <w:szCs w:val="28"/>
        </w:rPr>
        <w:t>产品适当性风险等级划分一览表》。</w:t>
      </w:r>
    </w:p>
    <w:p w:rsidR="00A71F3D" w:rsidRPr="005C14F4" w:rsidRDefault="00BC3AB0"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本公司对旗下公募基金风险等级的划分保有最终解释权。</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风险提示：</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1</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销售机构根据投资者适当性法律法规对基金进行风险评价，不同的销售机构采用的评价方法不同，因此不同销售机构对基金的风险等级评价结果可能存在不同。</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2</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3</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本公司承诺以诚实信用、勤勉尽责的原则管理和运用基金资产，</w:t>
      </w:r>
      <w:r w:rsidRPr="005C14F4">
        <w:rPr>
          <w:rFonts w:ascii="仿宋" w:eastAsia="仿宋" w:hAnsi="仿宋" w:cs="仿宋" w:hint="eastAsia"/>
          <w:kern w:val="0"/>
          <w:sz w:val="28"/>
          <w:szCs w:val="28"/>
        </w:rPr>
        <w:lastRenderedPageBreak/>
        <w:t>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097141" w:rsidRPr="005C14F4" w:rsidRDefault="00B17158"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特此通知</w:t>
      </w:r>
      <w:r w:rsidR="00E370A0" w:rsidRPr="005C14F4">
        <w:rPr>
          <w:rFonts w:ascii="仿宋" w:eastAsia="仿宋" w:hAnsi="仿宋" w:cs="仿宋" w:hint="eastAsia"/>
          <w:kern w:val="0"/>
          <w:sz w:val="28"/>
          <w:szCs w:val="28"/>
        </w:rPr>
        <w:t>。</w:t>
      </w:r>
    </w:p>
    <w:p w:rsidR="00A86291" w:rsidRPr="005C14F4" w:rsidRDefault="00A86291"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附件：东兴基金管理有限公司旗下产品适当性风险等级划分一览表</w:t>
      </w:r>
    </w:p>
    <w:p w:rsidR="00B17158" w:rsidRPr="005C14F4" w:rsidRDefault="00B17158" w:rsidP="007962E5">
      <w:pPr>
        <w:autoSpaceDE w:val="0"/>
        <w:autoSpaceDN w:val="0"/>
        <w:adjustRightInd w:val="0"/>
        <w:spacing w:line="560" w:lineRule="exact"/>
        <w:ind w:firstLineChars="200" w:firstLine="560"/>
        <w:rPr>
          <w:rFonts w:ascii="仿宋" w:eastAsia="仿宋" w:hAnsi="仿宋" w:cs="仿宋"/>
          <w:kern w:val="0"/>
          <w:sz w:val="28"/>
          <w:szCs w:val="28"/>
        </w:rPr>
      </w:pPr>
    </w:p>
    <w:p w:rsidR="000755B3" w:rsidRPr="005C14F4" w:rsidRDefault="000755B3" w:rsidP="007962E5">
      <w:pPr>
        <w:autoSpaceDE w:val="0"/>
        <w:autoSpaceDN w:val="0"/>
        <w:adjustRightInd w:val="0"/>
        <w:spacing w:line="560" w:lineRule="exact"/>
        <w:ind w:firstLineChars="200" w:firstLine="560"/>
        <w:jc w:val="right"/>
        <w:rPr>
          <w:rFonts w:ascii="仿宋" w:eastAsia="仿宋" w:hAnsi="仿宋" w:cs="仿宋"/>
          <w:kern w:val="0"/>
          <w:sz w:val="28"/>
          <w:szCs w:val="28"/>
        </w:rPr>
      </w:pPr>
      <w:r w:rsidRPr="005C14F4">
        <w:rPr>
          <w:rFonts w:ascii="仿宋" w:eastAsia="仿宋" w:hAnsi="仿宋" w:cs="仿宋" w:hint="eastAsia"/>
          <w:kern w:val="0"/>
          <w:sz w:val="28"/>
          <w:szCs w:val="28"/>
        </w:rPr>
        <w:t>东兴基金管理有限公司</w:t>
      </w:r>
    </w:p>
    <w:p w:rsidR="0031769E" w:rsidRPr="005C14F4" w:rsidRDefault="00E24E02" w:rsidP="007962E5">
      <w:pPr>
        <w:autoSpaceDE w:val="0"/>
        <w:autoSpaceDN w:val="0"/>
        <w:adjustRightInd w:val="0"/>
        <w:spacing w:line="560" w:lineRule="exact"/>
        <w:ind w:rightChars="250" w:right="525" w:firstLineChars="200" w:firstLine="560"/>
        <w:jc w:val="right"/>
        <w:rPr>
          <w:rFonts w:ascii="仿宋" w:eastAsia="仿宋" w:hAnsi="仿宋" w:cs="仿宋"/>
          <w:kern w:val="0"/>
          <w:sz w:val="28"/>
          <w:szCs w:val="28"/>
        </w:rPr>
      </w:pPr>
      <w:r w:rsidRPr="005C14F4">
        <w:rPr>
          <w:rFonts w:ascii="仿宋" w:eastAsia="仿宋" w:hAnsi="仿宋" w:cs="仿宋" w:hint="eastAsia"/>
          <w:kern w:val="0"/>
          <w:sz w:val="28"/>
          <w:szCs w:val="28"/>
        </w:rPr>
        <w:t>2</w:t>
      </w:r>
      <w:r w:rsidRPr="005C14F4">
        <w:rPr>
          <w:rFonts w:ascii="仿宋" w:eastAsia="仿宋" w:hAnsi="仿宋" w:cs="仿宋"/>
          <w:kern w:val="0"/>
          <w:sz w:val="28"/>
          <w:szCs w:val="28"/>
        </w:rPr>
        <w:t>02</w:t>
      </w:r>
      <w:r>
        <w:rPr>
          <w:rFonts w:ascii="仿宋" w:eastAsia="仿宋" w:hAnsi="仿宋" w:cs="仿宋" w:hint="eastAsia"/>
          <w:kern w:val="0"/>
          <w:sz w:val="28"/>
          <w:szCs w:val="28"/>
        </w:rPr>
        <w:t>5</w:t>
      </w:r>
      <w:r w:rsidR="000755B3" w:rsidRPr="005C14F4">
        <w:rPr>
          <w:rFonts w:ascii="仿宋" w:eastAsia="仿宋" w:hAnsi="仿宋" w:cs="仿宋" w:hint="eastAsia"/>
          <w:kern w:val="0"/>
          <w:sz w:val="28"/>
          <w:szCs w:val="28"/>
        </w:rPr>
        <w:t>年</w:t>
      </w:r>
      <w:r>
        <w:rPr>
          <w:rFonts w:ascii="仿宋" w:eastAsia="仿宋" w:hAnsi="仿宋" w:cs="仿宋" w:hint="eastAsia"/>
          <w:kern w:val="0"/>
          <w:sz w:val="28"/>
          <w:szCs w:val="28"/>
        </w:rPr>
        <w:t>5</w:t>
      </w:r>
      <w:r w:rsidR="000755B3" w:rsidRPr="005C14F4">
        <w:rPr>
          <w:rFonts w:ascii="仿宋" w:eastAsia="仿宋" w:hAnsi="仿宋" w:cs="仿宋" w:hint="eastAsia"/>
          <w:kern w:val="0"/>
          <w:sz w:val="28"/>
          <w:szCs w:val="28"/>
        </w:rPr>
        <w:t>月</w:t>
      </w:r>
      <w:r w:rsidR="00B5123E">
        <w:rPr>
          <w:rFonts w:ascii="仿宋" w:eastAsia="仿宋" w:hAnsi="仿宋" w:cs="仿宋" w:hint="eastAsia"/>
          <w:kern w:val="0"/>
          <w:sz w:val="28"/>
          <w:szCs w:val="28"/>
        </w:rPr>
        <w:t>10</w:t>
      </w:r>
      <w:r w:rsidR="000755B3" w:rsidRPr="005C14F4">
        <w:rPr>
          <w:rFonts w:ascii="仿宋" w:eastAsia="仿宋" w:hAnsi="仿宋" w:cs="仿宋" w:hint="eastAsia"/>
          <w:kern w:val="0"/>
          <w:sz w:val="28"/>
          <w:szCs w:val="28"/>
        </w:rPr>
        <w:t>日</w:t>
      </w:r>
    </w:p>
    <w:p w:rsidR="00917E0B" w:rsidRPr="005C14F4" w:rsidRDefault="00917E0B" w:rsidP="007962E5">
      <w:pPr>
        <w:autoSpaceDE w:val="0"/>
        <w:autoSpaceDN w:val="0"/>
        <w:adjustRightInd w:val="0"/>
        <w:spacing w:line="560" w:lineRule="exact"/>
        <w:rPr>
          <w:rFonts w:ascii="仿宋" w:eastAsia="仿宋" w:hAnsi="仿宋" w:cs="仿宋"/>
          <w:kern w:val="0"/>
          <w:sz w:val="28"/>
          <w:szCs w:val="28"/>
        </w:rPr>
      </w:pPr>
    </w:p>
    <w:p w:rsidR="001756CD" w:rsidRPr="005C14F4" w:rsidRDefault="001756CD" w:rsidP="007962E5">
      <w:pPr>
        <w:widowControl/>
        <w:spacing w:line="560" w:lineRule="exact"/>
        <w:jc w:val="left"/>
        <w:rPr>
          <w:rFonts w:ascii="仿宋" w:eastAsia="仿宋" w:hAnsi="仿宋" w:cs="仿宋"/>
          <w:kern w:val="0"/>
          <w:sz w:val="28"/>
          <w:szCs w:val="28"/>
        </w:rPr>
      </w:pPr>
      <w:r w:rsidRPr="005C14F4">
        <w:rPr>
          <w:rFonts w:ascii="仿宋" w:eastAsia="仿宋" w:hAnsi="仿宋" w:cs="仿宋"/>
          <w:kern w:val="0"/>
          <w:sz w:val="28"/>
          <w:szCs w:val="28"/>
        </w:rPr>
        <w:br w:type="page"/>
      </w:r>
    </w:p>
    <w:p w:rsidR="0031769E" w:rsidRPr="005C14F4" w:rsidRDefault="0031769E" w:rsidP="00732724">
      <w:pPr>
        <w:autoSpaceDE w:val="0"/>
        <w:autoSpaceDN w:val="0"/>
        <w:adjustRightInd w:val="0"/>
        <w:rPr>
          <w:rFonts w:ascii="仿宋" w:eastAsia="仿宋" w:hAnsi="仿宋" w:cs="仿宋"/>
          <w:kern w:val="0"/>
          <w:sz w:val="28"/>
          <w:szCs w:val="28"/>
        </w:rPr>
      </w:pPr>
      <w:r w:rsidRPr="005C14F4">
        <w:rPr>
          <w:rFonts w:ascii="仿宋" w:eastAsia="仿宋" w:hAnsi="仿宋" w:cs="仿宋" w:hint="eastAsia"/>
          <w:kern w:val="0"/>
          <w:sz w:val="28"/>
          <w:szCs w:val="28"/>
        </w:rPr>
        <w:t>附件：东兴基金管理有限公司旗下产品适当性风险等级划分一览表</w:t>
      </w:r>
    </w:p>
    <w:tbl>
      <w:tblPr>
        <w:tblStyle w:val="a8"/>
        <w:tblW w:w="7661" w:type="dxa"/>
        <w:jc w:val="center"/>
        <w:tblLook w:val="04A0"/>
      </w:tblPr>
      <w:tblGrid>
        <w:gridCol w:w="1129"/>
        <w:gridCol w:w="2638"/>
        <w:gridCol w:w="891"/>
        <w:gridCol w:w="1018"/>
        <w:gridCol w:w="992"/>
        <w:gridCol w:w="993"/>
      </w:tblGrid>
      <w:tr w:rsidR="004A1EC7" w:rsidRPr="008F7F3A" w:rsidTr="00D81240">
        <w:trPr>
          <w:trHeight w:val="321"/>
          <w:jc w:val="center"/>
        </w:trPr>
        <w:tc>
          <w:tcPr>
            <w:tcW w:w="1129"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基金代码</w:t>
            </w:r>
          </w:p>
        </w:tc>
        <w:tc>
          <w:tcPr>
            <w:tcW w:w="2638"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基金简称</w:t>
            </w:r>
          </w:p>
        </w:tc>
        <w:tc>
          <w:tcPr>
            <w:tcW w:w="891"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基金类型</w:t>
            </w:r>
          </w:p>
        </w:tc>
        <w:tc>
          <w:tcPr>
            <w:tcW w:w="1018" w:type="dxa"/>
            <w:vAlign w:val="center"/>
          </w:tcPr>
          <w:p w:rsidR="004A1EC7" w:rsidRPr="008F7F3A" w:rsidRDefault="004A1EC7"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调整后</w:t>
            </w:r>
            <w:r w:rsidRPr="00247DCE">
              <w:rPr>
                <w:rFonts w:ascii="仿宋" w:eastAsia="仿宋" w:hAnsi="仿宋" w:cs="宋体" w:hint="eastAsia"/>
                <w:color w:val="000000"/>
                <w:kern w:val="0"/>
                <w:sz w:val="18"/>
                <w:szCs w:val="18"/>
              </w:rPr>
              <w:t>风险</w:t>
            </w:r>
            <w:r w:rsidR="00E90504">
              <w:rPr>
                <w:rFonts w:ascii="仿宋" w:eastAsia="仿宋" w:hAnsi="仿宋" w:cs="宋体" w:hint="eastAsia"/>
                <w:color w:val="000000"/>
                <w:kern w:val="0"/>
                <w:sz w:val="18"/>
                <w:szCs w:val="18"/>
              </w:rPr>
              <w:t>等级</w:t>
            </w:r>
          </w:p>
        </w:tc>
        <w:tc>
          <w:tcPr>
            <w:tcW w:w="992"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调整前</w:t>
            </w:r>
            <w:r w:rsidRPr="008F7F3A">
              <w:rPr>
                <w:rFonts w:ascii="仿宋" w:eastAsia="仿宋" w:hAnsi="仿宋" w:cs="宋体" w:hint="eastAsia"/>
                <w:color w:val="000000"/>
                <w:kern w:val="0"/>
                <w:sz w:val="18"/>
                <w:szCs w:val="18"/>
              </w:rPr>
              <w:t>风险</w:t>
            </w:r>
            <w:r w:rsidR="00E90504">
              <w:rPr>
                <w:rFonts w:ascii="仿宋" w:eastAsia="仿宋" w:hAnsi="仿宋" w:cs="宋体" w:hint="eastAsia"/>
                <w:color w:val="000000"/>
                <w:kern w:val="0"/>
                <w:sz w:val="18"/>
                <w:szCs w:val="18"/>
              </w:rPr>
              <w:t>等级</w:t>
            </w:r>
          </w:p>
        </w:tc>
        <w:tc>
          <w:tcPr>
            <w:tcW w:w="993" w:type="dxa"/>
            <w:vAlign w:val="center"/>
          </w:tcPr>
          <w:p w:rsidR="004A1EC7" w:rsidRPr="008F7F3A" w:rsidRDefault="00E90504"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风险等级调整情况</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002759</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东兴安盈宝A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货币型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R1</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002760</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东兴安盈宝B</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货币型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R1</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003545</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009617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011024</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东兴兴利债券D</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007091</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东兴兴福一年定开A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015542</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东兴兴福一年定开C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007769</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东兴兴瑞一年定开债A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013333</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东兴兴瑞一年定开债C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007394</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东兴兴财短债债券A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007395</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东兴兴财短债债券C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008165</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东兴鑫远三年定开</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013164</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东兴兴盈三个月定开债A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013165</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东兴兴盈三个月定开债C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014716</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东兴兴源债券A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014717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东兴兴源债券C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013428</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东兴鑫享6个月滚动持有债券发起A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013429</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东兴鑫享6个月滚动持有债券发起C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015243</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东兴连裕6个月滚动持有债A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015244</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东兴连裕6个月滚动持有债C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R2</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001708</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东兴改革精选混合A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019151</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东兴改革精选混合C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002182</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东兴蓝海财富混合A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019166</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东兴蓝海财富混合C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004695</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东兴未来价值混合A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007550</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东兴未来价值混合C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009327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东兴兴晟混合A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009328</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东兴兴晟混合C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012297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东兴宸瑞量化混合A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012298</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东兴宸瑞量化混合C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013166</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东兴宸祥量化混合A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东兴宸祥量化混合C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009116</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东兴中证消费50A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股票型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R4</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009117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东兴中证消费50C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股票型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R4</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017507</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东兴连众一年持有期混合A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R3</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017508</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东兴连众一年持有期混合C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2"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R3</w:t>
            </w:r>
          </w:p>
        </w:tc>
        <w:tc>
          <w:tcPr>
            <w:tcW w:w="993" w:type="dxa"/>
            <w:vAlign w:val="center"/>
          </w:tcPr>
          <w:p w:rsidR="006B441E" w:rsidRPr="008F7F3A" w:rsidRDefault="006B441E" w:rsidP="00C75CB0">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020440</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东兴数字经济混合发起A</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020441</w:t>
            </w:r>
          </w:p>
        </w:tc>
        <w:tc>
          <w:tcPr>
            <w:tcW w:w="2638"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东兴数字经济混合发起C</w:t>
            </w:r>
          </w:p>
        </w:tc>
        <w:tc>
          <w:tcPr>
            <w:tcW w:w="891" w:type="dxa"/>
            <w:noWrap/>
            <w:vAlign w:val="center"/>
            <w:hideMark/>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hideMark/>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D81240">
        <w:trPr>
          <w:trHeight w:val="321"/>
          <w:jc w:val="center"/>
        </w:trPr>
        <w:tc>
          <w:tcPr>
            <w:tcW w:w="1129"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020913</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东兴鑫颐3个月滚动持有纯债A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247DCE">
              <w:rPr>
                <w:rFonts w:ascii="仿宋" w:eastAsia="仿宋" w:hAnsi="仿宋" w:hint="eastAsia"/>
                <w:color w:val="000000"/>
                <w:sz w:val="18"/>
                <w:szCs w:val="18"/>
              </w:rPr>
              <w:t>R2</w:t>
            </w:r>
          </w:p>
        </w:tc>
        <w:tc>
          <w:tcPr>
            <w:tcW w:w="993" w:type="dxa"/>
            <w:vAlign w:val="center"/>
          </w:tcPr>
          <w:p w:rsidR="006B441E" w:rsidRPr="00247DCE" w:rsidRDefault="006B441E" w:rsidP="00C75CB0">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020914</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东兴鑫颐3个月滚动持有纯债C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247DCE">
              <w:rPr>
                <w:rFonts w:ascii="仿宋" w:eastAsia="仿宋" w:hAnsi="仿宋" w:hint="eastAsia"/>
                <w:color w:val="000000"/>
                <w:sz w:val="18"/>
                <w:szCs w:val="18"/>
              </w:rPr>
              <w:t>R2</w:t>
            </w:r>
          </w:p>
        </w:tc>
        <w:tc>
          <w:tcPr>
            <w:tcW w:w="993" w:type="dxa"/>
            <w:vAlign w:val="center"/>
          </w:tcPr>
          <w:p w:rsidR="006B441E" w:rsidRPr="00247DCE" w:rsidRDefault="006B441E" w:rsidP="00C75CB0">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6B441E" w:rsidRPr="007E2C3D" w:rsidTr="00C83926">
        <w:trPr>
          <w:trHeight w:val="321"/>
          <w:jc w:val="center"/>
        </w:trPr>
        <w:tc>
          <w:tcPr>
            <w:tcW w:w="1129"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021390</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东兴成长优选混合发起A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02139</w:t>
            </w:r>
            <w:r w:rsidR="005110BE">
              <w:rPr>
                <w:rFonts w:ascii="仿宋" w:eastAsia="仿宋" w:hAnsi="仿宋" w:hint="eastAsia"/>
                <w:color w:val="000000"/>
                <w:sz w:val="18"/>
                <w:szCs w:val="18"/>
              </w:rPr>
              <w:t>1</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东兴成长优选混合发起C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20830</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东兴医药生物量化选股混合A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20831</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东兴医药生物量化选股混合C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D81240">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20833</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东兴兴诚利率债A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shd w:val="clear" w:color="auto" w:fill="auto"/>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shd w:val="clear" w:color="auto" w:fill="auto"/>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247DCE">
              <w:rPr>
                <w:rFonts w:ascii="仿宋" w:eastAsia="仿宋" w:hAnsi="仿宋" w:hint="eastAsia"/>
                <w:color w:val="000000"/>
                <w:sz w:val="18"/>
                <w:szCs w:val="18"/>
              </w:rPr>
              <w:t>R2</w:t>
            </w:r>
          </w:p>
        </w:tc>
        <w:tc>
          <w:tcPr>
            <w:tcW w:w="993" w:type="dxa"/>
            <w:shd w:val="clear" w:color="auto" w:fill="auto"/>
            <w:vAlign w:val="center"/>
          </w:tcPr>
          <w:p w:rsidR="006B441E" w:rsidRPr="00247DCE" w:rsidRDefault="006B441E" w:rsidP="00C75CB0">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6B441E" w:rsidRPr="007E2C3D" w:rsidTr="00D81240">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20834</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东兴兴诚利率债C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shd w:val="clear" w:color="auto" w:fill="auto"/>
            <w:vAlign w:val="center"/>
          </w:tcPr>
          <w:p w:rsidR="006B441E" w:rsidRPr="006B441E" w:rsidRDefault="006B441E" w:rsidP="00C75CB0">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shd w:val="clear" w:color="auto" w:fill="auto"/>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247DCE">
              <w:rPr>
                <w:rFonts w:ascii="仿宋" w:eastAsia="仿宋" w:hAnsi="仿宋" w:hint="eastAsia"/>
                <w:color w:val="000000"/>
                <w:sz w:val="18"/>
                <w:szCs w:val="18"/>
              </w:rPr>
              <w:t>R2</w:t>
            </w:r>
          </w:p>
        </w:tc>
        <w:tc>
          <w:tcPr>
            <w:tcW w:w="993" w:type="dxa"/>
            <w:shd w:val="clear" w:color="auto" w:fill="auto"/>
            <w:vAlign w:val="center"/>
          </w:tcPr>
          <w:p w:rsidR="006B441E" w:rsidRPr="00247DCE" w:rsidRDefault="006B441E" w:rsidP="00C75CB0">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21812</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东兴宸泰量化选股混合发起A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21813</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东兴宸泰量化选股混合发起C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22157</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东兴红利优选混合A</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r w:rsidR="006B441E" w:rsidRPr="007E2C3D" w:rsidTr="00C83926">
        <w:trPr>
          <w:trHeight w:val="321"/>
          <w:jc w:val="center"/>
        </w:trPr>
        <w:tc>
          <w:tcPr>
            <w:tcW w:w="1129" w:type="dxa"/>
            <w:noWrap/>
            <w:vAlign w:val="center"/>
          </w:tcPr>
          <w:p w:rsidR="006B441E" w:rsidRPr="008F7F3A" w:rsidRDefault="0033433E" w:rsidP="00C75CB0">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006B441E" w:rsidRPr="008F7F3A">
              <w:rPr>
                <w:rFonts w:ascii="仿宋" w:eastAsia="仿宋" w:hAnsi="仿宋" w:hint="eastAsia"/>
                <w:color w:val="000000"/>
                <w:sz w:val="18"/>
                <w:szCs w:val="18"/>
              </w:rPr>
              <w:t>22158</w:t>
            </w:r>
          </w:p>
        </w:tc>
        <w:tc>
          <w:tcPr>
            <w:tcW w:w="2638"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东兴红利优选混合C</w:t>
            </w:r>
          </w:p>
        </w:tc>
        <w:tc>
          <w:tcPr>
            <w:tcW w:w="891" w:type="dxa"/>
            <w:noWrap/>
            <w:vAlign w:val="center"/>
          </w:tcPr>
          <w:p w:rsidR="006B441E" w:rsidRPr="008F7F3A" w:rsidRDefault="006B441E" w:rsidP="00C75CB0">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hint="eastAsia"/>
                <w:b/>
                <w:bCs/>
                <w:color w:val="000000"/>
                <w:sz w:val="18"/>
                <w:szCs w:val="18"/>
              </w:rPr>
              <w:t>R3</w:t>
            </w:r>
          </w:p>
        </w:tc>
        <w:tc>
          <w:tcPr>
            <w:tcW w:w="992" w:type="dxa"/>
            <w:shd w:val="clear" w:color="auto" w:fill="auto"/>
            <w:noWrap/>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R4</w:t>
            </w:r>
          </w:p>
        </w:tc>
        <w:tc>
          <w:tcPr>
            <w:tcW w:w="993" w:type="dxa"/>
            <w:shd w:val="clear" w:color="auto" w:fill="auto"/>
            <w:vAlign w:val="center"/>
          </w:tcPr>
          <w:p w:rsidR="006B441E" w:rsidRPr="00C83926" w:rsidRDefault="006B441E" w:rsidP="00C75CB0">
            <w:pPr>
              <w:widowControl/>
              <w:jc w:val="center"/>
              <w:rPr>
                <w:rFonts w:ascii="仿宋" w:eastAsia="仿宋" w:hAnsi="仿宋" w:cs="宋体"/>
                <w:b/>
                <w:bCs/>
                <w:color w:val="000000"/>
                <w:kern w:val="0"/>
                <w:sz w:val="18"/>
                <w:szCs w:val="18"/>
              </w:rPr>
            </w:pPr>
            <w:r w:rsidRPr="00C83926">
              <w:rPr>
                <w:rFonts w:ascii="仿宋" w:eastAsia="仿宋" w:hAnsi="仿宋" w:cs="宋体" w:hint="eastAsia"/>
                <w:b/>
                <w:bCs/>
                <w:color w:val="000000"/>
                <w:kern w:val="0"/>
                <w:sz w:val="18"/>
                <w:szCs w:val="18"/>
              </w:rPr>
              <w:t>下调</w:t>
            </w:r>
          </w:p>
        </w:tc>
      </w:tr>
    </w:tbl>
    <w:p w:rsidR="000755B3" w:rsidRPr="005C14F4" w:rsidRDefault="000755B3" w:rsidP="00A81E12">
      <w:pPr>
        <w:tabs>
          <w:tab w:val="left" w:pos="5103"/>
        </w:tabs>
        <w:autoSpaceDE w:val="0"/>
        <w:autoSpaceDN w:val="0"/>
        <w:adjustRightInd w:val="0"/>
        <w:jc w:val="left"/>
        <w:rPr>
          <w:rFonts w:ascii="仿宋" w:eastAsia="仿宋" w:hAnsi="仿宋" w:cs="仿宋"/>
          <w:kern w:val="0"/>
          <w:sz w:val="28"/>
          <w:szCs w:val="28"/>
        </w:rPr>
      </w:pPr>
    </w:p>
    <w:sectPr w:rsidR="000755B3" w:rsidRPr="005C14F4" w:rsidSect="001B6942">
      <w:pgSz w:w="11906" w:h="16838"/>
      <w:pgMar w:top="1440"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13" w:rsidRDefault="00CE5013" w:rsidP="00AC4228">
      <w:r>
        <w:separator/>
      </w:r>
    </w:p>
  </w:endnote>
  <w:endnote w:type="continuationSeparator" w:id="0">
    <w:p w:rsidR="00CE5013" w:rsidRDefault="00CE5013" w:rsidP="00AC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13" w:rsidRDefault="00CE5013" w:rsidP="00AC4228">
      <w:r>
        <w:separator/>
      </w:r>
    </w:p>
  </w:footnote>
  <w:footnote w:type="continuationSeparator" w:id="0">
    <w:p w:rsidR="00CE5013" w:rsidRDefault="00CE5013" w:rsidP="00AC4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683C"/>
    <w:multiLevelType w:val="hybridMultilevel"/>
    <w:tmpl w:val="BA7E0486"/>
    <w:lvl w:ilvl="0" w:tplc="3036FD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F3D"/>
    <w:rsid w:val="000003AF"/>
    <w:rsid w:val="0000409A"/>
    <w:rsid w:val="000046EB"/>
    <w:rsid w:val="00021FEF"/>
    <w:rsid w:val="00022260"/>
    <w:rsid w:val="00043B10"/>
    <w:rsid w:val="0004652C"/>
    <w:rsid w:val="0005357B"/>
    <w:rsid w:val="00070D9B"/>
    <w:rsid w:val="000755B3"/>
    <w:rsid w:val="00097141"/>
    <w:rsid w:val="000A0C6C"/>
    <w:rsid w:val="000B400B"/>
    <w:rsid w:val="000B7541"/>
    <w:rsid w:val="000C2C59"/>
    <w:rsid w:val="000C7781"/>
    <w:rsid w:val="000F5CE2"/>
    <w:rsid w:val="00101CAA"/>
    <w:rsid w:val="00152762"/>
    <w:rsid w:val="0015378B"/>
    <w:rsid w:val="00160575"/>
    <w:rsid w:val="001613C8"/>
    <w:rsid w:val="001707C7"/>
    <w:rsid w:val="00171303"/>
    <w:rsid w:val="001756CD"/>
    <w:rsid w:val="00183AE4"/>
    <w:rsid w:val="001A4FBD"/>
    <w:rsid w:val="001B6942"/>
    <w:rsid w:val="00217248"/>
    <w:rsid w:val="00237D64"/>
    <w:rsid w:val="0024747F"/>
    <w:rsid w:val="00275717"/>
    <w:rsid w:val="00281538"/>
    <w:rsid w:val="002958FC"/>
    <w:rsid w:val="002979CD"/>
    <w:rsid w:val="002A1AFA"/>
    <w:rsid w:val="002B1D62"/>
    <w:rsid w:val="002B2AB2"/>
    <w:rsid w:val="002D4352"/>
    <w:rsid w:val="002D66B2"/>
    <w:rsid w:val="002E171E"/>
    <w:rsid w:val="002E1DE7"/>
    <w:rsid w:val="002F2342"/>
    <w:rsid w:val="002F33C9"/>
    <w:rsid w:val="0030711F"/>
    <w:rsid w:val="003157F8"/>
    <w:rsid w:val="0031769E"/>
    <w:rsid w:val="0033433E"/>
    <w:rsid w:val="0034063B"/>
    <w:rsid w:val="0034570C"/>
    <w:rsid w:val="003457F5"/>
    <w:rsid w:val="00374BD5"/>
    <w:rsid w:val="003767C4"/>
    <w:rsid w:val="00385735"/>
    <w:rsid w:val="00397395"/>
    <w:rsid w:val="003A1EC3"/>
    <w:rsid w:val="003C2F48"/>
    <w:rsid w:val="003C6E9D"/>
    <w:rsid w:val="003D5013"/>
    <w:rsid w:val="003E195F"/>
    <w:rsid w:val="0044090D"/>
    <w:rsid w:val="004463E6"/>
    <w:rsid w:val="00451BB6"/>
    <w:rsid w:val="00451D96"/>
    <w:rsid w:val="004539FF"/>
    <w:rsid w:val="00453D19"/>
    <w:rsid w:val="00455841"/>
    <w:rsid w:val="00462D6F"/>
    <w:rsid w:val="00491E4E"/>
    <w:rsid w:val="004944EE"/>
    <w:rsid w:val="004A1EC7"/>
    <w:rsid w:val="004A5571"/>
    <w:rsid w:val="004A620F"/>
    <w:rsid w:val="004C1A65"/>
    <w:rsid w:val="004D0939"/>
    <w:rsid w:val="004D15A3"/>
    <w:rsid w:val="004E7075"/>
    <w:rsid w:val="005020AC"/>
    <w:rsid w:val="00504BCB"/>
    <w:rsid w:val="005110BE"/>
    <w:rsid w:val="00520AB2"/>
    <w:rsid w:val="00522F78"/>
    <w:rsid w:val="00526FC7"/>
    <w:rsid w:val="005277D8"/>
    <w:rsid w:val="005319DB"/>
    <w:rsid w:val="00532801"/>
    <w:rsid w:val="00532A6E"/>
    <w:rsid w:val="0053387B"/>
    <w:rsid w:val="00537376"/>
    <w:rsid w:val="00543C2E"/>
    <w:rsid w:val="00543FC1"/>
    <w:rsid w:val="00545DE9"/>
    <w:rsid w:val="005569C2"/>
    <w:rsid w:val="005579D8"/>
    <w:rsid w:val="00575866"/>
    <w:rsid w:val="005772AE"/>
    <w:rsid w:val="005924BE"/>
    <w:rsid w:val="0059576D"/>
    <w:rsid w:val="005A5E88"/>
    <w:rsid w:val="005B478D"/>
    <w:rsid w:val="005C14F4"/>
    <w:rsid w:val="005D5601"/>
    <w:rsid w:val="005E0998"/>
    <w:rsid w:val="005E14A0"/>
    <w:rsid w:val="005E7C84"/>
    <w:rsid w:val="00600D9F"/>
    <w:rsid w:val="00622BDE"/>
    <w:rsid w:val="00623068"/>
    <w:rsid w:val="00642E19"/>
    <w:rsid w:val="00647614"/>
    <w:rsid w:val="00662BCC"/>
    <w:rsid w:val="00665D3E"/>
    <w:rsid w:val="00674635"/>
    <w:rsid w:val="006A3330"/>
    <w:rsid w:val="006A43E7"/>
    <w:rsid w:val="006A7ED4"/>
    <w:rsid w:val="006B441E"/>
    <w:rsid w:val="006B533C"/>
    <w:rsid w:val="006C34FC"/>
    <w:rsid w:val="006C6571"/>
    <w:rsid w:val="006D5AB9"/>
    <w:rsid w:val="007017B2"/>
    <w:rsid w:val="0072597E"/>
    <w:rsid w:val="00732724"/>
    <w:rsid w:val="00745BD2"/>
    <w:rsid w:val="00750148"/>
    <w:rsid w:val="007526F4"/>
    <w:rsid w:val="00752EA8"/>
    <w:rsid w:val="0076219D"/>
    <w:rsid w:val="00763326"/>
    <w:rsid w:val="007657CB"/>
    <w:rsid w:val="00766F31"/>
    <w:rsid w:val="00776A15"/>
    <w:rsid w:val="0079096E"/>
    <w:rsid w:val="007962E5"/>
    <w:rsid w:val="007A78CF"/>
    <w:rsid w:val="007C04AA"/>
    <w:rsid w:val="007C5102"/>
    <w:rsid w:val="007C639D"/>
    <w:rsid w:val="007C6ADE"/>
    <w:rsid w:val="007E2C3D"/>
    <w:rsid w:val="007E6F4D"/>
    <w:rsid w:val="007F4391"/>
    <w:rsid w:val="00802435"/>
    <w:rsid w:val="0080365D"/>
    <w:rsid w:val="00812CB4"/>
    <w:rsid w:val="00820CE4"/>
    <w:rsid w:val="00820EF9"/>
    <w:rsid w:val="00826AB0"/>
    <w:rsid w:val="00834757"/>
    <w:rsid w:val="00836CAF"/>
    <w:rsid w:val="00837930"/>
    <w:rsid w:val="00843992"/>
    <w:rsid w:val="00846D27"/>
    <w:rsid w:val="0085591B"/>
    <w:rsid w:val="008641D8"/>
    <w:rsid w:val="00891AA8"/>
    <w:rsid w:val="00895214"/>
    <w:rsid w:val="008A35A1"/>
    <w:rsid w:val="008A6E73"/>
    <w:rsid w:val="008C4E76"/>
    <w:rsid w:val="008D162D"/>
    <w:rsid w:val="008F45BD"/>
    <w:rsid w:val="008F7F3A"/>
    <w:rsid w:val="009028BC"/>
    <w:rsid w:val="0091487D"/>
    <w:rsid w:val="00917E0B"/>
    <w:rsid w:val="0092223A"/>
    <w:rsid w:val="0093323A"/>
    <w:rsid w:val="009444EF"/>
    <w:rsid w:val="00956D79"/>
    <w:rsid w:val="009675E1"/>
    <w:rsid w:val="009A3B8E"/>
    <w:rsid w:val="009B2675"/>
    <w:rsid w:val="009B6D48"/>
    <w:rsid w:val="009C1F05"/>
    <w:rsid w:val="009D3BCC"/>
    <w:rsid w:val="009E286B"/>
    <w:rsid w:val="00A125FB"/>
    <w:rsid w:val="00A21D13"/>
    <w:rsid w:val="00A52BAE"/>
    <w:rsid w:val="00A532FD"/>
    <w:rsid w:val="00A53742"/>
    <w:rsid w:val="00A71F3D"/>
    <w:rsid w:val="00A76985"/>
    <w:rsid w:val="00A81E12"/>
    <w:rsid w:val="00A82303"/>
    <w:rsid w:val="00A86291"/>
    <w:rsid w:val="00AB590C"/>
    <w:rsid w:val="00AB5B85"/>
    <w:rsid w:val="00AC10EA"/>
    <w:rsid w:val="00AC4228"/>
    <w:rsid w:val="00AE051F"/>
    <w:rsid w:val="00AE1E0A"/>
    <w:rsid w:val="00AE2994"/>
    <w:rsid w:val="00B029DA"/>
    <w:rsid w:val="00B05FD6"/>
    <w:rsid w:val="00B17158"/>
    <w:rsid w:val="00B3087E"/>
    <w:rsid w:val="00B5123E"/>
    <w:rsid w:val="00B54260"/>
    <w:rsid w:val="00B625F5"/>
    <w:rsid w:val="00B71EAC"/>
    <w:rsid w:val="00B72823"/>
    <w:rsid w:val="00B95CCC"/>
    <w:rsid w:val="00BA5DB9"/>
    <w:rsid w:val="00BB105D"/>
    <w:rsid w:val="00BC1125"/>
    <w:rsid w:val="00BC3AB0"/>
    <w:rsid w:val="00BD13CA"/>
    <w:rsid w:val="00BE39F7"/>
    <w:rsid w:val="00BE7ACD"/>
    <w:rsid w:val="00BF20F5"/>
    <w:rsid w:val="00C0141B"/>
    <w:rsid w:val="00C13439"/>
    <w:rsid w:val="00C14AF4"/>
    <w:rsid w:val="00C31618"/>
    <w:rsid w:val="00C44D8D"/>
    <w:rsid w:val="00C73393"/>
    <w:rsid w:val="00C75AB3"/>
    <w:rsid w:val="00C75CB0"/>
    <w:rsid w:val="00C83926"/>
    <w:rsid w:val="00C963AF"/>
    <w:rsid w:val="00CC3612"/>
    <w:rsid w:val="00CC4A08"/>
    <w:rsid w:val="00CD26BC"/>
    <w:rsid w:val="00CD451C"/>
    <w:rsid w:val="00CE5013"/>
    <w:rsid w:val="00CE7A1A"/>
    <w:rsid w:val="00CF7668"/>
    <w:rsid w:val="00D079C7"/>
    <w:rsid w:val="00D1606E"/>
    <w:rsid w:val="00D32641"/>
    <w:rsid w:val="00D4160A"/>
    <w:rsid w:val="00D64708"/>
    <w:rsid w:val="00D72A58"/>
    <w:rsid w:val="00D72C55"/>
    <w:rsid w:val="00D81240"/>
    <w:rsid w:val="00DE436C"/>
    <w:rsid w:val="00DF2A97"/>
    <w:rsid w:val="00E24E02"/>
    <w:rsid w:val="00E3106D"/>
    <w:rsid w:val="00E31F15"/>
    <w:rsid w:val="00E36A48"/>
    <w:rsid w:val="00E370A0"/>
    <w:rsid w:val="00E5203A"/>
    <w:rsid w:val="00E52B37"/>
    <w:rsid w:val="00E639D7"/>
    <w:rsid w:val="00E729FE"/>
    <w:rsid w:val="00E90504"/>
    <w:rsid w:val="00E9216C"/>
    <w:rsid w:val="00EB431F"/>
    <w:rsid w:val="00EB47B3"/>
    <w:rsid w:val="00EC043D"/>
    <w:rsid w:val="00EC28C9"/>
    <w:rsid w:val="00ED4451"/>
    <w:rsid w:val="00EE0319"/>
    <w:rsid w:val="00EF127E"/>
    <w:rsid w:val="00EF6F22"/>
    <w:rsid w:val="00F2030E"/>
    <w:rsid w:val="00F23CA6"/>
    <w:rsid w:val="00F5735C"/>
    <w:rsid w:val="00F646A2"/>
    <w:rsid w:val="00F67E39"/>
    <w:rsid w:val="00F94B41"/>
    <w:rsid w:val="00FC6A19"/>
    <w:rsid w:val="00FD1B88"/>
    <w:rsid w:val="00FD3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319"/>
    <w:pPr>
      <w:ind w:firstLineChars="200" w:firstLine="420"/>
    </w:pPr>
  </w:style>
  <w:style w:type="paragraph" w:styleId="a4">
    <w:name w:val="Revision"/>
    <w:hidden/>
    <w:uiPriority w:val="99"/>
    <w:semiHidden/>
    <w:rsid w:val="004A620F"/>
  </w:style>
  <w:style w:type="paragraph" w:styleId="a5">
    <w:name w:val="header"/>
    <w:basedOn w:val="a"/>
    <w:link w:val="Char"/>
    <w:uiPriority w:val="99"/>
    <w:unhideWhenUsed/>
    <w:rsid w:val="00AC4228"/>
    <w:pPr>
      <w:tabs>
        <w:tab w:val="center" w:pos="4153"/>
        <w:tab w:val="right" w:pos="8306"/>
      </w:tabs>
      <w:snapToGrid w:val="0"/>
      <w:jc w:val="center"/>
    </w:pPr>
    <w:rPr>
      <w:sz w:val="18"/>
      <w:szCs w:val="18"/>
    </w:rPr>
  </w:style>
  <w:style w:type="character" w:customStyle="1" w:styleId="Char">
    <w:name w:val="页眉 Char"/>
    <w:basedOn w:val="a0"/>
    <w:link w:val="a5"/>
    <w:uiPriority w:val="99"/>
    <w:rsid w:val="00AC4228"/>
    <w:rPr>
      <w:sz w:val="18"/>
      <w:szCs w:val="18"/>
    </w:rPr>
  </w:style>
  <w:style w:type="paragraph" w:styleId="a6">
    <w:name w:val="footer"/>
    <w:basedOn w:val="a"/>
    <w:link w:val="Char0"/>
    <w:uiPriority w:val="99"/>
    <w:unhideWhenUsed/>
    <w:rsid w:val="00AC4228"/>
    <w:pPr>
      <w:tabs>
        <w:tab w:val="center" w:pos="4153"/>
        <w:tab w:val="right" w:pos="8306"/>
      </w:tabs>
      <w:snapToGrid w:val="0"/>
      <w:jc w:val="left"/>
    </w:pPr>
    <w:rPr>
      <w:sz w:val="18"/>
      <w:szCs w:val="18"/>
    </w:rPr>
  </w:style>
  <w:style w:type="character" w:customStyle="1" w:styleId="Char0">
    <w:name w:val="页脚 Char"/>
    <w:basedOn w:val="a0"/>
    <w:link w:val="a6"/>
    <w:uiPriority w:val="99"/>
    <w:rsid w:val="00AC4228"/>
    <w:rPr>
      <w:sz w:val="18"/>
      <w:szCs w:val="18"/>
    </w:rPr>
  </w:style>
  <w:style w:type="paragraph" w:styleId="a7">
    <w:name w:val="Date"/>
    <w:basedOn w:val="a"/>
    <w:next w:val="a"/>
    <w:link w:val="Char1"/>
    <w:uiPriority w:val="99"/>
    <w:semiHidden/>
    <w:unhideWhenUsed/>
    <w:rsid w:val="00CC3612"/>
    <w:pPr>
      <w:ind w:leftChars="2500" w:left="100"/>
    </w:pPr>
  </w:style>
  <w:style w:type="character" w:customStyle="1" w:styleId="Char1">
    <w:name w:val="日期 Char"/>
    <w:basedOn w:val="a0"/>
    <w:link w:val="a7"/>
    <w:uiPriority w:val="99"/>
    <w:semiHidden/>
    <w:rsid w:val="00CC3612"/>
  </w:style>
  <w:style w:type="table" w:styleId="a8">
    <w:name w:val="Table Grid"/>
    <w:basedOn w:val="a1"/>
    <w:uiPriority w:val="39"/>
    <w:rsid w:val="00317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263937">
      <w:bodyDiv w:val="1"/>
      <w:marLeft w:val="0"/>
      <w:marRight w:val="0"/>
      <w:marTop w:val="0"/>
      <w:marBottom w:val="0"/>
      <w:divBdr>
        <w:top w:val="none" w:sz="0" w:space="0" w:color="auto"/>
        <w:left w:val="none" w:sz="0" w:space="0" w:color="auto"/>
        <w:bottom w:val="none" w:sz="0" w:space="0" w:color="auto"/>
        <w:right w:val="none" w:sz="0" w:space="0" w:color="auto"/>
      </w:divBdr>
    </w:div>
    <w:div w:id="1093279539">
      <w:bodyDiv w:val="1"/>
      <w:marLeft w:val="0"/>
      <w:marRight w:val="0"/>
      <w:marTop w:val="0"/>
      <w:marBottom w:val="0"/>
      <w:divBdr>
        <w:top w:val="none" w:sz="0" w:space="0" w:color="auto"/>
        <w:left w:val="none" w:sz="0" w:space="0" w:color="auto"/>
        <w:bottom w:val="none" w:sz="0" w:space="0" w:color="auto"/>
        <w:right w:val="none" w:sz="0" w:space="0" w:color="auto"/>
      </w:divBdr>
    </w:div>
    <w:div w:id="1124422930">
      <w:bodyDiv w:val="1"/>
      <w:marLeft w:val="0"/>
      <w:marRight w:val="0"/>
      <w:marTop w:val="0"/>
      <w:marBottom w:val="0"/>
      <w:divBdr>
        <w:top w:val="none" w:sz="0" w:space="0" w:color="auto"/>
        <w:left w:val="none" w:sz="0" w:space="0" w:color="auto"/>
        <w:bottom w:val="none" w:sz="0" w:space="0" w:color="auto"/>
        <w:right w:val="none" w:sz="0" w:space="0" w:color="auto"/>
      </w:divBdr>
    </w:div>
    <w:div w:id="1198398514">
      <w:bodyDiv w:val="1"/>
      <w:marLeft w:val="0"/>
      <w:marRight w:val="0"/>
      <w:marTop w:val="0"/>
      <w:marBottom w:val="0"/>
      <w:divBdr>
        <w:top w:val="none" w:sz="0" w:space="0" w:color="auto"/>
        <w:left w:val="none" w:sz="0" w:space="0" w:color="auto"/>
        <w:bottom w:val="none" w:sz="0" w:space="0" w:color="auto"/>
        <w:right w:val="none" w:sz="0" w:space="0" w:color="auto"/>
      </w:divBdr>
    </w:div>
    <w:div w:id="1277908597">
      <w:bodyDiv w:val="1"/>
      <w:marLeft w:val="0"/>
      <w:marRight w:val="0"/>
      <w:marTop w:val="0"/>
      <w:marBottom w:val="0"/>
      <w:divBdr>
        <w:top w:val="none" w:sz="0" w:space="0" w:color="auto"/>
        <w:left w:val="none" w:sz="0" w:space="0" w:color="auto"/>
        <w:bottom w:val="none" w:sz="0" w:space="0" w:color="auto"/>
        <w:right w:val="none" w:sz="0" w:space="0" w:color="auto"/>
      </w:divBdr>
    </w:div>
    <w:div w:id="1612860978">
      <w:bodyDiv w:val="1"/>
      <w:marLeft w:val="0"/>
      <w:marRight w:val="0"/>
      <w:marTop w:val="0"/>
      <w:marBottom w:val="0"/>
      <w:divBdr>
        <w:top w:val="none" w:sz="0" w:space="0" w:color="auto"/>
        <w:left w:val="none" w:sz="0" w:space="0" w:color="auto"/>
        <w:bottom w:val="none" w:sz="0" w:space="0" w:color="auto"/>
        <w:right w:val="none" w:sz="0" w:space="0" w:color="auto"/>
      </w:divBdr>
    </w:div>
    <w:div w:id="1817061997">
      <w:bodyDiv w:val="1"/>
      <w:marLeft w:val="0"/>
      <w:marRight w:val="0"/>
      <w:marTop w:val="0"/>
      <w:marBottom w:val="0"/>
      <w:divBdr>
        <w:top w:val="none" w:sz="0" w:space="0" w:color="auto"/>
        <w:left w:val="none" w:sz="0" w:space="0" w:color="auto"/>
        <w:bottom w:val="none" w:sz="0" w:space="0" w:color="auto"/>
        <w:right w:val="none" w:sz="0" w:space="0" w:color="auto"/>
      </w:divBdr>
    </w:div>
    <w:div w:id="1852645886">
      <w:bodyDiv w:val="1"/>
      <w:marLeft w:val="0"/>
      <w:marRight w:val="0"/>
      <w:marTop w:val="0"/>
      <w:marBottom w:val="0"/>
      <w:divBdr>
        <w:top w:val="none" w:sz="0" w:space="0" w:color="auto"/>
        <w:left w:val="none" w:sz="0" w:space="0" w:color="auto"/>
        <w:bottom w:val="none" w:sz="0" w:space="0" w:color="auto"/>
        <w:right w:val="none" w:sz="0" w:space="0" w:color="auto"/>
      </w:divBdr>
    </w:div>
    <w:div w:id="19061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2738</Characters>
  <Application>Microsoft Office Word</Application>
  <DocSecurity>4</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陈莹</dc:creator>
  <cp:keywords/>
  <dc:description/>
  <cp:lastModifiedBy>ZHONGM</cp:lastModifiedBy>
  <cp:revision>2</cp:revision>
  <cp:lastPrinted>2023-07-19T05:02:00Z</cp:lastPrinted>
  <dcterms:created xsi:type="dcterms:W3CDTF">2025-05-09T16:00:00Z</dcterms:created>
  <dcterms:modified xsi:type="dcterms:W3CDTF">2025-05-09T16:00:00Z</dcterms:modified>
</cp:coreProperties>
</file>