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71765" w:rsidRDefault="00A71765" w:rsidP="00602C84">
      <w:pPr>
        <w:pStyle w:val="XBRL2"/>
        <w:spacing w:before="156"/>
        <w:rPr>
          <w:lang w:eastAsia="zh-CN"/>
        </w:rPr>
      </w:pPr>
      <w:bookmarkStart w:id="0" w:name="_Toc510201001"/>
      <w:bookmarkEnd w:id="0"/>
      <w:r>
        <w:rPr>
          <w:lang w:eastAsia="zh-CN"/>
        </w:rPr>
        <w:t xml:space="preserve">　</w:t>
      </w:r>
      <w:r>
        <w:rPr>
          <w:lang w:eastAsia="zh-CN"/>
        </w:rPr>
        <w:t xml:space="preserve"> </w:t>
      </w:r>
    </w:p>
    <w:p w:rsidR="00DD27F6" w:rsidRDefault="00DD27F6">
      <w:pPr>
        <w:jc w:val="center"/>
        <w:rPr>
          <w:rFonts w:cs="Times New Roman" w:hint="eastAsia"/>
          <w:b/>
          <w:sz w:val="48"/>
          <w:szCs w:val="48"/>
        </w:rPr>
      </w:pPr>
      <w:r>
        <w:rPr>
          <w:rFonts w:cs="Times New Roman" w:hint="eastAsia"/>
          <w:b/>
          <w:sz w:val="48"/>
          <w:szCs w:val="48"/>
        </w:rPr>
        <w:t>中</w:t>
      </w:r>
      <w:r w:rsidRPr="00DD27F6">
        <w:rPr>
          <w:rFonts w:cs="Times New Roman" w:hint="eastAsia"/>
          <w:b/>
          <w:sz w:val="48"/>
          <w:szCs w:val="48"/>
        </w:rPr>
        <w:t>金成长精选混合型证券投资基金</w:t>
      </w:r>
    </w:p>
    <w:p w:rsidR="0025626B" w:rsidRDefault="00DD27F6">
      <w:pPr>
        <w:jc w:val="center"/>
        <w:rPr>
          <w:rFonts w:cs="Times New Roman" w:hint="eastAsia"/>
          <w:b/>
          <w:sz w:val="48"/>
          <w:szCs w:val="48"/>
        </w:rPr>
      </w:pPr>
      <w:r w:rsidRPr="00DD27F6">
        <w:rPr>
          <w:rFonts w:cs="Times New Roman" w:hint="eastAsia"/>
          <w:b/>
          <w:sz w:val="48"/>
          <w:szCs w:val="48"/>
        </w:rPr>
        <w:t>暂停申购（包括转换转入、定期定额投资）业务的公告</w:t>
      </w:r>
    </w:p>
    <w:p w:rsidR="00A71765" w:rsidRDefault="00A71765">
      <w:pPr>
        <w:spacing w:line="560" w:lineRule="exact"/>
        <w:jc w:val="center"/>
        <w:rPr>
          <w:rFonts w:hint="eastAsia"/>
          <w:color w:val="000000"/>
          <w:kern w:val="0"/>
          <w:sz w:val="18"/>
        </w:rPr>
      </w:pPr>
      <w:r>
        <w:rPr>
          <w:rFonts w:hint="eastAsia"/>
          <w:color w:val="000000"/>
          <w:kern w:val="0"/>
          <w:sz w:val="18"/>
        </w:rPr>
        <w:t xml:space="preserve">　 </w:t>
      </w:r>
    </w:p>
    <w:p w:rsidR="00A71765" w:rsidRDefault="00A71765">
      <w:pPr>
        <w:spacing w:line="560" w:lineRule="exact"/>
        <w:jc w:val="center"/>
        <w:rPr>
          <w:rFonts w:hint="eastAsia"/>
          <w:color w:val="000000"/>
          <w:kern w:val="0"/>
          <w:sz w:val="18"/>
        </w:rPr>
      </w:pPr>
      <w:r>
        <w:rPr>
          <w:rFonts w:hint="eastAsia"/>
          <w:color w:val="000000"/>
          <w:kern w:val="0"/>
          <w:sz w:val="18"/>
        </w:rPr>
        <w:t xml:space="preserve">　 </w:t>
      </w:r>
    </w:p>
    <w:p w:rsidR="00A71765" w:rsidRDefault="00A71765">
      <w:pPr>
        <w:spacing w:line="560" w:lineRule="exact"/>
        <w:jc w:val="center"/>
        <w:rPr>
          <w:rFonts w:hint="eastAsia"/>
          <w:color w:val="000000"/>
          <w:kern w:val="0"/>
          <w:sz w:val="18"/>
        </w:rPr>
      </w:pPr>
      <w:r>
        <w:rPr>
          <w:rFonts w:hint="eastAsia"/>
          <w:color w:val="000000"/>
          <w:kern w:val="0"/>
          <w:sz w:val="18"/>
        </w:rPr>
        <w:t xml:space="preserve">　 </w:t>
      </w:r>
    </w:p>
    <w:p w:rsidR="00A71765" w:rsidRDefault="00A71765">
      <w:pPr>
        <w:spacing w:line="560" w:lineRule="exact"/>
        <w:jc w:val="center"/>
        <w:rPr>
          <w:rFonts w:hint="eastAsia"/>
          <w:color w:val="000000"/>
          <w:kern w:val="0"/>
          <w:sz w:val="18"/>
        </w:rPr>
      </w:pPr>
      <w:r>
        <w:rPr>
          <w:rFonts w:hint="eastAsia"/>
          <w:color w:val="000000"/>
          <w:kern w:val="0"/>
          <w:sz w:val="18"/>
        </w:rPr>
        <w:t xml:space="preserve">　 </w:t>
      </w:r>
    </w:p>
    <w:p w:rsidR="00A71765" w:rsidRDefault="00A71765">
      <w:pPr>
        <w:spacing w:line="560" w:lineRule="exact"/>
        <w:jc w:val="center"/>
        <w:rPr>
          <w:rFonts w:hint="eastAsia"/>
          <w:color w:val="000000"/>
          <w:kern w:val="0"/>
          <w:sz w:val="18"/>
        </w:rPr>
      </w:pPr>
      <w:r>
        <w:rPr>
          <w:rFonts w:hint="eastAsia"/>
          <w:color w:val="000000"/>
          <w:kern w:val="0"/>
          <w:sz w:val="18"/>
        </w:rPr>
        <w:t xml:space="preserve">　 </w:t>
      </w:r>
    </w:p>
    <w:p w:rsidR="00A71765" w:rsidRDefault="00A71765">
      <w:pPr>
        <w:spacing w:line="560" w:lineRule="exact"/>
        <w:jc w:val="center"/>
        <w:rPr>
          <w:rFonts w:hint="eastAsia"/>
          <w:color w:val="000000"/>
          <w:kern w:val="0"/>
          <w:sz w:val="18"/>
        </w:rPr>
      </w:pPr>
      <w:r>
        <w:rPr>
          <w:rFonts w:hint="eastAsia"/>
          <w:color w:val="000000"/>
          <w:kern w:val="0"/>
          <w:sz w:val="18"/>
        </w:rPr>
        <w:t xml:space="preserve">　 </w:t>
      </w:r>
    </w:p>
    <w:p w:rsidR="00A71765" w:rsidRDefault="00A71765">
      <w:pPr>
        <w:spacing w:line="560" w:lineRule="exact"/>
        <w:jc w:val="center"/>
        <w:rPr>
          <w:rFonts w:hint="eastAsia"/>
          <w:color w:val="000000"/>
          <w:kern w:val="0"/>
          <w:sz w:val="18"/>
        </w:rPr>
      </w:pPr>
      <w:r>
        <w:rPr>
          <w:rFonts w:hint="eastAsia"/>
          <w:color w:val="000000"/>
          <w:kern w:val="0"/>
          <w:sz w:val="18"/>
        </w:rPr>
        <w:t xml:space="preserve">　 </w:t>
      </w:r>
    </w:p>
    <w:p w:rsidR="00A71765" w:rsidRDefault="00A71765">
      <w:pPr>
        <w:spacing w:line="560" w:lineRule="exact"/>
        <w:jc w:val="center"/>
        <w:rPr>
          <w:rFonts w:hint="eastAsia"/>
          <w:color w:val="000000"/>
          <w:kern w:val="0"/>
          <w:sz w:val="18"/>
        </w:rPr>
      </w:pPr>
      <w:r>
        <w:rPr>
          <w:rFonts w:hint="eastAsia"/>
          <w:color w:val="000000"/>
          <w:kern w:val="0"/>
          <w:sz w:val="18"/>
        </w:rPr>
        <w:t xml:space="preserve">　 </w:t>
      </w:r>
    </w:p>
    <w:p w:rsidR="00A71765" w:rsidRDefault="00A71765">
      <w:pPr>
        <w:spacing w:line="560" w:lineRule="exact"/>
        <w:jc w:val="center"/>
        <w:rPr>
          <w:rFonts w:hint="eastAsia"/>
          <w:color w:val="000000"/>
          <w:kern w:val="0"/>
          <w:sz w:val="18"/>
        </w:rPr>
      </w:pPr>
      <w:r>
        <w:rPr>
          <w:rFonts w:hint="eastAsia"/>
          <w:color w:val="000000"/>
          <w:kern w:val="0"/>
          <w:sz w:val="18"/>
        </w:rPr>
        <w:t xml:space="preserve">　 </w:t>
      </w:r>
    </w:p>
    <w:p w:rsidR="00A71765" w:rsidRDefault="00A71765">
      <w:pPr>
        <w:spacing w:line="560" w:lineRule="exact"/>
        <w:jc w:val="center"/>
        <w:rPr>
          <w:rFonts w:hint="eastAsia"/>
          <w:color w:val="000000"/>
          <w:kern w:val="0"/>
          <w:sz w:val="18"/>
        </w:rPr>
      </w:pPr>
      <w:r>
        <w:rPr>
          <w:rFonts w:hint="eastAsia"/>
          <w:color w:val="000000"/>
          <w:kern w:val="0"/>
          <w:sz w:val="18"/>
        </w:rPr>
        <w:t xml:space="preserve">　 </w:t>
      </w:r>
    </w:p>
    <w:p w:rsidR="00A71765" w:rsidRDefault="00A71765">
      <w:pPr>
        <w:spacing w:line="560" w:lineRule="exact"/>
        <w:jc w:val="center"/>
        <w:rPr>
          <w:rFonts w:hint="eastAsia"/>
          <w:color w:val="000000"/>
          <w:kern w:val="0"/>
          <w:sz w:val="18"/>
        </w:rPr>
      </w:pPr>
      <w:r>
        <w:rPr>
          <w:rFonts w:hint="eastAsia"/>
          <w:color w:val="000000"/>
          <w:kern w:val="0"/>
          <w:sz w:val="18"/>
        </w:rPr>
        <w:t xml:space="preserve">　 </w:t>
      </w:r>
    </w:p>
    <w:p w:rsidR="00A71765" w:rsidRDefault="00A71765">
      <w:pPr>
        <w:spacing w:line="560" w:lineRule="exact"/>
        <w:jc w:val="center"/>
        <w:rPr>
          <w:rFonts w:hint="eastAsia"/>
          <w:color w:val="000000"/>
          <w:kern w:val="0"/>
          <w:sz w:val="18"/>
        </w:rPr>
      </w:pPr>
      <w:r>
        <w:rPr>
          <w:rFonts w:hint="eastAsia"/>
          <w:color w:val="000000"/>
          <w:kern w:val="0"/>
          <w:sz w:val="18"/>
        </w:rPr>
        <w:t xml:space="preserve">　 </w:t>
      </w:r>
    </w:p>
    <w:p w:rsidR="00A71765" w:rsidRDefault="00A71765">
      <w:pPr>
        <w:spacing w:line="560" w:lineRule="exact"/>
        <w:jc w:val="center"/>
        <w:rPr>
          <w:rFonts w:hint="eastAsia"/>
          <w:color w:val="000000"/>
          <w:kern w:val="0"/>
          <w:sz w:val="18"/>
        </w:rPr>
      </w:pPr>
      <w:r>
        <w:rPr>
          <w:rFonts w:hint="eastAsia"/>
          <w:color w:val="000000"/>
          <w:kern w:val="0"/>
          <w:sz w:val="18"/>
        </w:rPr>
        <w:t xml:space="preserve">　 </w:t>
      </w:r>
    </w:p>
    <w:p w:rsidR="00A71765" w:rsidRDefault="00A71765">
      <w:pPr>
        <w:spacing w:line="360" w:lineRule="auto"/>
        <w:jc w:val="center"/>
        <w:rPr>
          <w:rFonts w:hint="eastAsia"/>
        </w:rPr>
      </w:pPr>
      <w:r>
        <w:rPr>
          <w:rFonts w:hint="eastAsia"/>
          <w:b/>
          <w:bCs/>
          <w:sz w:val="24"/>
          <w:szCs w:val="30"/>
        </w:rPr>
        <w:t>公告送出日期：202</w:t>
      </w:r>
      <w:r w:rsidR="00DD27F6">
        <w:rPr>
          <w:rFonts w:hint="eastAsia"/>
          <w:b/>
          <w:bCs/>
          <w:sz w:val="24"/>
          <w:szCs w:val="30"/>
        </w:rPr>
        <w:t>5</w:t>
      </w:r>
      <w:r>
        <w:rPr>
          <w:rFonts w:hint="eastAsia"/>
          <w:b/>
          <w:bCs/>
          <w:sz w:val="24"/>
          <w:szCs w:val="30"/>
        </w:rPr>
        <w:t>年</w:t>
      </w:r>
      <w:r w:rsidR="00DD27F6">
        <w:rPr>
          <w:rFonts w:hint="eastAsia"/>
          <w:b/>
          <w:bCs/>
          <w:sz w:val="24"/>
          <w:szCs w:val="30"/>
        </w:rPr>
        <w:t>4</w:t>
      </w:r>
      <w:r>
        <w:rPr>
          <w:rFonts w:hint="eastAsia"/>
          <w:b/>
          <w:bCs/>
          <w:sz w:val="24"/>
          <w:szCs w:val="30"/>
        </w:rPr>
        <w:t>月</w:t>
      </w:r>
      <w:r w:rsidR="00180A04">
        <w:rPr>
          <w:rFonts w:hint="eastAsia"/>
          <w:b/>
          <w:bCs/>
          <w:sz w:val="24"/>
          <w:szCs w:val="30"/>
        </w:rPr>
        <w:t>30</w:t>
      </w:r>
      <w:r>
        <w:rPr>
          <w:rFonts w:hint="eastAsia"/>
          <w:b/>
          <w:bCs/>
          <w:sz w:val="24"/>
          <w:szCs w:val="30"/>
        </w:rPr>
        <w:t>日</w:t>
      </w:r>
    </w:p>
    <w:p w:rsidR="00A71765" w:rsidRDefault="00A71765" w:rsidP="00602C84">
      <w:pPr>
        <w:pStyle w:val="XBRLTitle1"/>
        <w:spacing w:before="156"/>
        <w:jc w:val="left"/>
        <w:rPr>
          <w:rFonts w:hint="eastAsia"/>
        </w:rPr>
      </w:pPr>
      <w:r>
        <w:rPr>
          <w:rFonts w:hint="eastAsia"/>
          <w:color w:val="404040"/>
          <w:kern w:val="0"/>
        </w:rPr>
        <w:br w:type="page"/>
      </w:r>
      <w:bookmarkStart w:id="1" w:name="_Toc17898178"/>
      <w:bookmarkStart w:id="2" w:name="_Toc17897936"/>
      <w:bookmarkStart w:id="3" w:name="_Toc512519480"/>
      <w:bookmarkStart w:id="4" w:name="_Toc481075046"/>
      <w:bookmarkStart w:id="5" w:name="_Toc438646451"/>
      <w:bookmarkStart w:id="6" w:name="_Toc490050000"/>
      <w:bookmarkStart w:id="7" w:name="_Toc513295846"/>
      <w:bookmarkStart w:id="8" w:name="_Toc513295892"/>
      <w:bookmarkStart w:id="9" w:name="_Toc34322059"/>
      <w:bookmarkStart w:id="10" w:name="m101"/>
      <w:bookmarkStart w:id="11" w:name="m01_01"/>
      <w:bookmarkStart w:id="12" w:name="_Toc194311890"/>
      <w:r>
        <w:rPr>
          <w:rFonts w:hint="eastAsia"/>
          <w:szCs w:val="24"/>
        </w:rPr>
        <w:lastRenderedPageBreak/>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bookmarkEnd w:id="11"/>
      <w:bookmarkEnd w:id="12"/>
    </w:p>
    <w:tbl>
      <w:tblPr>
        <w:tblW w:w="8475"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tblPr>
      <w:tblGrid>
        <w:gridCol w:w="1349"/>
        <w:gridCol w:w="1196"/>
        <w:gridCol w:w="2965"/>
        <w:gridCol w:w="2965"/>
      </w:tblGrid>
      <w:tr w:rsidR="00A71765" w:rsidTr="00602C84">
        <w:tc>
          <w:tcPr>
            <w:tcW w:w="37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71765" w:rsidRDefault="00A71765">
            <w:r w:rsidRPr="00602C84">
              <w:rPr>
                <w:rFonts w:ascii="Calibri" w:hAnsi="Calibri" w:hint="eastAsia"/>
              </w:rPr>
              <w:t>基金名称</w:t>
            </w:r>
          </w:p>
        </w:tc>
        <w:tc>
          <w:tcPr>
            <w:tcW w:w="46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71765" w:rsidRDefault="00DD27F6">
            <w:r>
              <w:rPr>
                <w:rFonts w:hint="eastAsia"/>
              </w:rPr>
              <w:t>中金成长精选混合型证券投资基金</w:t>
            </w:r>
          </w:p>
        </w:tc>
      </w:tr>
      <w:tr w:rsidR="00A71765" w:rsidTr="00602C84">
        <w:tc>
          <w:tcPr>
            <w:tcW w:w="37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71765" w:rsidRDefault="00A71765">
            <w:r w:rsidRPr="00602C84">
              <w:rPr>
                <w:rFonts w:hint="eastAsia"/>
              </w:rPr>
              <w:t xml:space="preserve">基金简称 </w:t>
            </w:r>
          </w:p>
        </w:tc>
        <w:tc>
          <w:tcPr>
            <w:tcW w:w="46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71765" w:rsidRDefault="00DD27F6">
            <w:r>
              <w:rPr>
                <w:rFonts w:hint="eastAsia"/>
              </w:rPr>
              <w:t>中金成长精选</w:t>
            </w:r>
          </w:p>
        </w:tc>
      </w:tr>
      <w:tr w:rsidR="00A71765" w:rsidTr="00602C84">
        <w:tc>
          <w:tcPr>
            <w:tcW w:w="37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71765" w:rsidRDefault="00A71765">
            <w:r w:rsidRPr="00602C84">
              <w:rPr>
                <w:rFonts w:hint="eastAsia"/>
              </w:rPr>
              <w:t xml:space="preserve">基金主代码 </w:t>
            </w:r>
          </w:p>
        </w:tc>
        <w:tc>
          <w:tcPr>
            <w:tcW w:w="46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71765" w:rsidRDefault="0008775D">
            <w:r>
              <w:rPr>
                <w:rFonts w:hint="eastAsia"/>
              </w:rPr>
              <w:t>010951</w:t>
            </w:r>
          </w:p>
        </w:tc>
      </w:tr>
      <w:tr w:rsidR="00A71765" w:rsidTr="00602C84">
        <w:tc>
          <w:tcPr>
            <w:tcW w:w="37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71765" w:rsidRDefault="00A71765">
            <w:r w:rsidRPr="00602C84">
              <w:rPr>
                <w:rFonts w:ascii="Calibri" w:hAnsi="Calibri" w:hint="eastAsia"/>
              </w:rPr>
              <w:t>基金管理人名称</w:t>
            </w:r>
          </w:p>
        </w:tc>
        <w:tc>
          <w:tcPr>
            <w:tcW w:w="46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71765" w:rsidRDefault="00A71765">
            <w:r w:rsidRPr="00602C84">
              <w:rPr>
                <w:rFonts w:hint="eastAsia"/>
              </w:rPr>
              <w:t>中金基金管理有限公司</w:t>
            </w:r>
          </w:p>
        </w:tc>
      </w:tr>
      <w:tr w:rsidR="00A71765" w:rsidTr="00602C84">
        <w:tc>
          <w:tcPr>
            <w:tcW w:w="37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71765" w:rsidRDefault="00A71765">
            <w:r w:rsidRPr="00602C84">
              <w:rPr>
                <w:rFonts w:ascii="Calibri" w:hAnsi="Calibri" w:hint="eastAsia"/>
              </w:rPr>
              <w:t>公告依据</w:t>
            </w:r>
          </w:p>
        </w:tc>
        <w:tc>
          <w:tcPr>
            <w:tcW w:w="46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71765" w:rsidRDefault="00A71765">
            <w:r w:rsidRPr="00602C84">
              <w:rPr>
                <w:rFonts w:hint="eastAsia"/>
              </w:rPr>
              <w:t>《中华人民共和国证券投资基金法》、《公开募集证券投资基金信息披露管理办法》等相关法律法规及《</w:t>
            </w:r>
            <w:r w:rsidR="00DD27F6">
              <w:rPr>
                <w:rFonts w:hint="eastAsia"/>
              </w:rPr>
              <w:t>中金成长精选混合型证券投资基金</w:t>
            </w:r>
            <w:r w:rsidRPr="00602C84">
              <w:rPr>
                <w:rFonts w:hint="eastAsia"/>
              </w:rPr>
              <w:t>基金合同》、《</w:t>
            </w:r>
            <w:r w:rsidR="00DD27F6">
              <w:rPr>
                <w:rFonts w:hint="eastAsia"/>
              </w:rPr>
              <w:t>中金成长精选混合型证券投资基金</w:t>
            </w:r>
            <w:r w:rsidRPr="00602C84">
              <w:rPr>
                <w:rFonts w:hint="eastAsia"/>
              </w:rPr>
              <w:t>招募说明书》及其更新</w:t>
            </w:r>
          </w:p>
        </w:tc>
      </w:tr>
      <w:tr w:rsidR="00A71765" w:rsidTr="00602C84">
        <w:tc>
          <w:tcPr>
            <w:tcW w:w="20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71765" w:rsidRDefault="00A71765">
            <w:r w:rsidRPr="00602C84">
              <w:rPr>
                <w:rFonts w:ascii="Calibri" w:hAnsi="Calibri" w:hint="eastAsia"/>
              </w:rPr>
              <w:t>暂停相关业务的起始日、金额及原因说明</w:t>
            </w:r>
          </w:p>
        </w:tc>
        <w:tc>
          <w:tcPr>
            <w:tcW w:w="1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71765" w:rsidRDefault="00A71765">
            <w:r w:rsidRPr="00602C84">
              <w:rPr>
                <w:rFonts w:ascii="Calibri" w:hAnsi="Calibri" w:hint="eastAsia"/>
              </w:rPr>
              <w:t>暂停申购起始日</w:t>
            </w:r>
          </w:p>
        </w:tc>
        <w:tc>
          <w:tcPr>
            <w:tcW w:w="46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71765" w:rsidRDefault="00D41CFA">
            <w:r>
              <w:rPr>
                <w:rFonts w:hint="eastAsia"/>
              </w:rPr>
              <w:t>2025年4月30日</w:t>
            </w:r>
          </w:p>
        </w:tc>
      </w:tr>
      <w:tr w:rsidR="00A71765" w:rsidTr="00602C84">
        <w:tc>
          <w:tcPr>
            <w:tcW w:w="3795" w:type="dxa"/>
            <w:vMerge/>
            <w:tcBorders>
              <w:top w:val="single" w:sz="4" w:space="0" w:color="000000"/>
              <w:left w:val="single" w:sz="4" w:space="0" w:color="000000"/>
              <w:bottom w:val="single" w:sz="4" w:space="0" w:color="000000"/>
              <w:right w:val="single" w:sz="4" w:space="0" w:color="000000"/>
            </w:tcBorders>
            <w:vAlign w:val="center"/>
            <w:hideMark/>
          </w:tcPr>
          <w:p w:rsidR="00A71765" w:rsidRDefault="00A71765">
            <w:pPr>
              <w:widowControl/>
              <w:jc w:val="left"/>
            </w:pPr>
          </w:p>
        </w:tc>
        <w:tc>
          <w:tcPr>
            <w:tcW w:w="1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71765" w:rsidRDefault="00A71765">
            <w:r w:rsidRPr="00602C84">
              <w:rPr>
                <w:rFonts w:ascii="Calibri" w:hAnsi="Calibri" w:hint="eastAsia"/>
              </w:rPr>
              <w:t>暂停转换转入起始日</w:t>
            </w:r>
          </w:p>
        </w:tc>
        <w:tc>
          <w:tcPr>
            <w:tcW w:w="46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71765" w:rsidRDefault="00D41CFA">
            <w:r>
              <w:rPr>
                <w:rFonts w:hint="eastAsia"/>
              </w:rPr>
              <w:t>2025年4月30日</w:t>
            </w:r>
          </w:p>
        </w:tc>
      </w:tr>
      <w:tr w:rsidR="00A71765" w:rsidTr="00602C84">
        <w:tc>
          <w:tcPr>
            <w:tcW w:w="3795" w:type="dxa"/>
            <w:vMerge/>
            <w:tcBorders>
              <w:top w:val="single" w:sz="4" w:space="0" w:color="000000"/>
              <w:left w:val="single" w:sz="4" w:space="0" w:color="000000"/>
              <w:bottom w:val="single" w:sz="4" w:space="0" w:color="000000"/>
              <w:right w:val="single" w:sz="4" w:space="0" w:color="000000"/>
            </w:tcBorders>
            <w:vAlign w:val="center"/>
            <w:hideMark/>
          </w:tcPr>
          <w:p w:rsidR="00A71765" w:rsidRDefault="00A71765">
            <w:pPr>
              <w:widowControl/>
              <w:jc w:val="left"/>
            </w:pPr>
          </w:p>
        </w:tc>
        <w:tc>
          <w:tcPr>
            <w:tcW w:w="1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71765" w:rsidRDefault="00A71765">
            <w:r w:rsidRPr="00602C84">
              <w:rPr>
                <w:rFonts w:ascii="Calibri" w:hAnsi="Calibri" w:hint="eastAsia"/>
              </w:rPr>
              <w:t>暂停定期定额投资起始日</w:t>
            </w:r>
          </w:p>
        </w:tc>
        <w:tc>
          <w:tcPr>
            <w:tcW w:w="46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71765" w:rsidRDefault="00D41CFA">
            <w:r>
              <w:rPr>
                <w:rFonts w:hint="eastAsia"/>
              </w:rPr>
              <w:t>2025年4月30日</w:t>
            </w:r>
          </w:p>
        </w:tc>
      </w:tr>
      <w:tr w:rsidR="00A71765" w:rsidTr="00602C84">
        <w:tc>
          <w:tcPr>
            <w:tcW w:w="3795" w:type="dxa"/>
            <w:vMerge/>
            <w:tcBorders>
              <w:top w:val="single" w:sz="4" w:space="0" w:color="000000"/>
              <w:left w:val="single" w:sz="4" w:space="0" w:color="000000"/>
              <w:bottom w:val="single" w:sz="4" w:space="0" w:color="000000"/>
              <w:right w:val="single" w:sz="4" w:space="0" w:color="000000"/>
            </w:tcBorders>
            <w:vAlign w:val="center"/>
            <w:hideMark/>
          </w:tcPr>
          <w:p w:rsidR="00A71765" w:rsidRDefault="00A71765">
            <w:pPr>
              <w:widowControl/>
              <w:jc w:val="left"/>
            </w:pPr>
          </w:p>
        </w:tc>
        <w:tc>
          <w:tcPr>
            <w:tcW w:w="1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71765" w:rsidRDefault="00A71765">
            <w:r w:rsidRPr="00602C84">
              <w:rPr>
                <w:rFonts w:ascii="Calibri" w:hAnsi="Calibri" w:hint="eastAsia"/>
              </w:rPr>
              <w:t>暂停申购、转换转入、定期定额投资的原因说明</w:t>
            </w:r>
          </w:p>
        </w:tc>
        <w:tc>
          <w:tcPr>
            <w:tcW w:w="4680" w:type="dxa"/>
            <w:gridSpan w:val="2"/>
            <w:tcBorders>
              <w:top w:val="single" w:sz="4" w:space="0" w:color="000000"/>
              <w:left w:val="single" w:sz="4" w:space="0" w:color="000000"/>
              <w:bottom w:val="outset" w:sz="4" w:space="0" w:color="000000"/>
              <w:right w:val="single" w:sz="4" w:space="0" w:color="000000"/>
            </w:tcBorders>
            <w:tcMar>
              <w:top w:w="0" w:type="dxa"/>
              <w:left w:w="108" w:type="dxa"/>
              <w:bottom w:w="0" w:type="dxa"/>
              <w:right w:w="108" w:type="dxa"/>
            </w:tcMar>
            <w:vAlign w:val="center"/>
            <w:hideMark/>
          </w:tcPr>
          <w:p w:rsidR="00A71765" w:rsidRDefault="00A71765">
            <w:r w:rsidRPr="00602C84">
              <w:rPr>
                <w:rFonts w:hint="eastAsia"/>
              </w:rPr>
              <w:t>为保护</w:t>
            </w:r>
            <w:r w:rsidR="00DD27F6">
              <w:rPr>
                <w:rFonts w:hint="eastAsia"/>
              </w:rPr>
              <w:t>中金成长精选混合型证券投资基金</w:t>
            </w:r>
            <w:r w:rsidRPr="00602C84">
              <w:rPr>
                <w:rFonts w:hint="eastAsia"/>
              </w:rPr>
              <w:t>份额持有人的利益</w:t>
            </w:r>
          </w:p>
        </w:tc>
      </w:tr>
      <w:tr w:rsidR="00A71765" w:rsidTr="00602C84">
        <w:tc>
          <w:tcPr>
            <w:tcW w:w="37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71765" w:rsidRDefault="00A71765">
            <w:r w:rsidRPr="00602C84">
              <w:rPr>
                <w:rFonts w:ascii="Calibri" w:hAnsi="Calibri" w:hint="eastAsia"/>
              </w:rPr>
              <w:t>下属分级基金的基金简称</w:t>
            </w:r>
          </w:p>
        </w:tc>
        <w:tc>
          <w:tcPr>
            <w:tcW w:w="4680" w:type="dxa"/>
            <w:tcBorders>
              <w:top w:val="outset" w:sz="4" w:space="0" w:color="000000"/>
              <w:left w:val="single" w:sz="4" w:space="0" w:color="000000"/>
              <w:bottom w:val="outset" w:sz="4" w:space="0" w:color="000000"/>
              <w:right w:val="single" w:sz="4" w:space="0" w:color="auto"/>
            </w:tcBorders>
            <w:vAlign w:val="center"/>
            <w:hideMark/>
          </w:tcPr>
          <w:p w:rsidR="00A71765" w:rsidRDefault="00A71765">
            <w:r w:rsidRPr="00602C84">
              <w:rPr>
                <w:rFonts w:hint="eastAsia"/>
              </w:rPr>
              <w:t>中金</w:t>
            </w:r>
            <w:r w:rsidR="005771E3">
              <w:rPr>
                <w:rFonts w:hint="eastAsia"/>
              </w:rPr>
              <w:t>成长精选</w:t>
            </w:r>
            <w:r w:rsidRPr="00602C84">
              <w:rPr>
                <w:rFonts w:hint="eastAsia"/>
              </w:rPr>
              <w:t>A</w:t>
            </w:r>
          </w:p>
        </w:tc>
        <w:tc>
          <w:tcPr>
            <w:tcW w:w="4680" w:type="dxa"/>
            <w:tcBorders>
              <w:top w:val="outset" w:sz="4" w:space="0" w:color="000000"/>
              <w:left w:val="single" w:sz="4" w:space="0" w:color="000000"/>
              <w:bottom w:val="outset" w:sz="4" w:space="0" w:color="000000"/>
              <w:right w:val="single" w:sz="4" w:space="0" w:color="auto"/>
            </w:tcBorders>
            <w:vAlign w:val="center"/>
            <w:hideMark/>
          </w:tcPr>
          <w:p w:rsidR="00A71765" w:rsidRDefault="00A71765">
            <w:r w:rsidRPr="00602C84">
              <w:rPr>
                <w:rFonts w:hint="eastAsia"/>
              </w:rPr>
              <w:t>中金</w:t>
            </w:r>
            <w:r w:rsidR="005771E3">
              <w:rPr>
                <w:rFonts w:hint="eastAsia"/>
              </w:rPr>
              <w:t>成长精选</w:t>
            </w:r>
            <w:r w:rsidRPr="00602C84">
              <w:rPr>
                <w:rFonts w:hint="eastAsia"/>
              </w:rPr>
              <w:t>C</w:t>
            </w:r>
          </w:p>
        </w:tc>
      </w:tr>
      <w:tr w:rsidR="00A71765" w:rsidTr="00602C84">
        <w:tc>
          <w:tcPr>
            <w:tcW w:w="37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71765" w:rsidRDefault="00A71765">
            <w:r w:rsidRPr="00602C84">
              <w:rPr>
                <w:rFonts w:ascii="Calibri" w:hAnsi="Calibri" w:hint="eastAsia"/>
              </w:rPr>
              <w:t>下属分级基金的交易代码</w:t>
            </w:r>
          </w:p>
        </w:tc>
        <w:tc>
          <w:tcPr>
            <w:tcW w:w="4680" w:type="dxa"/>
            <w:tcBorders>
              <w:top w:val="outset" w:sz="4" w:space="0" w:color="000000"/>
              <w:left w:val="single" w:sz="4" w:space="0" w:color="000000"/>
              <w:bottom w:val="outset" w:sz="4" w:space="0" w:color="000000"/>
              <w:right w:val="single" w:sz="4" w:space="0" w:color="auto"/>
            </w:tcBorders>
            <w:vAlign w:val="center"/>
            <w:hideMark/>
          </w:tcPr>
          <w:p w:rsidR="00A71765" w:rsidRDefault="005771E3">
            <w:r>
              <w:rPr>
                <w:rFonts w:hint="eastAsia"/>
              </w:rPr>
              <w:t>010951</w:t>
            </w:r>
          </w:p>
        </w:tc>
        <w:tc>
          <w:tcPr>
            <w:tcW w:w="4680" w:type="dxa"/>
            <w:tcBorders>
              <w:top w:val="outset" w:sz="4" w:space="0" w:color="000000"/>
              <w:left w:val="single" w:sz="4" w:space="0" w:color="000000"/>
              <w:bottom w:val="outset" w:sz="4" w:space="0" w:color="000000"/>
              <w:right w:val="single" w:sz="4" w:space="0" w:color="auto"/>
            </w:tcBorders>
            <w:vAlign w:val="center"/>
            <w:hideMark/>
          </w:tcPr>
          <w:p w:rsidR="00A71765" w:rsidRDefault="005771E3">
            <w:r>
              <w:rPr>
                <w:rFonts w:hint="eastAsia"/>
              </w:rPr>
              <w:t>010952</w:t>
            </w:r>
          </w:p>
        </w:tc>
      </w:tr>
      <w:tr w:rsidR="00A71765" w:rsidTr="00602C84">
        <w:tc>
          <w:tcPr>
            <w:tcW w:w="37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71765" w:rsidRDefault="00A71765">
            <w:r w:rsidRPr="00602C84">
              <w:rPr>
                <w:rFonts w:ascii="Calibri" w:hAnsi="Calibri" w:hint="eastAsia"/>
              </w:rPr>
              <w:t>该分级基金是否暂停申购、转换转入、定期定额投资</w:t>
            </w:r>
          </w:p>
        </w:tc>
        <w:tc>
          <w:tcPr>
            <w:tcW w:w="4680" w:type="dxa"/>
            <w:tcBorders>
              <w:top w:val="outset" w:sz="4" w:space="0" w:color="000000"/>
              <w:left w:val="single" w:sz="4" w:space="0" w:color="000000"/>
              <w:bottom w:val="outset" w:sz="4" w:space="0" w:color="000000"/>
              <w:right w:val="single" w:sz="4" w:space="0" w:color="auto"/>
            </w:tcBorders>
            <w:vAlign w:val="center"/>
            <w:hideMark/>
          </w:tcPr>
          <w:p w:rsidR="00A71765" w:rsidRDefault="00A71765">
            <w:r w:rsidRPr="00602C84">
              <w:rPr>
                <w:rFonts w:hint="eastAsia"/>
              </w:rPr>
              <w:t>是</w:t>
            </w:r>
          </w:p>
        </w:tc>
        <w:tc>
          <w:tcPr>
            <w:tcW w:w="4680" w:type="dxa"/>
            <w:tcBorders>
              <w:top w:val="outset" w:sz="4" w:space="0" w:color="000000"/>
              <w:left w:val="single" w:sz="4" w:space="0" w:color="000000"/>
              <w:bottom w:val="outset" w:sz="4" w:space="0" w:color="000000"/>
              <w:right w:val="single" w:sz="4" w:space="0" w:color="auto"/>
            </w:tcBorders>
            <w:vAlign w:val="center"/>
            <w:hideMark/>
          </w:tcPr>
          <w:p w:rsidR="00A71765" w:rsidRDefault="00A71765">
            <w:r w:rsidRPr="00602C84">
              <w:rPr>
                <w:rFonts w:hint="eastAsia"/>
              </w:rPr>
              <w:t>是</w:t>
            </w:r>
          </w:p>
        </w:tc>
      </w:tr>
    </w:tbl>
    <w:p w:rsidR="00A71765" w:rsidRDefault="00A71765" w:rsidP="00602C84">
      <w:pPr>
        <w:pStyle w:val="XBRLTitle1"/>
        <w:spacing w:before="156" w:line="360" w:lineRule="auto"/>
        <w:jc w:val="left"/>
        <w:rPr>
          <w:rFonts w:hint="eastAsia"/>
        </w:rPr>
      </w:pPr>
      <w:bookmarkStart w:id="13" w:name="_Toc17898228"/>
      <w:bookmarkStart w:id="14" w:name="_Toc17897969"/>
      <w:bookmarkStart w:id="15" w:name="_Toc512519529"/>
      <w:bookmarkStart w:id="16" w:name="_Toc490050049"/>
      <w:bookmarkStart w:id="17" w:name="_Toc481075097"/>
      <w:bookmarkStart w:id="18" w:name="_Toc438646481"/>
      <w:bookmarkStart w:id="19" w:name="_Toc513295878"/>
      <w:bookmarkStart w:id="20" w:name="_Toc513295941"/>
      <w:bookmarkStart w:id="21" w:name="_Toc34322063"/>
      <w:bookmarkStart w:id="22" w:name="m201_01"/>
      <w:r>
        <w:rPr>
          <w:rFonts w:hAnsi="宋体" w:hint="eastAsia"/>
          <w:szCs w:val="24"/>
        </w:rPr>
        <w:t>其他需要提示的事项</w:t>
      </w:r>
      <w:bookmarkEnd w:id="13"/>
      <w:bookmarkEnd w:id="14"/>
      <w:bookmarkEnd w:id="15"/>
      <w:bookmarkEnd w:id="16"/>
      <w:bookmarkEnd w:id="17"/>
      <w:bookmarkEnd w:id="18"/>
      <w:bookmarkEnd w:id="19"/>
      <w:bookmarkEnd w:id="20"/>
      <w:bookmarkEnd w:id="21"/>
      <w:r>
        <w:rPr>
          <w:rFonts w:hAnsi="宋体" w:hint="eastAsia"/>
          <w:szCs w:val="24"/>
        </w:rPr>
        <w:t xml:space="preserve"> </w:t>
      </w:r>
    </w:p>
    <w:p w:rsidR="00B51066" w:rsidRDefault="00A71765" w:rsidP="00AD2380">
      <w:pPr>
        <w:spacing w:line="360" w:lineRule="auto"/>
        <w:ind w:firstLineChars="200" w:firstLine="420"/>
        <w:rPr>
          <w:rFonts w:hint="eastAsia"/>
          <w:szCs w:val="21"/>
        </w:rPr>
      </w:pPr>
      <w:r>
        <w:rPr>
          <w:rFonts w:hint="eastAsia"/>
          <w:szCs w:val="21"/>
        </w:rPr>
        <w:t>1）为保护投资者利益，根据法律法规和基金合同的规定，本公司决定自</w:t>
      </w:r>
      <w:r w:rsidR="00D41CFA">
        <w:rPr>
          <w:rFonts w:hint="eastAsia"/>
          <w:szCs w:val="21"/>
        </w:rPr>
        <w:t>2025年4月30日</w:t>
      </w:r>
      <w:r>
        <w:rPr>
          <w:rFonts w:hint="eastAsia"/>
          <w:szCs w:val="21"/>
        </w:rPr>
        <w:t>起暂停接受本基金的申购、转换转入和定期定额投资业务。</w:t>
      </w:r>
      <w:r>
        <w:rPr>
          <w:rFonts w:hint="eastAsia"/>
          <w:szCs w:val="21"/>
        </w:rPr>
        <w:br/>
        <w:t xml:space="preserve">　　2）本基金转换为其他基金的转换业务、赎回业务等其他业务仍照常办理。 　　</w:t>
      </w:r>
      <w:r>
        <w:rPr>
          <w:rFonts w:hint="eastAsia"/>
          <w:szCs w:val="21"/>
        </w:rPr>
        <w:br/>
        <w:t xml:space="preserve">　　3）投资人可以登录本基金管理人网站（www.ciccfund.com）或拨打客户服务电话400-868-1166咨询相关信息。　　　　</w:t>
      </w:r>
      <w:r>
        <w:rPr>
          <w:rFonts w:hint="eastAsia"/>
          <w:szCs w:val="21"/>
        </w:rPr>
        <w:br/>
        <w:t xml:space="preserve">　　</w:t>
      </w:r>
    </w:p>
    <w:p w:rsidR="00E82EF8" w:rsidRDefault="00A71765" w:rsidP="00AD2380">
      <w:pPr>
        <w:spacing w:line="360" w:lineRule="auto"/>
        <w:ind w:firstLineChars="200" w:firstLine="420"/>
        <w:rPr>
          <w:rFonts w:hint="eastAsia"/>
          <w:szCs w:val="21"/>
        </w:rPr>
      </w:pPr>
      <w:r>
        <w:rPr>
          <w:rFonts w:hint="eastAsia"/>
          <w:szCs w:val="21"/>
        </w:rPr>
        <w:t xml:space="preserve">风险提示：基金管理人承诺以诚实信用、勤勉尽责的原则管理和运用基金资产，但不保证基金一定盈利，也不保证最低收益。投资者投资于基金前应认真阅读基金的基金合同和招募说明书等法律文件，了解所投资基金的风险收益特征，并根据自身情况投资与本人风险承受能力相匹配的产品。敬请投资者注意投资风险。 </w:t>
      </w:r>
      <w:r>
        <w:rPr>
          <w:rFonts w:hint="eastAsia"/>
          <w:szCs w:val="21"/>
        </w:rPr>
        <w:br/>
      </w:r>
      <w:r>
        <w:rPr>
          <w:rFonts w:hint="eastAsia"/>
          <w:szCs w:val="21"/>
        </w:rPr>
        <w:lastRenderedPageBreak/>
        <w:t xml:space="preserve">　　</w:t>
      </w:r>
    </w:p>
    <w:p w:rsidR="00E82EF8" w:rsidRDefault="00E82EF8" w:rsidP="00AD2380">
      <w:pPr>
        <w:spacing w:line="360" w:lineRule="auto"/>
        <w:ind w:firstLineChars="200" w:firstLine="420"/>
        <w:rPr>
          <w:rFonts w:hint="eastAsia"/>
          <w:szCs w:val="21"/>
        </w:rPr>
      </w:pPr>
    </w:p>
    <w:p w:rsidR="00A71765" w:rsidRDefault="00A71765" w:rsidP="00AD2380">
      <w:pPr>
        <w:spacing w:line="360" w:lineRule="auto"/>
        <w:ind w:firstLineChars="200" w:firstLine="420"/>
        <w:rPr>
          <w:rFonts w:hint="eastAsia"/>
        </w:rPr>
      </w:pPr>
      <w:r>
        <w:rPr>
          <w:rFonts w:hint="eastAsia"/>
          <w:szCs w:val="21"/>
        </w:rPr>
        <w:t>特此公告。</w:t>
      </w:r>
    </w:p>
    <w:p w:rsidR="00A71765" w:rsidRDefault="00A71765" w:rsidP="00602C84">
      <w:pPr>
        <w:spacing w:line="360" w:lineRule="auto"/>
        <w:ind w:firstLineChars="600" w:firstLine="1446"/>
        <w:jc w:val="right"/>
        <w:rPr>
          <w:rFonts w:hint="eastAsia"/>
          <w:b/>
          <w:bCs/>
          <w:sz w:val="24"/>
          <w:szCs w:val="30"/>
        </w:rPr>
      </w:pPr>
      <w:r>
        <w:rPr>
          <w:rFonts w:hint="eastAsia"/>
          <w:b/>
          <w:bCs/>
          <w:sz w:val="24"/>
          <w:szCs w:val="30"/>
        </w:rPr>
        <w:t xml:space="preserve">　 </w:t>
      </w:r>
    </w:p>
    <w:p w:rsidR="00A71765" w:rsidRDefault="00A71765" w:rsidP="00602C84">
      <w:pPr>
        <w:spacing w:line="360" w:lineRule="auto"/>
        <w:ind w:firstLineChars="600" w:firstLine="1446"/>
        <w:jc w:val="right"/>
        <w:rPr>
          <w:rFonts w:hint="eastAsia"/>
          <w:b/>
          <w:bCs/>
          <w:sz w:val="24"/>
          <w:szCs w:val="30"/>
        </w:rPr>
      </w:pPr>
      <w:r>
        <w:rPr>
          <w:rFonts w:hint="eastAsia"/>
          <w:b/>
          <w:bCs/>
          <w:sz w:val="24"/>
          <w:szCs w:val="30"/>
        </w:rPr>
        <w:t xml:space="preserve">　 </w:t>
      </w:r>
    </w:p>
    <w:p w:rsidR="00A71765" w:rsidRDefault="00A71765">
      <w:pPr>
        <w:spacing w:line="360" w:lineRule="auto"/>
        <w:ind w:firstLineChars="600" w:firstLine="1446"/>
        <w:jc w:val="right"/>
        <w:rPr>
          <w:rFonts w:hint="eastAsia"/>
        </w:rPr>
      </w:pPr>
      <w:r>
        <w:rPr>
          <w:rFonts w:hint="eastAsia"/>
          <w:b/>
          <w:bCs/>
          <w:sz w:val="24"/>
          <w:szCs w:val="24"/>
        </w:rPr>
        <w:t>中金基金管理有限公司</w:t>
      </w:r>
    </w:p>
    <w:p w:rsidR="00A71765" w:rsidRDefault="00A71765">
      <w:pPr>
        <w:spacing w:line="360" w:lineRule="auto"/>
        <w:ind w:firstLineChars="600" w:firstLine="1446"/>
        <w:jc w:val="right"/>
        <w:rPr>
          <w:rFonts w:hint="eastAsia"/>
        </w:rPr>
      </w:pPr>
      <w:r>
        <w:rPr>
          <w:rFonts w:hint="eastAsia"/>
          <w:b/>
          <w:bCs/>
          <w:sz w:val="24"/>
          <w:szCs w:val="24"/>
        </w:rPr>
        <w:t>202</w:t>
      </w:r>
      <w:r w:rsidR="003C4608">
        <w:rPr>
          <w:rFonts w:hint="eastAsia"/>
          <w:b/>
          <w:bCs/>
          <w:sz w:val="24"/>
          <w:szCs w:val="24"/>
        </w:rPr>
        <w:t>5</w:t>
      </w:r>
      <w:r>
        <w:rPr>
          <w:rFonts w:hint="eastAsia"/>
          <w:b/>
          <w:bCs/>
          <w:sz w:val="24"/>
          <w:szCs w:val="24"/>
        </w:rPr>
        <w:t>年</w:t>
      </w:r>
      <w:r w:rsidR="003C4608">
        <w:rPr>
          <w:rFonts w:hint="eastAsia"/>
          <w:b/>
          <w:bCs/>
          <w:sz w:val="24"/>
          <w:szCs w:val="24"/>
        </w:rPr>
        <w:t>4</w:t>
      </w:r>
      <w:r>
        <w:rPr>
          <w:rFonts w:hint="eastAsia"/>
          <w:b/>
          <w:bCs/>
          <w:sz w:val="24"/>
          <w:szCs w:val="24"/>
        </w:rPr>
        <w:t>月</w:t>
      </w:r>
      <w:r w:rsidR="00180A04">
        <w:rPr>
          <w:rFonts w:hint="eastAsia"/>
          <w:b/>
          <w:bCs/>
          <w:sz w:val="24"/>
          <w:szCs w:val="24"/>
        </w:rPr>
        <w:t>30</w:t>
      </w:r>
      <w:r>
        <w:rPr>
          <w:rFonts w:hint="eastAsia"/>
          <w:b/>
          <w:bCs/>
          <w:sz w:val="24"/>
          <w:szCs w:val="24"/>
        </w:rPr>
        <w:t>日</w:t>
      </w:r>
      <w:bookmarkEnd w:id="22"/>
    </w:p>
    <w:sectPr w:rsidR="00A71765">
      <w:headerReference w:type="default" r:id="rId8"/>
      <w:footerReference w:type="defaul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241" w:rsidRDefault="00AF1241">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endnote>
  <w:endnote w:type="continuationSeparator" w:id="0">
    <w:p w:rsidR="00AF1241" w:rsidRDefault="00AF1241">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765" w:rsidRDefault="00A71765">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92184A">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92184A">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241" w:rsidRDefault="00AF1241">
      <w:pPr>
        <w:rPr>
          <w:szCs w:val="21"/>
        </w:rPr>
      </w:pPr>
      <w:r>
        <w:rPr>
          <w:rFonts w:ascii="Times New Roman" w:hAnsi="Times New Roman" w:cs="Times New Roman"/>
          <w:szCs w:val="21"/>
        </w:rPr>
        <w:separator/>
      </w:r>
      <w:r>
        <w:rPr>
          <w:rFonts w:ascii="Times New Roman" w:hAnsi="Times New Roman" w:cs="Times New Roman" w:hint="eastAsia"/>
          <w:szCs w:val="21"/>
        </w:rPr>
        <w:t xml:space="preserve"> </w:t>
      </w:r>
    </w:p>
  </w:footnote>
  <w:footnote w:type="continuationSeparator" w:id="0">
    <w:p w:rsidR="00AF1241" w:rsidRDefault="00AF1241">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765" w:rsidRDefault="00DD27F6">
    <w:pPr>
      <w:pStyle w:val="a7"/>
      <w:jc w:val="right"/>
      <w:rPr>
        <w:rFonts w:hint="eastAsia"/>
      </w:rPr>
    </w:pPr>
    <w:r w:rsidRPr="00DD27F6">
      <w:rPr>
        <w:rFonts w:hint="eastAsia"/>
      </w:rPr>
      <w:t>中金成长精选混合型证券投资基金暂停申购（包括转换转入、定期定额投资）业务的公告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02C84"/>
    <w:rsid w:val="0008775D"/>
    <w:rsid w:val="00180A04"/>
    <w:rsid w:val="002066DC"/>
    <w:rsid w:val="0025626B"/>
    <w:rsid w:val="003C4608"/>
    <w:rsid w:val="005771E3"/>
    <w:rsid w:val="00602C84"/>
    <w:rsid w:val="0062251F"/>
    <w:rsid w:val="00872D99"/>
    <w:rsid w:val="0090651A"/>
    <w:rsid w:val="0092184A"/>
    <w:rsid w:val="00A71765"/>
    <w:rsid w:val="00AD2380"/>
    <w:rsid w:val="00AF1241"/>
    <w:rsid w:val="00B27CBA"/>
    <w:rsid w:val="00B51066"/>
    <w:rsid w:val="00D41CFA"/>
    <w:rsid w:val="00DC68D4"/>
    <w:rsid w:val="00DD27F6"/>
    <w:rsid w:val="00E339D0"/>
    <w:rsid w:val="00E82EF8"/>
    <w:rsid w:val="00EC7AAB"/>
    <w:rsid w:val="00EC7CE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Char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Char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paragraph" w:styleId="a5">
    <w:name w:val="Normal (Web)"/>
    <w:basedOn w:val="a"/>
    <w:pPr>
      <w:widowControl/>
      <w:spacing w:before="100" w:beforeAutospacing="1" w:after="100" w:afterAutospacing="1"/>
      <w:jc w:val="left"/>
    </w:pPr>
    <w:rPr>
      <w:kern w:val="0"/>
      <w:sz w:val="24"/>
    </w:rPr>
  </w:style>
  <w:style w:type="paragraph" w:styleId="10">
    <w:name w:val="toc 1"/>
    <w:basedOn w:val="a"/>
    <w:next w:val="a"/>
    <w:autoRedefine/>
    <w:uiPriority w:val="39"/>
    <w:semiHidden/>
    <w:unhideWhenUsed/>
    <w:pPr>
      <w:tabs>
        <w:tab w:val="right" w:leader="dot" w:pos="8835"/>
      </w:tabs>
    </w:pPr>
    <w:rPr>
      <w:noProof/>
    </w:rPr>
  </w:style>
  <w:style w:type="paragraph" w:styleId="20">
    <w:name w:val="toc 2"/>
    <w:basedOn w:val="a"/>
    <w:next w:val="a"/>
    <w:autoRedefine/>
    <w:uiPriority w:val="39"/>
    <w:semiHidden/>
    <w:unhideWhenUsed/>
    <w:pPr>
      <w:ind w:leftChars="200" w:left="420"/>
    </w:pPr>
  </w:style>
  <w:style w:type="paragraph" w:styleId="30">
    <w:name w:val="toc 3"/>
    <w:basedOn w:val="a"/>
    <w:next w:val="a"/>
    <w:autoRedefine/>
    <w:uiPriority w:val="39"/>
    <w:semiHidden/>
    <w:unhideWhenUsed/>
  </w:style>
  <w:style w:type="paragraph" w:styleId="a6">
    <w:name w:val="footnote text"/>
    <w:basedOn w:val="a"/>
    <w:link w:val="Char1"/>
    <w:pPr>
      <w:snapToGrid w:val="0"/>
      <w:jc w:val="left"/>
    </w:pPr>
    <w:rPr>
      <w:sz w:val="18"/>
      <w:szCs w:val="18"/>
    </w:rPr>
  </w:style>
  <w:style w:type="character" w:customStyle="1" w:styleId="Char">
    <w:name w:val="脚注文本 Char"/>
    <w:link w:val="a6"/>
    <w:locked/>
    <w:rPr>
      <w:kern w:val="2"/>
      <w:sz w:val="18"/>
      <w:szCs w:val="18"/>
    </w:rPr>
  </w:style>
  <w:style w:type="paragraph" w:styleId="a7">
    <w:name w:val="header"/>
    <w:basedOn w:val="a"/>
    <w:link w:val="Char1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locked/>
    <w:rPr>
      <w:kern w:val="2"/>
      <w:sz w:val="18"/>
      <w:szCs w:val="18"/>
    </w:rPr>
  </w:style>
  <w:style w:type="paragraph" w:styleId="a8">
    <w:name w:val="footer"/>
    <w:basedOn w:val="a"/>
    <w:link w:val="Char11"/>
    <w:uiPriority w:val="99"/>
    <w:pPr>
      <w:tabs>
        <w:tab w:val="center" w:pos="4153"/>
        <w:tab w:val="right" w:pos="8306"/>
      </w:tabs>
      <w:snapToGrid w:val="0"/>
      <w:jc w:val="left"/>
    </w:pPr>
    <w:rPr>
      <w:sz w:val="18"/>
      <w:szCs w:val="18"/>
    </w:rPr>
  </w:style>
  <w:style w:type="character" w:customStyle="1" w:styleId="Char2">
    <w:name w:val="页脚 Char"/>
    <w:link w:val="a8"/>
    <w:uiPriority w:val="99"/>
    <w:locked/>
    <w:rPr>
      <w:kern w:val="2"/>
      <w:sz w:val="18"/>
      <w:szCs w:val="18"/>
    </w:rPr>
  </w:style>
  <w:style w:type="paragraph" w:styleId="a9">
    <w:name w:val="Title"/>
    <w:basedOn w:val="1"/>
    <w:next w:val="2"/>
    <w:link w:val="Char12"/>
    <w:uiPriority w:val="10"/>
    <w:qFormat/>
    <w:pPr>
      <w:keepNext w:val="0"/>
      <w:keepLines w:val="0"/>
      <w:spacing w:before="240" w:after="60" w:line="240" w:lineRule="auto"/>
      <w:jc w:val="center"/>
    </w:pPr>
    <w:rPr>
      <w:rFonts w:ascii="Cambria" w:hAnsi="Cambria"/>
      <w:kern w:val="0"/>
      <w:sz w:val="32"/>
      <w:szCs w:val="32"/>
    </w:rPr>
  </w:style>
  <w:style w:type="character" w:customStyle="1" w:styleId="Char3">
    <w:name w:val="标题 Char"/>
    <w:link w:val="a9"/>
    <w:uiPriority w:val="10"/>
    <w:locked/>
    <w:rPr>
      <w:rFonts w:ascii="Cambria" w:hAnsi="Cambria" w:cs="Times New Roman" w:hint="default"/>
      <w:b/>
      <w:bCs/>
      <w:kern w:val="2"/>
      <w:sz w:val="32"/>
      <w:szCs w:val="32"/>
    </w:rPr>
  </w:style>
  <w:style w:type="paragraph" w:styleId="aa">
    <w:name w:val="Subtitle"/>
    <w:basedOn w:val="2"/>
    <w:next w:val="3"/>
    <w:link w:val="Char13"/>
    <w:qFormat/>
    <w:pPr>
      <w:spacing w:before="240" w:after="60" w:line="312" w:lineRule="auto"/>
      <w:jc w:val="left"/>
    </w:pPr>
    <w:rPr>
      <w:bCs w:val="0"/>
      <w:kern w:val="24"/>
      <w:sz w:val="24"/>
    </w:rPr>
  </w:style>
  <w:style w:type="character" w:customStyle="1" w:styleId="Char4">
    <w:name w:val="副标题 Char"/>
    <w:link w:val="aa"/>
    <w:locked/>
    <w:rPr>
      <w:rFonts w:ascii="Cambria" w:hAnsi="Cambria" w:cs="Times New Roman" w:hint="default"/>
      <w:b/>
      <w:bCs/>
      <w:kern w:val="24"/>
      <w:sz w:val="32"/>
      <w:szCs w:val="32"/>
    </w:rPr>
  </w:style>
  <w:style w:type="paragraph" w:styleId="ab">
    <w:name w:val="Date"/>
    <w:basedOn w:val="a"/>
    <w:next w:val="a"/>
    <w:link w:val="Char14"/>
    <w:rPr>
      <w:sz w:val="32"/>
      <w:lang/>
    </w:rPr>
  </w:style>
  <w:style w:type="character" w:customStyle="1" w:styleId="Char5">
    <w:name w:val="日期 Char"/>
    <w:link w:val="ab"/>
    <w:locked/>
    <w:rPr>
      <w:kern w:val="2"/>
      <w:sz w:val="21"/>
    </w:rPr>
  </w:style>
  <w:style w:type="paragraph" w:styleId="ac">
    <w:name w:val="Document Map"/>
    <w:basedOn w:val="a"/>
    <w:link w:val="Char15"/>
    <w:pPr>
      <w:shd w:val="clear" w:color="auto" w:fill="000080"/>
    </w:pPr>
  </w:style>
  <w:style w:type="character" w:customStyle="1" w:styleId="Char6">
    <w:name w:val="文档结构图 Char"/>
    <w:link w:val="ac"/>
    <w:locked/>
    <w:rPr>
      <w:rFonts w:ascii="宋体" w:eastAsia="宋体" w:hAnsi="宋体" w:hint="eastAsia"/>
      <w:kern w:val="2"/>
      <w:sz w:val="18"/>
      <w:szCs w:val="18"/>
    </w:rPr>
  </w:style>
  <w:style w:type="paragraph" w:styleId="ad">
    <w:name w:val="Balloon Text"/>
    <w:basedOn w:val="a"/>
    <w:link w:val="Char16"/>
    <w:uiPriority w:val="99"/>
    <w:semiHidden/>
    <w:unhideWhenUsed/>
    <w:rPr>
      <w:sz w:val="18"/>
      <w:szCs w:val="18"/>
    </w:rPr>
  </w:style>
  <w:style w:type="character" w:customStyle="1" w:styleId="Char7">
    <w:name w:val="批注框文本 Char"/>
    <w:link w:val="ad"/>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msonormal0">
    <w:name w:val="msonormal"/>
    <w:basedOn w:val="a"/>
    <w:pPr>
      <w:widowControl/>
      <w:spacing w:before="100" w:beforeAutospacing="1" w:after="100" w:afterAutospacing="1"/>
      <w:jc w:val="left"/>
    </w:pPr>
    <w:rPr>
      <w:kern w:val="0"/>
      <w:sz w:val="24"/>
    </w:rPr>
  </w:style>
  <w:style w:type="paragraph" w:customStyle="1" w:styleId="XBRLTitle6">
    <w:name w:val="XBRLTitle6"/>
    <w:basedOn w:val="aa"/>
    <w:next w:val="4"/>
    <w:qFormat/>
    <w:pPr>
      <w:numPr>
        <w:ilvl w:val="5"/>
        <w:numId w:val="2"/>
      </w:numPr>
      <w:spacing w:beforeLines="50" w:after="0" w:line="240" w:lineRule="auto"/>
      <w:outlineLvl w:val="9"/>
    </w:pPr>
    <w:rPr>
      <w:bCs/>
    </w:rPr>
  </w:style>
  <w:style w:type="paragraph" w:customStyle="1" w:styleId="ae">
    <w:name w:val="次标题"/>
    <w:basedOn w:val="3"/>
    <w:next w:val="a"/>
    <w:pPr>
      <w:spacing w:before="120" w:after="120"/>
      <w:jc w:val="left"/>
    </w:pPr>
    <w:rPr>
      <w:sz w:val="21"/>
    </w:rPr>
  </w:style>
  <w:style w:type="paragraph" w:customStyle="1" w:styleId="XBRL6">
    <w:name w:val="XBRL标题6"/>
    <w:basedOn w:val="aa"/>
    <w:next w:val="4"/>
    <w:qFormat/>
    <w:pPr>
      <w:spacing w:beforeLines="50" w:after="0" w:line="240" w:lineRule="auto"/>
      <w:outlineLvl w:val="9"/>
    </w:pPr>
    <w:rPr>
      <w:bCs/>
    </w:rPr>
  </w:style>
  <w:style w:type="paragraph" w:customStyle="1" w:styleId="XBRL2">
    <w:name w:val="XBRL标题2"/>
    <w:basedOn w:val="aa"/>
    <w:next w:val="4"/>
    <w:qFormat/>
    <w:pPr>
      <w:spacing w:beforeLines="50" w:after="0" w:line="240" w:lineRule="auto"/>
    </w:pPr>
    <w:rPr>
      <w:bCs/>
    </w:rPr>
  </w:style>
  <w:style w:type="paragraph" w:customStyle="1" w:styleId="XBRL3">
    <w:name w:val="XBRL标题3"/>
    <w:basedOn w:val="aa"/>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a"/>
    <w:next w:val="4"/>
    <w:qFormat/>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a"/>
    <w:next w:val="4"/>
    <w:qFormat/>
    <w:pPr>
      <w:numPr>
        <w:ilvl w:val="4"/>
        <w:numId w:val="2"/>
      </w:numPr>
      <w:spacing w:beforeLines="50" w:after="0" w:line="240" w:lineRule="auto"/>
      <w:outlineLvl w:val="9"/>
    </w:pPr>
    <w:rPr>
      <w:bCs/>
    </w:rPr>
  </w:style>
  <w:style w:type="paragraph" w:customStyle="1" w:styleId="Char8">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a"/>
    <w:next w:val="4"/>
    <w:qFormat/>
    <w:pPr>
      <w:spacing w:beforeLines="50" w:after="0" w:line="240" w:lineRule="auto"/>
      <w:outlineLvl w:val="9"/>
    </w:pPr>
    <w:rPr>
      <w:bCs/>
    </w:rPr>
  </w:style>
  <w:style w:type="paragraph" w:customStyle="1" w:styleId="XBRL4">
    <w:name w:val="XBRL标题4"/>
    <w:basedOn w:val="aa"/>
    <w:next w:val="4"/>
    <w:qFormat/>
    <w:pPr>
      <w:spacing w:beforeLines="50" w:after="0" w:line="240" w:lineRule="auto"/>
      <w:outlineLvl w:val="9"/>
    </w:pPr>
    <w:rPr>
      <w:bCs/>
    </w:rPr>
  </w:style>
  <w:style w:type="paragraph" w:customStyle="1" w:styleId="XBRLTitle4">
    <w:name w:val="XBRLTitle4"/>
    <w:basedOn w:val="aa"/>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a"/>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
    <w:name w:val="footnote reference"/>
    <w:rPr>
      <w:vertAlign w:val="superscript"/>
    </w:rPr>
  </w:style>
  <w:style w:type="character" w:customStyle="1" w:styleId="11">
    <w:name w:val="标题 1 字符"/>
    <w:link w:val="1"/>
    <w:uiPriority w:val="9"/>
    <w:locked/>
    <w:rPr>
      <w:b/>
      <w:bCs/>
      <w:kern w:val="44"/>
      <w:sz w:val="44"/>
      <w:szCs w:val="44"/>
    </w:rPr>
  </w:style>
  <w:style w:type="character" w:customStyle="1" w:styleId="21">
    <w:name w:val="标题 2 字符"/>
    <w:link w:val="2"/>
    <w:uiPriority w:val="9"/>
    <w:locked/>
    <w:rPr>
      <w:rFonts w:ascii="Cambria" w:eastAsia="宋体" w:hAnsi="Cambria" w:cs="Times New Roman" w:hint="default"/>
      <w:b/>
      <w:bCs/>
      <w:kern w:val="2"/>
      <w:sz w:val="32"/>
      <w:szCs w:val="32"/>
    </w:rPr>
  </w:style>
  <w:style w:type="character" w:customStyle="1" w:styleId="31">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af0">
    <w:name w:val="脚注文本 字符"/>
    <w:link w:val="a6"/>
    <w:locked/>
    <w:rPr>
      <w:kern w:val="2"/>
      <w:sz w:val="18"/>
      <w:szCs w:val="18"/>
    </w:rPr>
  </w:style>
  <w:style w:type="character" w:customStyle="1" w:styleId="af1">
    <w:name w:val="页眉 字符"/>
    <w:link w:val="a7"/>
    <w:locked/>
    <w:rPr>
      <w:kern w:val="2"/>
      <w:sz w:val="18"/>
      <w:szCs w:val="18"/>
    </w:rPr>
  </w:style>
  <w:style w:type="character" w:customStyle="1" w:styleId="af2">
    <w:name w:val="页脚 字符"/>
    <w:link w:val="a8"/>
    <w:uiPriority w:val="99"/>
    <w:locked/>
    <w:rPr>
      <w:kern w:val="2"/>
      <w:sz w:val="18"/>
      <w:szCs w:val="18"/>
    </w:rPr>
  </w:style>
  <w:style w:type="character" w:customStyle="1" w:styleId="af3">
    <w:name w:val="标题 字符"/>
    <w:link w:val="a9"/>
    <w:uiPriority w:val="10"/>
    <w:locked/>
    <w:rPr>
      <w:rFonts w:ascii="Cambria" w:eastAsia="宋体" w:hAnsi="Cambria" w:cs="Times New Roman" w:hint="default"/>
      <w:b/>
      <w:bCs/>
      <w:kern w:val="2"/>
      <w:sz w:val="32"/>
      <w:szCs w:val="32"/>
    </w:rPr>
  </w:style>
  <w:style w:type="character" w:customStyle="1" w:styleId="af4">
    <w:name w:val="副标题 字符"/>
    <w:link w:val="aa"/>
    <w:locked/>
    <w:rPr>
      <w:rFonts w:ascii="Calibri" w:eastAsia="宋体" w:hAnsi="Calibri" w:cs="Times New Roman" w:hint="default"/>
      <w:b/>
      <w:bCs/>
      <w:kern w:val="24"/>
      <w:sz w:val="32"/>
      <w:szCs w:val="32"/>
    </w:rPr>
  </w:style>
  <w:style w:type="character" w:customStyle="1" w:styleId="af5">
    <w:name w:val="日期 字符"/>
    <w:link w:val="ab"/>
    <w:locked/>
    <w:rPr>
      <w:kern w:val="2"/>
      <w:sz w:val="21"/>
    </w:rPr>
  </w:style>
  <w:style w:type="character" w:customStyle="1" w:styleId="af6">
    <w:name w:val="文档结构图 字符"/>
    <w:link w:val="ac"/>
    <w:locked/>
    <w:rPr>
      <w:rFonts w:ascii="Microsoft YaHei UI" w:eastAsia="Microsoft YaHei UI" w:hAnsi="Microsoft YaHei UI" w:hint="eastAsia"/>
      <w:kern w:val="2"/>
      <w:sz w:val="18"/>
      <w:szCs w:val="18"/>
    </w:rPr>
  </w:style>
  <w:style w:type="character" w:customStyle="1" w:styleId="af7">
    <w:name w:val="批注框文本 字符"/>
    <w:link w:val="ad"/>
    <w:uiPriority w:val="99"/>
    <w:semiHidden/>
    <w:locked/>
    <w:rPr>
      <w:kern w:val="2"/>
      <w:sz w:val="18"/>
      <w:szCs w:val="18"/>
    </w:rPr>
  </w:style>
  <w:style w:type="character" w:customStyle="1" w:styleId="1Char1">
    <w:name w:val="标题 1 Char1"/>
    <w:link w:val="1"/>
    <w:uiPriority w:val="9"/>
    <w:locked/>
    <w:rPr>
      <w:b/>
      <w:bCs/>
      <w:kern w:val="44"/>
      <w:sz w:val="44"/>
      <w:szCs w:val="44"/>
    </w:rPr>
  </w:style>
  <w:style w:type="character" w:customStyle="1" w:styleId="2Char1">
    <w:name w:val="标题 2 Char1"/>
    <w:link w:val="2"/>
    <w:uiPriority w:val="9"/>
    <w:locked/>
    <w:rPr>
      <w:rFonts w:ascii="Cambria" w:eastAsia="宋体" w:hAnsi="Cambria" w:cs="宋体" w:hint="default"/>
      <w:b/>
      <w:bCs/>
      <w:sz w:val="32"/>
      <w:szCs w:val="32"/>
    </w:rPr>
  </w:style>
  <w:style w:type="character" w:customStyle="1" w:styleId="3Char1">
    <w:name w:val="标题 3 Char1"/>
    <w:link w:val="3"/>
    <w:uiPriority w:val="9"/>
    <w:locked/>
    <w:rPr>
      <w:b/>
      <w:bCs/>
      <w:sz w:val="32"/>
      <w:szCs w:val="32"/>
    </w:rPr>
  </w:style>
  <w:style w:type="character" w:customStyle="1" w:styleId="4Char1">
    <w:name w:val="标题 4 Char1"/>
    <w:link w:val="4"/>
    <w:semiHidden/>
    <w:locked/>
    <w:rPr>
      <w:rFonts w:ascii="Cambria" w:eastAsia="宋体" w:hAnsi="Cambria" w:cs="宋体" w:hint="default"/>
      <w:b/>
      <w:bCs/>
      <w:sz w:val="24"/>
      <w:szCs w:val="24"/>
    </w:rPr>
  </w:style>
  <w:style w:type="character" w:customStyle="1" w:styleId="Char1">
    <w:name w:val="脚注文本 Char1"/>
    <w:link w:val="a6"/>
    <w:locked/>
    <w:rPr>
      <w:kern w:val="2"/>
      <w:sz w:val="18"/>
      <w:szCs w:val="18"/>
    </w:rPr>
  </w:style>
  <w:style w:type="character" w:customStyle="1" w:styleId="Char10">
    <w:name w:val="页眉 Char1"/>
    <w:link w:val="a7"/>
    <w:locked/>
    <w:rPr>
      <w:kern w:val="2"/>
      <w:sz w:val="18"/>
      <w:szCs w:val="18"/>
    </w:rPr>
  </w:style>
  <w:style w:type="character" w:customStyle="1" w:styleId="Char11">
    <w:name w:val="页脚 Char1"/>
    <w:link w:val="a8"/>
    <w:uiPriority w:val="99"/>
    <w:locked/>
    <w:rPr>
      <w:kern w:val="2"/>
      <w:sz w:val="18"/>
      <w:szCs w:val="18"/>
    </w:rPr>
  </w:style>
  <w:style w:type="character" w:customStyle="1" w:styleId="Char12">
    <w:name w:val="标题 Char1"/>
    <w:link w:val="a9"/>
    <w:uiPriority w:val="10"/>
    <w:locked/>
    <w:rPr>
      <w:rFonts w:ascii="Cambria" w:hAnsi="Cambria" w:cs="宋体" w:hint="default"/>
      <w:b/>
      <w:bCs/>
      <w:sz w:val="32"/>
      <w:szCs w:val="32"/>
    </w:rPr>
  </w:style>
  <w:style w:type="character" w:customStyle="1" w:styleId="Char13">
    <w:name w:val="副标题 Char1"/>
    <w:link w:val="aa"/>
    <w:locked/>
    <w:rPr>
      <w:rFonts w:ascii="Cambria" w:eastAsia="宋体" w:hAnsi="Cambria" w:cs="宋体" w:hint="default"/>
      <w:b/>
      <w:bCs w:val="0"/>
      <w:kern w:val="24"/>
      <w:sz w:val="24"/>
      <w:szCs w:val="32"/>
    </w:rPr>
  </w:style>
  <w:style w:type="character" w:customStyle="1" w:styleId="Char14">
    <w:name w:val="日期 Char1"/>
    <w:link w:val="ab"/>
    <w:locked/>
    <w:rPr>
      <w:rFonts w:ascii="宋体" w:eastAsia="宋体" w:hAnsi="宋体" w:hint="eastAsia"/>
      <w:kern w:val="2"/>
      <w:sz w:val="32"/>
    </w:rPr>
  </w:style>
  <w:style w:type="character" w:customStyle="1" w:styleId="Char15">
    <w:name w:val="文档结构图 Char1"/>
    <w:link w:val="ac"/>
    <w:locked/>
    <w:rPr>
      <w:rFonts w:ascii="宋体" w:eastAsia="宋体" w:hAnsi="宋体" w:hint="eastAsia"/>
      <w:kern w:val="2"/>
      <w:sz w:val="18"/>
      <w:szCs w:val="18"/>
    </w:rPr>
  </w:style>
  <w:style w:type="character" w:customStyle="1" w:styleId="Char16">
    <w:name w:val="批注框文本 Char1"/>
    <w:link w:val="ad"/>
    <w:uiPriority w:val="99"/>
    <w:semiHidden/>
    <w:locked/>
    <w:rPr>
      <w:kern w:val="2"/>
      <w:sz w:val="18"/>
      <w:szCs w:val="18"/>
    </w:rPr>
  </w:style>
  <w:style w:type="character" w:customStyle="1" w:styleId="5Char1">
    <w:name w:val="标题 5 Char1"/>
    <w:link w:val="5"/>
    <w:uiPriority w:val="9"/>
    <w:semiHidden/>
    <w:locked/>
    <w:rPr>
      <w:b/>
      <w:bCs/>
      <w:kern w:val="2"/>
      <w:sz w:val="24"/>
      <w:szCs w:val="24"/>
    </w:rPr>
  </w:style>
  <w:style w:type="character" w:customStyle="1" w:styleId="6Char1">
    <w:name w:val="标题 6 Char1"/>
    <w:link w:val="6"/>
    <w:uiPriority w:val="9"/>
    <w:semiHidden/>
    <w:locked/>
    <w:rPr>
      <w:rFonts w:ascii="Cambria" w:eastAsia="宋体" w:hAnsi="Cambria" w:cs="Times New Roman" w:hint="default"/>
      <w:b/>
      <w:bCs/>
      <w:kern w:val="2"/>
      <w:sz w:val="24"/>
      <w:szCs w:val="24"/>
    </w:rPr>
  </w:style>
  <w:style w:type="character" w:customStyle="1" w:styleId="12">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859E7-7105-46C3-B172-7AF89D0C8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Words>
  <Characters>746</Characters>
  <Application>Microsoft Office Word</Application>
  <DocSecurity>4</DocSecurity>
  <Lines>6</Lines>
  <Paragraphs>1</Paragraphs>
  <ScaleCrop>false</ScaleCrop>
  <Company/>
  <LinksUpToDate>false</LinksUpToDate>
  <CharactersWithSpaces>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cp:lastModifiedBy>ZHONGM</cp:lastModifiedBy>
  <cp:revision>2</cp:revision>
  <cp:lastPrinted>2025-04-29T07:32:00Z</cp:lastPrinted>
  <dcterms:created xsi:type="dcterms:W3CDTF">2025-04-29T16:04:00Z</dcterms:created>
  <dcterms:modified xsi:type="dcterms:W3CDTF">2025-04-29T16:04:00Z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