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42" w:rsidRDefault="00407A1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泰信基金管理有限公司关于旗下部分基金新增招商银行股份有限公</w:t>
      </w:r>
    </w:p>
    <w:p w:rsidR="00921242" w:rsidRDefault="00407A1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司招赢通平台为销售机构并开通转换业务及参加其费率优惠</w:t>
      </w:r>
    </w:p>
    <w:p w:rsidR="00921242" w:rsidRDefault="00407A1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活动的公告</w:t>
      </w:r>
    </w:p>
    <w:p w:rsidR="00921242" w:rsidRDefault="00407A1E">
      <w:pPr>
        <w:pStyle w:val="Default"/>
        <w:spacing w:line="360" w:lineRule="auto"/>
        <w:ind w:firstLineChars="228" w:firstLine="638"/>
        <w:rPr>
          <w:rFonts w:ascii="华文仿宋" w:eastAsia="华文仿宋" w:hAnsi="华文仿宋"/>
          <w:sz w:val="28"/>
          <w:szCs w:val="28"/>
        </w:rPr>
      </w:pPr>
      <w:r>
        <w:rPr>
          <w:rFonts w:ascii="华文仿宋" w:eastAsia="华文仿宋" w:hAnsi="华文仿宋" w:hint="eastAsia"/>
          <w:sz w:val="28"/>
          <w:szCs w:val="28"/>
        </w:rPr>
        <w:t>为更好地满足广大投资者的需求，泰信基金管理有限公司（以下简称“本公司”）与招商银行股份有限公司招赢通平台（以下简称“招赢通”）协商一致，自2025年4月25日起本公司旗下部分开放式基金新增招赢通为销售机构，并开通转换业务及参加其费率优惠活动。</w:t>
      </w:r>
    </w:p>
    <w:p w:rsidR="00921242" w:rsidRDefault="00407A1E">
      <w:pPr>
        <w:pStyle w:val="Default"/>
        <w:numPr>
          <w:ilvl w:val="0"/>
          <w:numId w:val="1"/>
        </w:numPr>
        <w:spacing w:line="360" w:lineRule="auto"/>
        <w:rPr>
          <w:rFonts w:ascii="华文仿宋" w:eastAsia="华文仿宋" w:hAnsi="华文仿宋"/>
          <w:sz w:val="28"/>
          <w:szCs w:val="28"/>
        </w:rPr>
      </w:pPr>
      <w:r>
        <w:rPr>
          <w:rFonts w:ascii="华文仿宋" w:eastAsia="华文仿宋" w:hAnsi="华文仿宋" w:hint="eastAsia"/>
          <w:sz w:val="28"/>
          <w:szCs w:val="28"/>
        </w:rPr>
        <w:t>业务开通情况：</w:t>
      </w:r>
    </w:p>
    <w:tbl>
      <w:tblPr>
        <w:tblStyle w:val="TableNormal"/>
        <w:tblpPr w:leftFromText="180" w:rightFromText="180" w:vertAnchor="text" w:horzAnchor="page" w:tblpX="1790" w:tblpY="109"/>
        <w:tblOverlap w:val="never"/>
        <w:tblW w:w="825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89"/>
        <w:gridCol w:w="2778"/>
        <w:gridCol w:w="2586"/>
      </w:tblGrid>
      <w:tr w:rsidR="00921242" w:rsidRPr="004B0926" w:rsidTr="004B0926">
        <w:trPr>
          <w:trHeight w:val="320"/>
        </w:trPr>
        <w:tc>
          <w:tcPr>
            <w:tcW w:w="2889" w:type="dxa"/>
          </w:tcPr>
          <w:p w:rsidR="00921242" w:rsidRPr="004B0926" w:rsidRDefault="00407A1E">
            <w:pPr>
              <w:spacing w:before="55" w:line="360" w:lineRule="auto"/>
              <w:jc w:val="center"/>
              <w:rPr>
                <w:rFonts w:ascii="仿宋" w:eastAsia="仿宋" w:hAnsi="仿宋" w:cs="仿宋"/>
                <w:sz w:val="24"/>
                <w:szCs w:val="24"/>
              </w:rPr>
            </w:pPr>
            <w:r w:rsidRPr="004B0926">
              <w:rPr>
                <w:rFonts w:ascii="仿宋" w:eastAsia="仿宋" w:hAnsi="仿宋" w:cs="仿宋"/>
                <w:spacing w:val="-3"/>
                <w:sz w:val="24"/>
                <w:szCs w:val="24"/>
              </w:rPr>
              <w:t>基金简称</w:t>
            </w:r>
          </w:p>
        </w:tc>
        <w:tc>
          <w:tcPr>
            <w:tcW w:w="2778" w:type="dxa"/>
          </w:tcPr>
          <w:p w:rsidR="00921242" w:rsidRPr="004B0926" w:rsidRDefault="00407A1E">
            <w:pPr>
              <w:spacing w:before="55" w:line="360" w:lineRule="auto"/>
              <w:ind w:hanging="10"/>
              <w:jc w:val="center"/>
              <w:rPr>
                <w:rFonts w:ascii="仿宋" w:eastAsia="仿宋" w:hAnsi="仿宋" w:cs="仿宋"/>
                <w:sz w:val="24"/>
                <w:szCs w:val="24"/>
              </w:rPr>
            </w:pPr>
            <w:r w:rsidRPr="004B0926">
              <w:rPr>
                <w:rFonts w:ascii="仿宋" w:eastAsia="仿宋" w:hAnsi="仿宋" w:cs="仿宋"/>
                <w:spacing w:val="-3"/>
                <w:sz w:val="24"/>
                <w:szCs w:val="24"/>
              </w:rPr>
              <w:t>基金代码</w:t>
            </w:r>
          </w:p>
        </w:tc>
        <w:tc>
          <w:tcPr>
            <w:tcW w:w="2586" w:type="dxa"/>
          </w:tcPr>
          <w:p w:rsidR="00921242" w:rsidRPr="004B0926" w:rsidRDefault="00407A1E">
            <w:pPr>
              <w:spacing w:before="55" w:line="360" w:lineRule="auto"/>
              <w:jc w:val="center"/>
              <w:rPr>
                <w:rFonts w:ascii="仿宋" w:eastAsia="仿宋" w:hAnsi="仿宋" w:cs="仿宋"/>
                <w:sz w:val="24"/>
                <w:szCs w:val="24"/>
              </w:rPr>
            </w:pPr>
            <w:r w:rsidRPr="004B0926">
              <w:rPr>
                <w:rFonts w:ascii="仿宋" w:eastAsia="仿宋" w:hAnsi="仿宋" w:cs="仿宋"/>
                <w:spacing w:val="-3"/>
                <w:sz w:val="24"/>
                <w:szCs w:val="24"/>
              </w:rPr>
              <w:t>是否开通转换</w:t>
            </w:r>
          </w:p>
        </w:tc>
      </w:tr>
      <w:tr w:rsidR="00921242" w:rsidRPr="004B0926" w:rsidTr="004B0926">
        <w:trPr>
          <w:trHeight w:val="495"/>
        </w:trPr>
        <w:tc>
          <w:tcPr>
            <w:tcW w:w="2889" w:type="dxa"/>
            <w:vMerge w:val="restart"/>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泰信鑫选混合</w:t>
            </w:r>
          </w:p>
        </w:tc>
        <w:tc>
          <w:tcPr>
            <w:tcW w:w="2778" w:type="dxa"/>
            <w:shd w:val="clear" w:color="auto" w:fill="auto"/>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A 类：001970</w:t>
            </w:r>
          </w:p>
        </w:tc>
        <w:tc>
          <w:tcPr>
            <w:tcW w:w="2586" w:type="dxa"/>
            <w:vMerge w:val="restart"/>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hint="eastAsia"/>
                <w:spacing w:val="-3"/>
                <w:sz w:val="24"/>
                <w:szCs w:val="24"/>
              </w:rPr>
              <w:t>是</w:t>
            </w:r>
          </w:p>
        </w:tc>
      </w:tr>
      <w:tr w:rsidR="00921242" w:rsidRPr="004B0926" w:rsidTr="004B0926">
        <w:trPr>
          <w:trHeight w:val="495"/>
        </w:trPr>
        <w:tc>
          <w:tcPr>
            <w:tcW w:w="2889" w:type="dxa"/>
            <w:vMerge/>
            <w:shd w:val="clear" w:color="auto" w:fill="auto"/>
            <w:vAlign w:val="center"/>
          </w:tcPr>
          <w:p w:rsidR="00921242" w:rsidRPr="004B0926" w:rsidRDefault="00921242">
            <w:pPr>
              <w:spacing w:before="55" w:line="360" w:lineRule="auto"/>
              <w:ind w:hanging="10"/>
              <w:jc w:val="center"/>
              <w:rPr>
                <w:rFonts w:ascii="仿宋" w:eastAsia="仿宋" w:hAnsi="仿宋" w:cs="仿宋"/>
                <w:spacing w:val="-3"/>
                <w:sz w:val="24"/>
                <w:szCs w:val="24"/>
              </w:rPr>
            </w:pPr>
          </w:p>
        </w:tc>
        <w:tc>
          <w:tcPr>
            <w:tcW w:w="2778" w:type="dxa"/>
            <w:shd w:val="clear" w:color="auto" w:fill="auto"/>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C 类：002580</w:t>
            </w:r>
          </w:p>
        </w:tc>
        <w:tc>
          <w:tcPr>
            <w:tcW w:w="2586" w:type="dxa"/>
            <w:vMerge/>
            <w:shd w:val="clear" w:color="auto" w:fill="auto"/>
            <w:vAlign w:val="center"/>
          </w:tcPr>
          <w:p w:rsidR="00921242" w:rsidRPr="004B0926" w:rsidRDefault="00921242">
            <w:pPr>
              <w:spacing w:before="55" w:line="360" w:lineRule="auto"/>
              <w:ind w:hanging="10"/>
              <w:jc w:val="center"/>
              <w:rPr>
                <w:rFonts w:ascii="仿宋" w:eastAsia="仿宋" w:hAnsi="仿宋" w:cs="仿宋"/>
                <w:spacing w:val="-3"/>
                <w:sz w:val="24"/>
                <w:szCs w:val="24"/>
              </w:rPr>
            </w:pPr>
          </w:p>
        </w:tc>
      </w:tr>
      <w:tr w:rsidR="00921242" w:rsidRPr="004B0926" w:rsidTr="004B0926">
        <w:trPr>
          <w:trHeight w:val="495"/>
        </w:trPr>
        <w:tc>
          <w:tcPr>
            <w:tcW w:w="2889" w:type="dxa"/>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泰信中小盘精选混合</w:t>
            </w:r>
          </w:p>
        </w:tc>
        <w:tc>
          <w:tcPr>
            <w:tcW w:w="2778" w:type="dxa"/>
            <w:shd w:val="clear" w:color="auto" w:fill="auto"/>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290011</w:t>
            </w:r>
          </w:p>
        </w:tc>
        <w:tc>
          <w:tcPr>
            <w:tcW w:w="2586" w:type="dxa"/>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hint="eastAsia"/>
                <w:spacing w:val="-3"/>
                <w:sz w:val="24"/>
                <w:szCs w:val="24"/>
              </w:rPr>
              <w:t>是</w:t>
            </w:r>
          </w:p>
        </w:tc>
      </w:tr>
      <w:tr w:rsidR="00921242" w:rsidRPr="004B0926" w:rsidTr="004B0926">
        <w:trPr>
          <w:trHeight w:val="495"/>
        </w:trPr>
        <w:tc>
          <w:tcPr>
            <w:tcW w:w="2889" w:type="dxa"/>
            <w:vMerge w:val="restart"/>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泰信低碳经济混合发起式</w:t>
            </w:r>
          </w:p>
        </w:tc>
        <w:tc>
          <w:tcPr>
            <w:tcW w:w="2778" w:type="dxa"/>
            <w:shd w:val="clear" w:color="auto" w:fill="auto"/>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A 类：013469</w:t>
            </w:r>
          </w:p>
        </w:tc>
        <w:tc>
          <w:tcPr>
            <w:tcW w:w="2586" w:type="dxa"/>
            <w:vMerge w:val="restart"/>
            <w:shd w:val="clear" w:color="auto" w:fill="auto"/>
            <w:vAlign w:val="center"/>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hint="eastAsia"/>
                <w:spacing w:val="-3"/>
                <w:sz w:val="24"/>
                <w:szCs w:val="24"/>
              </w:rPr>
              <w:t>是</w:t>
            </w:r>
          </w:p>
        </w:tc>
      </w:tr>
      <w:tr w:rsidR="00921242" w:rsidRPr="004B0926" w:rsidTr="004B0926">
        <w:trPr>
          <w:trHeight w:val="495"/>
        </w:trPr>
        <w:tc>
          <w:tcPr>
            <w:tcW w:w="2889" w:type="dxa"/>
            <w:vMerge/>
            <w:shd w:val="clear" w:color="auto" w:fill="auto"/>
          </w:tcPr>
          <w:p w:rsidR="00921242" w:rsidRPr="004B0926" w:rsidRDefault="00921242">
            <w:pPr>
              <w:spacing w:before="55" w:line="360" w:lineRule="auto"/>
              <w:ind w:hanging="10"/>
              <w:jc w:val="center"/>
              <w:rPr>
                <w:rFonts w:ascii="仿宋" w:eastAsia="仿宋" w:hAnsi="仿宋" w:cs="仿宋"/>
                <w:spacing w:val="-3"/>
                <w:sz w:val="24"/>
                <w:szCs w:val="24"/>
              </w:rPr>
            </w:pPr>
          </w:p>
        </w:tc>
        <w:tc>
          <w:tcPr>
            <w:tcW w:w="2778" w:type="dxa"/>
            <w:shd w:val="clear" w:color="auto" w:fill="auto"/>
          </w:tcPr>
          <w:p w:rsidR="00921242" w:rsidRPr="004B0926" w:rsidRDefault="00407A1E">
            <w:pPr>
              <w:spacing w:before="55" w:line="360" w:lineRule="auto"/>
              <w:ind w:hanging="10"/>
              <w:jc w:val="center"/>
              <w:rPr>
                <w:rFonts w:ascii="仿宋" w:eastAsia="仿宋" w:hAnsi="仿宋" w:cs="仿宋"/>
                <w:spacing w:val="-3"/>
                <w:sz w:val="24"/>
                <w:szCs w:val="24"/>
              </w:rPr>
            </w:pPr>
            <w:r w:rsidRPr="004B0926">
              <w:rPr>
                <w:rFonts w:ascii="仿宋" w:eastAsia="仿宋" w:hAnsi="仿宋" w:cs="仿宋"/>
                <w:spacing w:val="-3"/>
                <w:sz w:val="24"/>
                <w:szCs w:val="24"/>
              </w:rPr>
              <w:t>C 类：013470</w:t>
            </w:r>
          </w:p>
        </w:tc>
        <w:tc>
          <w:tcPr>
            <w:tcW w:w="2586" w:type="dxa"/>
            <w:vMerge/>
            <w:shd w:val="clear" w:color="auto" w:fill="auto"/>
          </w:tcPr>
          <w:p w:rsidR="00921242" w:rsidRPr="004B0926" w:rsidRDefault="00921242">
            <w:pPr>
              <w:spacing w:before="55" w:line="360" w:lineRule="auto"/>
              <w:ind w:hanging="10"/>
              <w:jc w:val="center"/>
              <w:rPr>
                <w:rFonts w:ascii="仿宋" w:eastAsia="仿宋" w:hAnsi="仿宋" w:cs="仿宋"/>
                <w:spacing w:val="-3"/>
                <w:sz w:val="24"/>
                <w:szCs w:val="24"/>
              </w:rPr>
            </w:pPr>
          </w:p>
        </w:tc>
      </w:tr>
    </w:tbl>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二、费率优惠活动内容</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投资者通过招赢通的交易系统申购上述基金（仅限场外、前端模式），享有费率优惠，具体折扣后费率及费率优惠活动期限以招赢通公示为准。上述基金原费率标准详见该基金的基金合同、招募说明书（更新）等法律文件，以及本公司发布的最新业务公告。</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三 、基金转换业务规则</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1.基金转换是指投资者在持有本公司发行的任一开放式基金后，</w:t>
      </w:r>
      <w:r>
        <w:rPr>
          <w:rFonts w:ascii="华文仿宋" w:eastAsia="华文仿宋" w:hAnsi="华文仿宋"/>
          <w:sz w:val="28"/>
          <w:szCs w:val="28"/>
        </w:rPr>
        <w:lastRenderedPageBreak/>
        <w:t>可将其持有的基金份额直接转换成本公司管理的其它开放式基金的基金份额，而不需要先赎回已持有的基金份额，再申购目标基金的一种业务模式。</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2.基金转换只能在同一销售机构进行。转换的两只基金必须都是该销售人代理的同一基金管理人管理的、在同一注册登记人处注册且已开通转换业务的基金。</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3.投资者办理基金转换业务时，转出方的基金必须处于可赎回状态，转入方的基金必须处于可申购状态。</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5.基金分红时再投资的份额可在权益登记日的T＋2日提交基金转换申请。</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6.基金转换采取未知价法，即以申请受理当日各转出、转入基金的单位资产净值为基础进行计算。</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7. 基金转换费用由转出基金的赎回费、转出和转入基金的申购费补差构成。</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8.基金转换的具体计算公式如下：</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ab/>
        <w:t>①转出金额=转出基金份额×转出基金T日基金份额净值</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②转出基金赎回费用=转出金额×转出基金赎回费率</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lastRenderedPageBreak/>
        <w:t xml:space="preserve"> ③转入金额=转出金额-转出基金赎回费用</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④转入基金申购费=转入金额/(1+转入基金申购费率)×转入基金申购费率</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若转入基金申购费适用固定费用</w:t>
      </w:r>
      <w:r>
        <w:rPr>
          <w:rFonts w:ascii="华文仿宋" w:eastAsia="华文仿宋" w:hAnsi="华文仿宋"/>
          <w:sz w:val="28"/>
          <w:szCs w:val="28"/>
        </w:rPr>
        <w:t>,则转入基金申购费=转入基金固定申购费</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⑤转出基金申购费=转入金额/(1+转出基金申购费率)×转出基金申购费率</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 xml:space="preserve"> 若转出基金申购费适用固定费用,则转出基金申购费=转出基金固定申购费</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 xml:space="preserve">=Max{(转入基金申购费-转出基金申购费)，0} </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=转入金额-补差费用</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=净转入金额/转入基金T日基金份额净值</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注：公式中的“转出基金申购费”是在本次转换过程中按照转入金额重新计算的费用，仅用于计算补差费用，非转出基金份额在申购时实际支付的费用。</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例</w:t>
      </w:r>
      <w:r>
        <w:rPr>
          <w:rFonts w:ascii="华文仿宋" w:eastAsia="华文仿宋" w:hAnsi="华文仿宋"/>
          <w:sz w:val="28"/>
          <w:szCs w:val="28"/>
        </w:rPr>
        <w:t>:某投资者欲将10万份泰信周期回报债券型证券投资基金</w:t>
      </w:r>
      <w:r>
        <w:rPr>
          <w:rFonts w:ascii="华文仿宋" w:eastAsia="华文仿宋" w:hAnsi="华文仿宋" w:hint="eastAsia"/>
          <w:sz w:val="28"/>
          <w:szCs w:val="28"/>
        </w:rPr>
        <w:t>A</w:t>
      </w:r>
      <w:r>
        <w:rPr>
          <w:rFonts w:ascii="华文仿宋" w:eastAsia="华文仿宋" w:hAnsi="华文仿宋"/>
          <w:sz w:val="28"/>
          <w:szCs w:val="28"/>
        </w:rPr>
        <w:t>（以下简称“泰信周期回报债券</w:t>
      </w:r>
      <w:r>
        <w:rPr>
          <w:rFonts w:ascii="华文仿宋" w:eastAsia="华文仿宋" w:hAnsi="华文仿宋" w:hint="eastAsia"/>
          <w:sz w:val="28"/>
          <w:szCs w:val="28"/>
        </w:rPr>
        <w:t>A</w:t>
      </w:r>
      <w:r>
        <w:rPr>
          <w:rFonts w:ascii="华文仿宋" w:eastAsia="华文仿宋" w:hAnsi="华文仿宋"/>
          <w:sz w:val="28"/>
          <w:szCs w:val="28"/>
        </w:rPr>
        <w:t>”）（持有7天-365天内）转换为泰信中小盘精选混合型证券投资基金（以下简称“泰信中小盘精选混合”）。泰信周期回报债券</w:t>
      </w:r>
      <w:r>
        <w:rPr>
          <w:rFonts w:ascii="华文仿宋" w:eastAsia="华文仿宋" w:hAnsi="华文仿宋" w:hint="eastAsia"/>
          <w:sz w:val="28"/>
          <w:szCs w:val="28"/>
        </w:rPr>
        <w:t>A</w:t>
      </w:r>
      <w:r>
        <w:rPr>
          <w:rFonts w:ascii="华文仿宋" w:eastAsia="华文仿宋" w:hAnsi="华文仿宋"/>
          <w:sz w:val="28"/>
          <w:szCs w:val="28"/>
        </w:rPr>
        <w:t>对应申请日份额净值假设为1.020元</w:t>
      </w:r>
      <w:r>
        <w:rPr>
          <w:rFonts w:ascii="华文仿宋" w:eastAsia="华文仿宋" w:hAnsi="华文仿宋" w:hint="eastAsia"/>
          <w:sz w:val="28"/>
          <w:szCs w:val="28"/>
        </w:rPr>
        <w:t>，</w:t>
      </w:r>
      <w:r>
        <w:rPr>
          <w:rFonts w:ascii="华文仿宋" w:eastAsia="华文仿宋" w:hAnsi="华文仿宋"/>
          <w:sz w:val="28"/>
          <w:szCs w:val="28"/>
        </w:rPr>
        <w:t>对应申购费率为0.8%</w:t>
      </w:r>
      <w:r>
        <w:rPr>
          <w:rFonts w:ascii="华文仿宋" w:eastAsia="华文仿宋" w:hAnsi="华文仿宋" w:hint="eastAsia"/>
          <w:sz w:val="28"/>
          <w:szCs w:val="28"/>
        </w:rPr>
        <w:t>，</w:t>
      </w:r>
      <w:r>
        <w:rPr>
          <w:rFonts w:ascii="华文仿宋" w:eastAsia="华文仿宋" w:hAnsi="华文仿宋"/>
          <w:sz w:val="28"/>
          <w:szCs w:val="28"/>
        </w:rPr>
        <w:t>对应赎回费率为0.1%。泰信中小盘精选混合对应申请日份额净值假设为1.500元</w:t>
      </w:r>
      <w:r>
        <w:rPr>
          <w:rFonts w:ascii="华文仿宋" w:eastAsia="华文仿宋" w:hAnsi="华文仿宋" w:hint="eastAsia"/>
          <w:sz w:val="28"/>
          <w:szCs w:val="28"/>
        </w:rPr>
        <w:t>，</w:t>
      </w:r>
      <w:r>
        <w:rPr>
          <w:rFonts w:ascii="华文仿宋" w:eastAsia="华文仿宋" w:hAnsi="华文仿宋"/>
          <w:sz w:val="28"/>
          <w:szCs w:val="28"/>
        </w:rPr>
        <w:t>对应申购费率为1.5%</w:t>
      </w:r>
      <w:r>
        <w:rPr>
          <w:rFonts w:ascii="华文仿宋" w:eastAsia="华文仿宋" w:hAnsi="华文仿宋" w:hint="eastAsia"/>
          <w:sz w:val="28"/>
          <w:szCs w:val="28"/>
        </w:rPr>
        <w:t>。</w:t>
      </w:r>
      <w:r>
        <w:rPr>
          <w:rFonts w:ascii="华文仿宋" w:eastAsia="华文仿宋" w:hAnsi="华文仿宋"/>
          <w:sz w:val="28"/>
          <w:szCs w:val="28"/>
        </w:rPr>
        <w:t>则该次转换投资者可得到的泰信中小盘精选混合份额计算方法为：</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①转出金额</w:t>
      </w:r>
      <w:r>
        <w:rPr>
          <w:rFonts w:ascii="华文仿宋" w:eastAsia="华文仿宋" w:hAnsi="华文仿宋"/>
          <w:sz w:val="28"/>
          <w:szCs w:val="28"/>
        </w:rPr>
        <w:t>=100,000.00×1.020=102,000.00元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②转出基金赎回费用</w:t>
      </w:r>
      <w:r>
        <w:rPr>
          <w:rFonts w:ascii="华文仿宋" w:eastAsia="华文仿宋" w:hAnsi="华文仿宋"/>
          <w:sz w:val="28"/>
          <w:szCs w:val="28"/>
        </w:rPr>
        <w:t>=102,000.00×0.1%=102.00元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③转入金额</w:t>
      </w:r>
      <w:r>
        <w:rPr>
          <w:rFonts w:ascii="华文仿宋" w:eastAsia="华文仿宋" w:hAnsi="华文仿宋"/>
          <w:sz w:val="28"/>
          <w:szCs w:val="28"/>
        </w:rPr>
        <w:t>=102,000.00-102.00=101,898.00元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④转入基金申购费</w:t>
      </w:r>
      <w:r>
        <w:rPr>
          <w:rFonts w:ascii="华文仿宋" w:eastAsia="华文仿宋" w:hAnsi="华文仿宋"/>
          <w:sz w:val="28"/>
          <w:szCs w:val="28"/>
        </w:rPr>
        <w:t>=101,898.00/(1+1.5%)×1.5%=1,505.88元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⑤转出基金申购费</w:t>
      </w:r>
      <w:r>
        <w:rPr>
          <w:rFonts w:ascii="华文仿宋" w:eastAsia="华文仿宋" w:hAnsi="华文仿宋"/>
          <w:sz w:val="28"/>
          <w:szCs w:val="28"/>
        </w:rPr>
        <w:t>=101,898.00/(1+0.8%)×0.8%=808.71元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⑥补差费用</w:t>
      </w:r>
      <w:r>
        <w:rPr>
          <w:rFonts w:ascii="华文仿宋" w:eastAsia="华文仿宋" w:hAnsi="华文仿宋"/>
          <w:sz w:val="28"/>
          <w:szCs w:val="28"/>
        </w:rPr>
        <w:t>=转入基金申购费-转出基金申购费</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=1,505.88-808.71=697.17元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⑦净转入金额</w:t>
      </w:r>
      <w:r>
        <w:rPr>
          <w:rFonts w:ascii="华文仿宋" w:eastAsia="华文仿宋" w:hAnsi="华文仿宋"/>
          <w:sz w:val="28"/>
          <w:szCs w:val="28"/>
        </w:rPr>
        <w:t>=101,898.00-697.17=101,200.83元</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⑧转入份额</w:t>
      </w:r>
      <w:r>
        <w:rPr>
          <w:rFonts w:ascii="华文仿宋" w:eastAsia="华文仿宋" w:hAnsi="华文仿宋"/>
          <w:sz w:val="28"/>
          <w:szCs w:val="28"/>
        </w:rPr>
        <w:t>=101,200.83/1.500=67,467.22份</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9.投资者采用“份额转换”的原则提交申请。基金转出份额必须是可用份额，并遵循“先进先出”的原则。已冻结份额不得申请转换。</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10.各基金的转换申请时间以其《基金合同》及《招募说明书》的相关规定为准，当日的转换申请可以在15:00以前在销售商处撤销，超过交易时间的申请作失败或下一日申请处理。</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11.基金转出的份额限制以其《基金合同》及《招募说明书》的相关规定为准，单笔转入申请不受转入基金最低申购限额限制。</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13.出现下列情况之一时，基金管理人可以暂停基金转换业务：</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1）不可抗力的原因导致基金无法正常运作。</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2）证券交易场所在交易时间非正常停市，导致基金管理人无法计算当日基金份额净值。</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3）因市场剧烈波动或其他原因而出现连续巨额赎回，基金管理人认为有必要暂停接受该基金份额转出申请。</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4）法律、法规、规章规定的其他情形或其他在《基金合同》、《招募说明书》已载明并获中国证监会批准的特殊情形。</w:t>
      </w:r>
    </w:p>
    <w:p w:rsidR="00921242" w:rsidRDefault="00407A1E">
      <w:pPr>
        <w:pStyle w:val="Default"/>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Pr>
          <w:rFonts w:ascii="华文仿宋" w:eastAsia="华文仿宋" w:hAnsi="华文仿宋"/>
          <w:sz w:val="28"/>
          <w:szCs w:val="28"/>
        </w:rPr>
        <w:t>5）发生上述情形之一的，基金管理人应立即向证监会备案并于规定期限内在证监会规定媒介上刊登暂停公告。重新开放基金转换时，基金管理人应在证监会规定媒介上刊登重新开放基金转换的公告。</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四、其他事项</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1.投资者欲了解各基金产品的详细情况，请仔细阅读各基金的基金合同、招募说明书等法律文件。</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2.风险提示：本公司承诺以诚实信用、勤勉尽责的原则管理和运用基金财产，但不保证基金一定盈利，也不保证最低收益。投资者投资于本公司管理的基金时应认真阅读基金合同、招募说明书等文件。</w:t>
      </w:r>
    </w:p>
    <w:p w:rsidR="00921242" w:rsidRDefault="004B0926">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五</w:t>
      </w:r>
      <w:r w:rsidR="00407A1E">
        <w:rPr>
          <w:rFonts w:ascii="华文仿宋" w:eastAsia="华文仿宋" w:hAnsi="华文仿宋" w:cs="仿宋_GB2312" w:hint="eastAsia"/>
          <w:kern w:val="0"/>
          <w:sz w:val="28"/>
          <w:szCs w:val="28"/>
        </w:rPr>
        <w:t>、投资者可通过以下途径了解或咨询相关情况</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1、泰信基金管理有限公司</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客服电话：400-888-5988 或 021-38784566</w:t>
      </w:r>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网址：</w:t>
      </w:r>
      <w:hyperlink r:id="rId7" w:history="1">
        <w:r>
          <w:rPr>
            <w:rStyle w:val="aa"/>
            <w:rFonts w:ascii="华文仿宋" w:eastAsia="华文仿宋" w:hAnsi="华文仿宋" w:cs="仿宋_GB2312" w:hint="eastAsia"/>
            <w:color w:val="auto"/>
            <w:kern w:val="0"/>
            <w:sz w:val="28"/>
            <w:szCs w:val="28"/>
            <w:u w:val="none"/>
          </w:rPr>
          <w:t>www.ftfund.com</w:t>
        </w:r>
      </w:hyperlink>
    </w:p>
    <w:p w:rsidR="00921242" w:rsidRDefault="00407A1E">
      <w:pPr>
        <w:autoSpaceDE w:val="0"/>
        <w:autoSpaceDN w:val="0"/>
        <w:adjustRightIn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2、招商银行股份有限公司招赢通平台</w:t>
      </w:r>
    </w:p>
    <w:p w:rsidR="00921242" w:rsidRDefault="00407A1E">
      <w:pPr>
        <w:autoSpaceDE w:val="0"/>
        <w:autoSpaceDN w:val="0"/>
        <w:adjustRightIn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客服电话：95555</w:t>
      </w:r>
    </w:p>
    <w:p w:rsidR="00921242" w:rsidRDefault="00407A1E">
      <w:pPr>
        <w:autoSpaceDE w:val="0"/>
        <w:autoSpaceDN w:val="0"/>
        <w:adjustRightIn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网址：</w:t>
      </w:r>
      <w:bookmarkStart w:id="0" w:name="OLE_LINK1"/>
      <w:r>
        <w:rPr>
          <w:rFonts w:ascii="华文仿宋" w:eastAsia="华文仿宋" w:hAnsi="华文仿宋" w:hint="eastAsia"/>
          <w:sz w:val="28"/>
          <w:szCs w:val="28"/>
        </w:rPr>
        <w:t>fi.cmbchina.com</w:t>
      </w:r>
      <w:bookmarkEnd w:id="0"/>
    </w:p>
    <w:p w:rsidR="00921242" w:rsidRDefault="00407A1E">
      <w:pPr>
        <w:autoSpaceDE w:val="0"/>
        <w:autoSpaceDN w:val="0"/>
        <w:adjustRightInd w:val="0"/>
        <w:spacing w:line="360" w:lineRule="auto"/>
        <w:ind w:firstLineChars="200" w:firstLine="560"/>
        <w:jc w:val="lef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特此公告。</w:t>
      </w:r>
    </w:p>
    <w:p w:rsidR="00921242" w:rsidRDefault="00407A1E">
      <w:pPr>
        <w:autoSpaceDE w:val="0"/>
        <w:autoSpaceDN w:val="0"/>
        <w:adjustRightInd w:val="0"/>
        <w:spacing w:line="360" w:lineRule="auto"/>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 xml:space="preserve">　 </w:t>
      </w:r>
    </w:p>
    <w:p w:rsidR="00921242" w:rsidRDefault="00407A1E">
      <w:pPr>
        <w:autoSpaceDE w:val="0"/>
        <w:autoSpaceDN w:val="0"/>
        <w:adjustRightInd w:val="0"/>
        <w:spacing w:line="360" w:lineRule="auto"/>
        <w:jc w:val="right"/>
        <w:rPr>
          <w:rFonts w:ascii="华文仿宋" w:eastAsia="华文仿宋" w:hAnsi="华文仿宋" w:cs="仿宋_GB2312"/>
          <w:kern w:val="0"/>
          <w:sz w:val="28"/>
          <w:szCs w:val="28"/>
        </w:rPr>
      </w:pPr>
      <w:r>
        <w:rPr>
          <w:rFonts w:ascii="华文仿宋" w:eastAsia="华文仿宋" w:hAnsi="华文仿宋" w:cs="仿宋_GB2312" w:hint="eastAsia"/>
          <w:kern w:val="0"/>
          <w:sz w:val="28"/>
          <w:szCs w:val="28"/>
        </w:rPr>
        <w:t>泰信基金管理有限公司</w:t>
      </w:r>
    </w:p>
    <w:p w:rsidR="00921242" w:rsidRDefault="00407A1E">
      <w:pPr>
        <w:spacing w:line="360" w:lineRule="auto"/>
        <w:ind w:right="140"/>
        <w:jc w:val="right"/>
        <w:rPr>
          <w:rFonts w:ascii="华文仿宋" w:eastAsia="华文仿宋" w:hAnsi="华文仿宋"/>
        </w:rPr>
      </w:pPr>
      <w:r>
        <w:rPr>
          <w:rFonts w:ascii="华文仿宋" w:eastAsia="华文仿宋" w:hAnsi="华文仿宋" w:cs="仿宋_GB2312" w:hint="eastAsia"/>
          <w:kern w:val="0"/>
          <w:sz w:val="28"/>
          <w:szCs w:val="28"/>
        </w:rPr>
        <w:t>2025年4月25日</w:t>
      </w:r>
    </w:p>
    <w:p w:rsidR="00921242" w:rsidRDefault="00921242">
      <w:pPr>
        <w:spacing w:line="360" w:lineRule="auto"/>
        <w:rPr>
          <w:rFonts w:ascii="仿宋" w:eastAsia="仿宋" w:hAnsi="仿宋" w:cs="仿宋"/>
          <w:sz w:val="24"/>
          <w:szCs w:val="24"/>
        </w:rPr>
      </w:pPr>
    </w:p>
    <w:p w:rsidR="00921242" w:rsidRDefault="00921242">
      <w:pPr>
        <w:spacing w:line="360" w:lineRule="auto"/>
        <w:rPr>
          <w:rFonts w:ascii="仿宋" w:eastAsia="仿宋" w:hAnsi="仿宋" w:cs="仿宋"/>
          <w:sz w:val="24"/>
          <w:szCs w:val="24"/>
        </w:rPr>
      </w:pPr>
    </w:p>
    <w:sectPr w:rsidR="00921242" w:rsidSect="00282C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1E" w:rsidRDefault="00407A1E">
      <w:r>
        <w:separator/>
      </w:r>
    </w:p>
  </w:endnote>
  <w:endnote w:type="continuationSeparator" w:id="0">
    <w:p w:rsidR="00407A1E" w:rsidRDefault="00407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51356"/>
    </w:sdtPr>
    <w:sdtContent>
      <w:p w:rsidR="00921242" w:rsidRDefault="00282CB7">
        <w:pPr>
          <w:pStyle w:val="a5"/>
          <w:jc w:val="center"/>
        </w:pPr>
        <w:r>
          <w:fldChar w:fldCharType="begin"/>
        </w:r>
        <w:r w:rsidR="00407A1E">
          <w:instrText>PAGE   \* MERGEFORMAT</w:instrText>
        </w:r>
        <w:r>
          <w:fldChar w:fldCharType="separate"/>
        </w:r>
        <w:r w:rsidR="00A619C7" w:rsidRPr="00A619C7">
          <w:rPr>
            <w:noProof/>
            <w:lang w:val="zh-CN"/>
          </w:rPr>
          <w:t>1</w:t>
        </w:r>
        <w:r>
          <w:fldChar w:fldCharType="end"/>
        </w:r>
      </w:p>
    </w:sdtContent>
  </w:sdt>
  <w:p w:rsidR="00921242" w:rsidRDefault="009212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1E" w:rsidRDefault="00407A1E">
      <w:r>
        <w:separator/>
      </w:r>
    </w:p>
  </w:footnote>
  <w:footnote w:type="continuationSeparator" w:id="0">
    <w:p w:rsidR="00407A1E" w:rsidRDefault="00407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A08"/>
    <w:multiLevelType w:val="multilevel"/>
    <w:tmpl w:val="544D4A0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31D9"/>
    <w:rsid w:val="000452AA"/>
    <w:rsid w:val="00076854"/>
    <w:rsid w:val="000804ED"/>
    <w:rsid w:val="000E01CC"/>
    <w:rsid w:val="000E74CE"/>
    <w:rsid w:val="00101FC1"/>
    <w:rsid w:val="00103C76"/>
    <w:rsid w:val="00155A3F"/>
    <w:rsid w:val="00172A27"/>
    <w:rsid w:val="00196B66"/>
    <w:rsid w:val="001A3123"/>
    <w:rsid w:val="001B36E0"/>
    <w:rsid w:val="001B4AAF"/>
    <w:rsid w:val="001F3D5F"/>
    <w:rsid w:val="00203FFE"/>
    <w:rsid w:val="00234513"/>
    <w:rsid w:val="00240D30"/>
    <w:rsid w:val="002650CE"/>
    <w:rsid w:val="00280048"/>
    <w:rsid w:val="00282CB7"/>
    <w:rsid w:val="002914BE"/>
    <w:rsid w:val="002B1EAE"/>
    <w:rsid w:val="002B7167"/>
    <w:rsid w:val="002D324F"/>
    <w:rsid w:val="00347443"/>
    <w:rsid w:val="003501D4"/>
    <w:rsid w:val="00381D57"/>
    <w:rsid w:val="0039683D"/>
    <w:rsid w:val="003A2925"/>
    <w:rsid w:val="003B131F"/>
    <w:rsid w:val="003B35A3"/>
    <w:rsid w:val="003C67DC"/>
    <w:rsid w:val="003C7C67"/>
    <w:rsid w:val="003D6444"/>
    <w:rsid w:val="003E3512"/>
    <w:rsid w:val="003F15D2"/>
    <w:rsid w:val="00402907"/>
    <w:rsid w:val="004044C7"/>
    <w:rsid w:val="00407A1E"/>
    <w:rsid w:val="00451DF4"/>
    <w:rsid w:val="00456EB5"/>
    <w:rsid w:val="00460ACB"/>
    <w:rsid w:val="004A4933"/>
    <w:rsid w:val="004B0926"/>
    <w:rsid w:val="004B4099"/>
    <w:rsid w:val="004D086D"/>
    <w:rsid w:val="004D31A4"/>
    <w:rsid w:val="005021B2"/>
    <w:rsid w:val="0052027D"/>
    <w:rsid w:val="00522034"/>
    <w:rsid w:val="00532C8F"/>
    <w:rsid w:val="00552C74"/>
    <w:rsid w:val="0059595B"/>
    <w:rsid w:val="005A232E"/>
    <w:rsid w:val="005C4941"/>
    <w:rsid w:val="005E0147"/>
    <w:rsid w:val="00610891"/>
    <w:rsid w:val="00667867"/>
    <w:rsid w:val="006A44F5"/>
    <w:rsid w:val="006D0F9A"/>
    <w:rsid w:val="006D533A"/>
    <w:rsid w:val="00727E95"/>
    <w:rsid w:val="00736359"/>
    <w:rsid w:val="00743B3F"/>
    <w:rsid w:val="00767D7C"/>
    <w:rsid w:val="007734A8"/>
    <w:rsid w:val="007750E7"/>
    <w:rsid w:val="0079791D"/>
    <w:rsid w:val="008A1E89"/>
    <w:rsid w:val="008A635B"/>
    <w:rsid w:val="008A7CA5"/>
    <w:rsid w:val="00915E9D"/>
    <w:rsid w:val="00921242"/>
    <w:rsid w:val="00922E09"/>
    <w:rsid w:val="00951F36"/>
    <w:rsid w:val="009849B4"/>
    <w:rsid w:val="0099077B"/>
    <w:rsid w:val="009952EF"/>
    <w:rsid w:val="009B5709"/>
    <w:rsid w:val="009C73DB"/>
    <w:rsid w:val="00A319BC"/>
    <w:rsid w:val="00A462AD"/>
    <w:rsid w:val="00A5190C"/>
    <w:rsid w:val="00A619C7"/>
    <w:rsid w:val="00A61DF1"/>
    <w:rsid w:val="00A730E1"/>
    <w:rsid w:val="00A85461"/>
    <w:rsid w:val="00A917BC"/>
    <w:rsid w:val="00AC3DFE"/>
    <w:rsid w:val="00AD4952"/>
    <w:rsid w:val="00AE7E87"/>
    <w:rsid w:val="00B14079"/>
    <w:rsid w:val="00B36E18"/>
    <w:rsid w:val="00B45116"/>
    <w:rsid w:val="00B55E01"/>
    <w:rsid w:val="00B71720"/>
    <w:rsid w:val="00B76929"/>
    <w:rsid w:val="00B849AA"/>
    <w:rsid w:val="00BC013C"/>
    <w:rsid w:val="00BC795B"/>
    <w:rsid w:val="00BE0EA1"/>
    <w:rsid w:val="00C27665"/>
    <w:rsid w:val="00C454AA"/>
    <w:rsid w:val="00C663C3"/>
    <w:rsid w:val="00C67D8B"/>
    <w:rsid w:val="00C77299"/>
    <w:rsid w:val="00C96261"/>
    <w:rsid w:val="00CE21E8"/>
    <w:rsid w:val="00D1063F"/>
    <w:rsid w:val="00D15215"/>
    <w:rsid w:val="00D15FC2"/>
    <w:rsid w:val="00D41A0B"/>
    <w:rsid w:val="00D817AA"/>
    <w:rsid w:val="00D9287C"/>
    <w:rsid w:val="00D94ED0"/>
    <w:rsid w:val="00DB3313"/>
    <w:rsid w:val="00DB5383"/>
    <w:rsid w:val="00DB5AFB"/>
    <w:rsid w:val="00DB5D27"/>
    <w:rsid w:val="00DE0A1A"/>
    <w:rsid w:val="00DE3CA5"/>
    <w:rsid w:val="00E14CB3"/>
    <w:rsid w:val="00E1573E"/>
    <w:rsid w:val="00E45108"/>
    <w:rsid w:val="00E771BE"/>
    <w:rsid w:val="00E81369"/>
    <w:rsid w:val="00EA3FE8"/>
    <w:rsid w:val="00F24E9F"/>
    <w:rsid w:val="00F46B8F"/>
    <w:rsid w:val="00FC3911"/>
    <w:rsid w:val="00FD510C"/>
    <w:rsid w:val="00FF20A0"/>
    <w:rsid w:val="02E70003"/>
    <w:rsid w:val="05B13EEE"/>
    <w:rsid w:val="0D69204A"/>
    <w:rsid w:val="0E3837AB"/>
    <w:rsid w:val="0F466320"/>
    <w:rsid w:val="12507F30"/>
    <w:rsid w:val="1293375D"/>
    <w:rsid w:val="17076B79"/>
    <w:rsid w:val="1840688C"/>
    <w:rsid w:val="18626A98"/>
    <w:rsid w:val="1CA50D41"/>
    <w:rsid w:val="1EB477BA"/>
    <w:rsid w:val="1F126C71"/>
    <w:rsid w:val="1F2877EA"/>
    <w:rsid w:val="1FD40F42"/>
    <w:rsid w:val="21436B21"/>
    <w:rsid w:val="21FB23D7"/>
    <w:rsid w:val="248C6702"/>
    <w:rsid w:val="254663AD"/>
    <w:rsid w:val="25C00F15"/>
    <w:rsid w:val="263555D3"/>
    <w:rsid w:val="2702749A"/>
    <w:rsid w:val="284F5E21"/>
    <w:rsid w:val="296846A2"/>
    <w:rsid w:val="29E36424"/>
    <w:rsid w:val="2A7E2B65"/>
    <w:rsid w:val="2D0A7A69"/>
    <w:rsid w:val="2D2B320D"/>
    <w:rsid w:val="2E816674"/>
    <w:rsid w:val="31D27B72"/>
    <w:rsid w:val="32BD467E"/>
    <w:rsid w:val="332270B9"/>
    <w:rsid w:val="37BE699F"/>
    <w:rsid w:val="3A5B5354"/>
    <w:rsid w:val="3BF759E1"/>
    <w:rsid w:val="40B4164D"/>
    <w:rsid w:val="44317FBD"/>
    <w:rsid w:val="4B271062"/>
    <w:rsid w:val="4C54511D"/>
    <w:rsid w:val="4C824AAF"/>
    <w:rsid w:val="4D2757BA"/>
    <w:rsid w:val="4F044F5F"/>
    <w:rsid w:val="541C3AD2"/>
    <w:rsid w:val="5B6A6B6B"/>
    <w:rsid w:val="5C646D86"/>
    <w:rsid w:val="5E6738B3"/>
    <w:rsid w:val="6259386E"/>
    <w:rsid w:val="64664145"/>
    <w:rsid w:val="688615B6"/>
    <w:rsid w:val="692C6C66"/>
    <w:rsid w:val="69EE4AD9"/>
    <w:rsid w:val="6BFC0B10"/>
    <w:rsid w:val="6C7E3680"/>
    <w:rsid w:val="6C893D39"/>
    <w:rsid w:val="6D255A6E"/>
    <w:rsid w:val="6FCC2D0E"/>
    <w:rsid w:val="6FDB757B"/>
    <w:rsid w:val="729F537F"/>
    <w:rsid w:val="73F51CF6"/>
    <w:rsid w:val="74507577"/>
    <w:rsid w:val="762A49FA"/>
    <w:rsid w:val="76911F43"/>
    <w:rsid w:val="78B66E0B"/>
    <w:rsid w:val="7E5A33D2"/>
    <w:rsid w:val="7E885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B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Char"/>
    <w:uiPriority w:val="9"/>
    <w:qFormat/>
    <w:rsid w:val="00282CB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82CB7"/>
    <w:pPr>
      <w:jc w:val="left"/>
    </w:pPr>
  </w:style>
  <w:style w:type="paragraph" w:styleId="a4">
    <w:name w:val="Balloon Text"/>
    <w:basedOn w:val="a"/>
    <w:link w:val="Char0"/>
    <w:uiPriority w:val="99"/>
    <w:semiHidden/>
    <w:unhideWhenUsed/>
    <w:qFormat/>
    <w:rsid w:val="00282CB7"/>
    <w:rPr>
      <w:sz w:val="18"/>
      <w:szCs w:val="18"/>
    </w:rPr>
  </w:style>
  <w:style w:type="paragraph" w:styleId="a5">
    <w:name w:val="footer"/>
    <w:basedOn w:val="a"/>
    <w:link w:val="Char1"/>
    <w:uiPriority w:val="99"/>
    <w:unhideWhenUsed/>
    <w:qFormat/>
    <w:rsid w:val="00282C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82CB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82CB7"/>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282CB7"/>
    <w:rPr>
      <w:b/>
      <w:bCs/>
    </w:rPr>
  </w:style>
  <w:style w:type="character" w:styleId="a9">
    <w:name w:val="FollowedHyperlink"/>
    <w:basedOn w:val="a0"/>
    <w:uiPriority w:val="99"/>
    <w:semiHidden/>
    <w:unhideWhenUsed/>
    <w:qFormat/>
    <w:rsid w:val="00282CB7"/>
    <w:rPr>
      <w:color w:val="954F72" w:themeColor="followedHyperlink"/>
      <w:u w:val="single"/>
    </w:rPr>
  </w:style>
  <w:style w:type="character" w:styleId="aa">
    <w:name w:val="Hyperlink"/>
    <w:basedOn w:val="a0"/>
    <w:unhideWhenUsed/>
    <w:qFormat/>
    <w:rsid w:val="00282CB7"/>
    <w:rPr>
      <w:color w:val="0000FF"/>
      <w:u w:val="single"/>
    </w:rPr>
  </w:style>
  <w:style w:type="character" w:styleId="ab">
    <w:name w:val="annotation reference"/>
    <w:basedOn w:val="a0"/>
    <w:uiPriority w:val="99"/>
    <w:semiHidden/>
    <w:unhideWhenUsed/>
    <w:qFormat/>
    <w:rsid w:val="00282CB7"/>
    <w:rPr>
      <w:sz w:val="21"/>
      <w:szCs w:val="21"/>
    </w:rPr>
  </w:style>
  <w:style w:type="paragraph" w:styleId="ac">
    <w:name w:val="List Paragraph"/>
    <w:basedOn w:val="a"/>
    <w:uiPriority w:val="34"/>
    <w:qFormat/>
    <w:rsid w:val="00282CB7"/>
    <w:pPr>
      <w:ind w:firstLineChars="200" w:firstLine="420"/>
    </w:pPr>
  </w:style>
  <w:style w:type="paragraph" w:customStyle="1" w:styleId="Default">
    <w:name w:val="Default"/>
    <w:qFormat/>
    <w:rsid w:val="00282CB7"/>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Char2">
    <w:name w:val="页眉 Char"/>
    <w:basedOn w:val="a0"/>
    <w:link w:val="a6"/>
    <w:uiPriority w:val="99"/>
    <w:qFormat/>
    <w:rsid w:val="00282CB7"/>
    <w:rPr>
      <w:sz w:val="18"/>
      <w:szCs w:val="18"/>
    </w:rPr>
  </w:style>
  <w:style w:type="character" w:customStyle="1" w:styleId="Char1">
    <w:name w:val="页脚 Char"/>
    <w:basedOn w:val="a0"/>
    <w:link w:val="a5"/>
    <w:uiPriority w:val="99"/>
    <w:qFormat/>
    <w:rsid w:val="00282CB7"/>
    <w:rPr>
      <w:sz w:val="18"/>
      <w:szCs w:val="18"/>
    </w:rPr>
  </w:style>
  <w:style w:type="character" w:customStyle="1" w:styleId="Char0">
    <w:name w:val="批注框文本 Char"/>
    <w:basedOn w:val="a0"/>
    <w:link w:val="a4"/>
    <w:uiPriority w:val="99"/>
    <w:semiHidden/>
    <w:qFormat/>
    <w:rsid w:val="00282CB7"/>
    <w:rPr>
      <w:sz w:val="18"/>
      <w:szCs w:val="18"/>
    </w:rPr>
  </w:style>
  <w:style w:type="character" w:customStyle="1" w:styleId="5Char">
    <w:name w:val="标题 5 Char"/>
    <w:basedOn w:val="a0"/>
    <w:link w:val="5"/>
    <w:uiPriority w:val="9"/>
    <w:qFormat/>
    <w:rsid w:val="00282CB7"/>
    <w:rPr>
      <w:rFonts w:ascii="宋体" w:eastAsia="宋体" w:hAnsi="宋体" w:cs="宋体"/>
      <w:b/>
      <w:bCs/>
      <w:kern w:val="0"/>
      <w:sz w:val="20"/>
      <w:szCs w:val="20"/>
    </w:rPr>
  </w:style>
  <w:style w:type="character" w:customStyle="1" w:styleId="Char">
    <w:name w:val="批注文字 Char"/>
    <w:basedOn w:val="a0"/>
    <w:link w:val="a3"/>
    <w:uiPriority w:val="99"/>
    <w:semiHidden/>
    <w:qFormat/>
    <w:rsid w:val="00282CB7"/>
  </w:style>
  <w:style w:type="character" w:customStyle="1" w:styleId="Char3">
    <w:name w:val="批注主题 Char"/>
    <w:basedOn w:val="Char"/>
    <w:link w:val="a8"/>
    <w:uiPriority w:val="99"/>
    <w:semiHidden/>
    <w:qFormat/>
    <w:rsid w:val="00282CB7"/>
    <w:rPr>
      <w:b/>
      <w:bCs/>
    </w:rPr>
  </w:style>
  <w:style w:type="character" w:customStyle="1" w:styleId="1">
    <w:name w:val="未处理的提及1"/>
    <w:basedOn w:val="a0"/>
    <w:uiPriority w:val="99"/>
    <w:semiHidden/>
    <w:unhideWhenUsed/>
    <w:qFormat/>
    <w:rsid w:val="00282CB7"/>
    <w:rPr>
      <w:color w:val="605E5C"/>
      <w:shd w:val="clear" w:color="auto" w:fill="E1DFDD"/>
    </w:rPr>
  </w:style>
  <w:style w:type="paragraph" w:customStyle="1" w:styleId="10">
    <w:name w:val="修订1"/>
    <w:hidden/>
    <w:uiPriority w:val="99"/>
    <w:semiHidden/>
    <w:qFormat/>
    <w:rsid w:val="00282CB7"/>
    <w:rPr>
      <w:rFonts w:asciiTheme="minorHAnsi" w:eastAsiaTheme="minorEastAsia" w:hAnsiTheme="minorHAnsi" w:cstheme="minorBidi"/>
      <w:kern w:val="2"/>
      <w:sz w:val="21"/>
      <w:szCs w:val="22"/>
    </w:rPr>
  </w:style>
  <w:style w:type="table" w:customStyle="1" w:styleId="TableNormal">
    <w:name w:val="Table Normal"/>
    <w:semiHidden/>
    <w:unhideWhenUsed/>
    <w:qFormat/>
    <w:rsid w:val="00282CB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t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2417</Characters>
  <Application>Microsoft Office Word</Application>
  <DocSecurity>4</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2025-04-24T01:34:00Z</cp:lastPrinted>
  <dcterms:created xsi:type="dcterms:W3CDTF">2025-04-24T16:02:00Z</dcterms:created>
  <dcterms:modified xsi:type="dcterms:W3CDTF">2025-04-24T16:02:00Z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4606D0D4B560439883D9F21325FFD17D_13</vt:lpwstr>
  </property>
  <property fmtid="{D5CDD505-2E9C-101B-9397-08002B2CF9AE}" pid="4" name="KSOTemplateDocerSaveRecord">
    <vt:lpwstr>eyJoZGlkIjoiZjkxN2Q5OGUzODc2YzlkM2M1Njg0NjMyM2YzMDNhNzMiLCJ1c2VySWQiOiIyNjE0MDU3NzcifQ==</vt:lpwstr>
  </property>
</Properties>
</file>