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8B" w:rsidRDefault="0070618B">
      <w:pPr>
        <w:spacing w:line="540" w:lineRule="exact"/>
        <w:jc w:val="center"/>
        <w:rPr>
          <w:rFonts w:ascii="黑体" w:eastAsia="黑体" w:hAnsi="黑体" w:cs="Times New Roman"/>
          <w:b/>
          <w:color w:val="000000" w:themeColor="text1"/>
          <w:sz w:val="36"/>
          <w:szCs w:val="36"/>
        </w:rPr>
      </w:pPr>
      <w:r>
        <w:rPr>
          <w:rFonts w:ascii="黑体" w:eastAsia="黑体" w:hAnsi="黑体" w:cs="Times New Roman"/>
          <w:b/>
          <w:bCs/>
          <w:color w:val="000000" w:themeColor="text1"/>
          <w:sz w:val="36"/>
          <w:szCs w:val="36"/>
        </w:rPr>
        <w:t>中银国际证券股份有限公司关于调低</w:t>
      </w:r>
      <w:r>
        <w:rPr>
          <w:rFonts w:ascii="黑体" w:eastAsia="黑体" w:hAnsi="黑体" w:cs="Times New Roman" w:hint="eastAsia"/>
          <w:b/>
          <w:bCs/>
          <w:color w:val="000000" w:themeColor="text1"/>
          <w:sz w:val="36"/>
          <w:szCs w:val="36"/>
        </w:rPr>
        <w:t>中银证券汇裕一年定期开放债券型发起式证券投资基金托管</w:t>
      </w:r>
      <w:r>
        <w:rPr>
          <w:rFonts w:ascii="黑体" w:eastAsia="黑体" w:hAnsi="黑体" w:cs="Times New Roman"/>
          <w:b/>
          <w:bCs/>
          <w:color w:val="000000" w:themeColor="text1"/>
          <w:sz w:val="36"/>
          <w:szCs w:val="36"/>
        </w:rPr>
        <w:t>费率并修改基金合同的公告</w:t>
      </w:r>
    </w:p>
    <w:p w:rsidR="0014318B" w:rsidRDefault="0014318B">
      <w:pPr>
        <w:spacing w:line="540" w:lineRule="exact"/>
        <w:rPr>
          <w:rFonts w:ascii="仿宋" w:eastAsia="仿宋" w:hAnsi="仿宋"/>
          <w:color w:val="000000" w:themeColor="text1"/>
          <w:sz w:val="32"/>
          <w:szCs w:val="32"/>
        </w:rPr>
      </w:pPr>
    </w:p>
    <w:p w:rsidR="0014318B" w:rsidRDefault="0070618B">
      <w:pPr>
        <w:spacing w:line="540" w:lineRule="exact"/>
        <w:ind w:firstLineChars="250" w:firstLine="600"/>
        <w:rPr>
          <w:rFonts w:ascii="宋体" w:eastAsia="宋体" w:hAnsi="宋体"/>
          <w:bCs/>
          <w:color w:val="000000" w:themeColor="text1"/>
          <w:sz w:val="24"/>
          <w:szCs w:val="24"/>
        </w:rPr>
      </w:pPr>
      <w:r>
        <w:rPr>
          <w:rFonts w:ascii="宋体" w:eastAsia="宋体" w:hAnsi="宋体" w:hint="eastAsia"/>
          <w:bCs/>
          <w:color w:val="000000" w:themeColor="text1"/>
          <w:sz w:val="24"/>
          <w:szCs w:val="24"/>
        </w:rPr>
        <w:t>为更好满足广大投资者的投资理财需求，降低投资者的理财成本，经与中银证券汇裕一年定期开放债券型发起式证券投资基金（以下简称“本基金”）的基金托管人</w:t>
      </w:r>
      <w:r>
        <w:rPr>
          <w:rFonts w:ascii="宋体" w:eastAsia="宋体" w:hAnsi="宋体"/>
          <w:bCs/>
          <w:color w:val="000000" w:themeColor="text1"/>
          <w:sz w:val="24"/>
          <w:szCs w:val="24"/>
        </w:rPr>
        <w:t>交通银行股份有限公司</w:t>
      </w:r>
      <w:r>
        <w:rPr>
          <w:rFonts w:ascii="宋体" w:eastAsia="宋体" w:hAnsi="宋体" w:hint="eastAsia"/>
          <w:bCs/>
          <w:color w:val="000000" w:themeColor="text1"/>
          <w:sz w:val="24"/>
          <w:szCs w:val="24"/>
        </w:rPr>
        <w:t>协商一致，中银国际证券股份有限公司（以下简称“本公司”）决定自</w:t>
      </w:r>
      <w:r>
        <w:rPr>
          <w:rFonts w:ascii="宋体" w:eastAsia="宋体" w:hAnsi="宋体" w:hint="eastAsia"/>
          <w:bCs/>
          <w:color w:val="000000" w:themeColor="text1"/>
          <w:sz w:val="24"/>
          <w:szCs w:val="24"/>
        </w:rPr>
        <w:t>2</w:t>
      </w:r>
      <w:r>
        <w:rPr>
          <w:rFonts w:ascii="宋体" w:eastAsia="宋体" w:hAnsi="宋体"/>
          <w:bCs/>
          <w:color w:val="000000" w:themeColor="text1"/>
          <w:sz w:val="24"/>
          <w:szCs w:val="24"/>
        </w:rPr>
        <w:t>02</w:t>
      </w:r>
      <w:r>
        <w:rPr>
          <w:rFonts w:ascii="宋体" w:eastAsia="宋体" w:hAnsi="宋体" w:hint="eastAsia"/>
          <w:bCs/>
          <w:color w:val="000000" w:themeColor="text1"/>
          <w:sz w:val="24"/>
          <w:szCs w:val="24"/>
        </w:rPr>
        <w:t>5</w:t>
      </w:r>
      <w:r>
        <w:rPr>
          <w:rFonts w:ascii="宋体" w:eastAsia="宋体" w:hAnsi="宋体" w:hint="eastAsia"/>
          <w:bCs/>
          <w:color w:val="000000" w:themeColor="text1"/>
          <w:sz w:val="24"/>
          <w:szCs w:val="24"/>
        </w:rPr>
        <w:t>年</w:t>
      </w:r>
      <w:r>
        <w:rPr>
          <w:rFonts w:ascii="宋体" w:eastAsia="宋体" w:hAnsi="宋体" w:hint="eastAsia"/>
          <w:bCs/>
          <w:color w:val="000000" w:themeColor="text1"/>
          <w:sz w:val="24"/>
          <w:szCs w:val="24"/>
        </w:rPr>
        <w:t>4</w:t>
      </w:r>
      <w:r>
        <w:rPr>
          <w:rFonts w:ascii="宋体" w:eastAsia="宋体" w:hAnsi="宋体" w:hint="eastAsia"/>
          <w:bCs/>
          <w:color w:val="000000" w:themeColor="text1"/>
          <w:sz w:val="24"/>
          <w:szCs w:val="24"/>
        </w:rPr>
        <w:t>月</w:t>
      </w:r>
      <w:r>
        <w:rPr>
          <w:rFonts w:ascii="宋体" w:eastAsia="宋体" w:hAnsi="宋体" w:hint="eastAsia"/>
          <w:bCs/>
          <w:color w:val="000000" w:themeColor="text1"/>
          <w:sz w:val="24"/>
          <w:szCs w:val="24"/>
        </w:rPr>
        <w:t>24</w:t>
      </w:r>
      <w:r>
        <w:rPr>
          <w:rFonts w:ascii="宋体" w:eastAsia="宋体" w:hAnsi="宋体" w:hint="eastAsia"/>
          <w:bCs/>
          <w:color w:val="000000" w:themeColor="text1"/>
          <w:sz w:val="24"/>
          <w:szCs w:val="24"/>
        </w:rPr>
        <w:t>日起，调低</w:t>
      </w:r>
      <w:r>
        <w:rPr>
          <w:rFonts w:ascii="宋体" w:eastAsia="宋体" w:hAnsi="宋体" w:hint="eastAsia"/>
          <w:bCs/>
          <w:color w:val="000000" w:themeColor="text1"/>
          <w:sz w:val="24"/>
          <w:szCs w:val="24"/>
        </w:rPr>
        <w:t>本基金托管费</w:t>
      </w:r>
      <w:r>
        <w:rPr>
          <w:rFonts w:ascii="宋体" w:eastAsia="宋体" w:hAnsi="宋体" w:hint="eastAsia"/>
          <w:bCs/>
          <w:color w:val="000000" w:themeColor="text1"/>
          <w:sz w:val="24"/>
          <w:szCs w:val="24"/>
        </w:rPr>
        <w:t>率并对基金合同有关条款进行修订，现将有关修订内容说明如下：</w:t>
      </w:r>
    </w:p>
    <w:tbl>
      <w:tblPr>
        <w:tblW w:w="7821" w:type="dxa"/>
        <w:jc w:val="center"/>
        <w:tblLayout w:type="fixed"/>
        <w:tblLook w:val="04A0"/>
      </w:tblPr>
      <w:tblGrid>
        <w:gridCol w:w="4253"/>
        <w:gridCol w:w="1842"/>
        <w:gridCol w:w="1726"/>
      </w:tblGrid>
      <w:tr w:rsidR="0014318B">
        <w:trPr>
          <w:trHeight w:val="642"/>
          <w:jc w:val="center"/>
        </w:trPr>
        <w:tc>
          <w:tcPr>
            <w:tcW w:w="4253" w:type="dxa"/>
            <w:tcBorders>
              <w:top w:val="single" w:sz="4" w:space="0" w:color="000000"/>
              <w:left w:val="single" w:sz="4" w:space="0" w:color="000000"/>
              <w:bottom w:val="single" w:sz="4" w:space="0" w:color="000000"/>
              <w:right w:val="single" w:sz="4" w:space="0" w:color="000000"/>
            </w:tcBorders>
            <w:noWrap/>
            <w:vAlign w:val="center"/>
          </w:tcPr>
          <w:p w:rsidR="0014318B" w:rsidRDefault="0070618B">
            <w:pPr>
              <w:widowControl/>
              <w:jc w:val="center"/>
              <w:textAlignment w:val="bottom"/>
              <w:rPr>
                <w:rFonts w:ascii="宋体" w:eastAsia="宋体" w:hAnsi="宋体"/>
                <w:bCs/>
                <w:color w:val="000000" w:themeColor="text1"/>
                <w:sz w:val="24"/>
                <w:szCs w:val="24"/>
              </w:rPr>
            </w:pPr>
            <w:r>
              <w:rPr>
                <w:rFonts w:ascii="宋体" w:eastAsia="宋体" w:hAnsi="宋体" w:hint="eastAsia"/>
                <w:bCs/>
                <w:color w:val="000000" w:themeColor="text1"/>
                <w:sz w:val="24"/>
                <w:szCs w:val="24"/>
              </w:rPr>
              <w:t>基金全称</w:t>
            </w:r>
          </w:p>
        </w:tc>
        <w:tc>
          <w:tcPr>
            <w:tcW w:w="1842" w:type="dxa"/>
            <w:tcBorders>
              <w:top w:val="single" w:sz="4" w:space="0" w:color="000000"/>
              <w:left w:val="single" w:sz="4" w:space="0" w:color="000000"/>
              <w:right w:val="single" w:sz="4" w:space="0" w:color="000000"/>
            </w:tcBorders>
            <w:vAlign w:val="center"/>
          </w:tcPr>
          <w:p w:rsidR="0014318B" w:rsidRDefault="0070618B">
            <w:pPr>
              <w:widowControl/>
              <w:jc w:val="center"/>
              <w:textAlignment w:val="bottom"/>
              <w:rPr>
                <w:rFonts w:ascii="宋体" w:eastAsia="宋体" w:hAnsi="宋体"/>
                <w:bCs/>
                <w:color w:val="000000" w:themeColor="text1"/>
                <w:sz w:val="24"/>
                <w:szCs w:val="24"/>
              </w:rPr>
            </w:pPr>
            <w:r>
              <w:rPr>
                <w:rFonts w:ascii="宋体" w:eastAsia="宋体" w:hAnsi="宋体" w:hint="eastAsia"/>
                <w:bCs/>
                <w:color w:val="000000" w:themeColor="text1"/>
                <w:sz w:val="24"/>
                <w:szCs w:val="24"/>
              </w:rPr>
              <w:t>调整前</w:t>
            </w:r>
          </w:p>
          <w:p w:rsidR="0014318B" w:rsidRDefault="0070618B">
            <w:pPr>
              <w:widowControl/>
              <w:jc w:val="center"/>
              <w:textAlignment w:val="bottom"/>
              <w:rPr>
                <w:rFonts w:ascii="宋体" w:eastAsia="宋体" w:hAnsi="宋体"/>
                <w:bCs/>
                <w:color w:val="000000" w:themeColor="text1"/>
                <w:sz w:val="24"/>
                <w:szCs w:val="24"/>
              </w:rPr>
            </w:pPr>
            <w:r>
              <w:rPr>
                <w:rFonts w:ascii="宋体" w:eastAsia="宋体" w:hAnsi="宋体" w:hint="eastAsia"/>
                <w:bCs/>
                <w:color w:val="000000" w:themeColor="text1"/>
                <w:sz w:val="24"/>
                <w:szCs w:val="24"/>
              </w:rPr>
              <w:t>托管费率</w:t>
            </w:r>
          </w:p>
        </w:tc>
        <w:tc>
          <w:tcPr>
            <w:tcW w:w="1726" w:type="dxa"/>
            <w:tcBorders>
              <w:top w:val="single" w:sz="4" w:space="0" w:color="000000"/>
              <w:left w:val="single" w:sz="4" w:space="0" w:color="000000"/>
              <w:bottom w:val="single" w:sz="4" w:space="0" w:color="000000"/>
              <w:right w:val="single" w:sz="4" w:space="0" w:color="000000"/>
            </w:tcBorders>
            <w:vAlign w:val="center"/>
          </w:tcPr>
          <w:p w:rsidR="0014318B" w:rsidRDefault="0070618B">
            <w:pPr>
              <w:widowControl/>
              <w:jc w:val="center"/>
              <w:textAlignment w:val="bottom"/>
              <w:rPr>
                <w:rFonts w:ascii="宋体" w:eastAsia="宋体" w:hAnsi="宋体"/>
                <w:bCs/>
                <w:color w:val="000000" w:themeColor="text1"/>
                <w:sz w:val="24"/>
                <w:szCs w:val="24"/>
              </w:rPr>
            </w:pPr>
            <w:r>
              <w:rPr>
                <w:rFonts w:ascii="宋体" w:eastAsia="宋体" w:hAnsi="宋体" w:hint="eastAsia"/>
                <w:bCs/>
                <w:color w:val="000000" w:themeColor="text1"/>
                <w:sz w:val="24"/>
                <w:szCs w:val="24"/>
              </w:rPr>
              <w:t>拟调整后</w:t>
            </w:r>
          </w:p>
          <w:p w:rsidR="0014318B" w:rsidRDefault="0070618B">
            <w:pPr>
              <w:widowControl/>
              <w:jc w:val="center"/>
              <w:textAlignment w:val="bottom"/>
              <w:rPr>
                <w:rFonts w:ascii="宋体" w:eastAsia="宋体" w:hAnsi="宋体"/>
                <w:bCs/>
                <w:color w:val="000000" w:themeColor="text1"/>
                <w:sz w:val="24"/>
                <w:szCs w:val="24"/>
              </w:rPr>
            </w:pPr>
            <w:r>
              <w:rPr>
                <w:rFonts w:ascii="宋体" w:eastAsia="宋体" w:hAnsi="宋体" w:hint="eastAsia"/>
                <w:bCs/>
                <w:color w:val="000000" w:themeColor="text1"/>
                <w:sz w:val="24"/>
                <w:szCs w:val="24"/>
              </w:rPr>
              <w:t>托管费率</w:t>
            </w:r>
          </w:p>
        </w:tc>
      </w:tr>
      <w:tr w:rsidR="0014318B">
        <w:trPr>
          <w:trHeight w:val="255"/>
          <w:jc w:val="center"/>
        </w:trPr>
        <w:tc>
          <w:tcPr>
            <w:tcW w:w="4253" w:type="dxa"/>
            <w:tcBorders>
              <w:top w:val="single" w:sz="4" w:space="0" w:color="000000"/>
              <w:left w:val="single" w:sz="4" w:space="0" w:color="000000"/>
              <w:bottom w:val="single" w:sz="4" w:space="0" w:color="000000"/>
              <w:right w:val="single" w:sz="4" w:space="0" w:color="000000"/>
            </w:tcBorders>
            <w:noWrap/>
            <w:vAlign w:val="bottom"/>
          </w:tcPr>
          <w:p w:rsidR="0014318B" w:rsidRDefault="0070618B">
            <w:pPr>
              <w:widowControl/>
              <w:jc w:val="left"/>
              <w:textAlignment w:val="bottom"/>
              <w:rPr>
                <w:rFonts w:ascii="宋体" w:eastAsia="宋体" w:hAnsi="宋体"/>
                <w:bCs/>
                <w:color w:val="000000" w:themeColor="text1"/>
                <w:sz w:val="24"/>
                <w:szCs w:val="24"/>
              </w:rPr>
            </w:pPr>
            <w:r>
              <w:rPr>
                <w:rFonts w:ascii="宋体" w:eastAsia="宋体" w:hAnsi="宋体" w:hint="eastAsia"/>
                <w:bCs/>
                <w:color w:val="000000" w:themeColor="text1"/>
                <w:sz w:val="24"/>
                <w:szCs w:val="24"/>
              </w:rPr>
              <w:t>中银证券汇裕一年定期开放债券型发起式证券投资基金</w:t>
            </w: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14318B" w:rsidRDefault="0070618B">
            <w:pPr>
              <w:widowControl/>
              <w:jc w:val="center"/>
              <w:textAlignment w:val="bottom"/>
              <w:rPr>
                <w:rFonts w:ascii="宋体" w:eastAsia="宋体" w:hAnsi="宋体"/>
                <w:bCs/>
                <w:color w:val="000000" w:themeColor="text1"/>
                <w:sz w:val="24"/>
                <w:szCs w:val="24"/>
              </w:rPr>
            </w:pPr>
            <w:r>
              <w:rPr>
                <w:rFonts w:ascii="宋体" w:eastAsia="宋体" w:hAnsi="宋体" w:hint="eastAsia"/>
                <w:bCs/>
                <w:color w:val="000000" w:themeColor="text1"/>
                <w:sz w:val="24"/>
                <w:szCs w:val="24"/>
              </w:rPr>
              <w:t>0.10%</w:t>
            </w:r>
          </w:p>
        </w:tc>
        <w:tc>
          <w:tcPr>
            <w:tcW w:w="1726" w:type="dxa"/>
            <w:tcBorders>
              <w:top w:val="single" w:sz="4" w:space="0" w:color="000000"/>
              <w:left w:val="single" w:sz="4" w:space="0" w:color="000000"/>
              <w:bottom w:val="single" w:sz="4" w:space="0" w:color="000000"/>
              <w:right w:val="single" w:sz="4" w:space="0" w:color="000000"/>
            </w:tcBorders>
            <w:noWrap/>
            <w:vAlign w:val="bottom"/>
          </w:tcPr>
          <w:p w:rsidR="0014318B" w:rsidRDefault="0070618B">
            <w:pPr>
              <w:widowControl/>
              <w:jc w:val="center"/>
              <w:textAlignment w:val="bottom"/>
              <w:rPr>
                <w:rFonts w:ascii="宋体" w:eastAsia="宋体" w:hAnsi="宋体"/>
                <w:bCs/>
                <w:color w:val="000000" w:themeColor="text1"/>
                <w:sz w:val="24"/>
                <w:szCs w:val="24"/>
              </w:rPr>
            </w:pPr>
            <w:r>
              <w:rPr>
                <w:rFonts w:ascii="宋体" w:eastAsia="宋体" w:hAnsi="宋体" w:hint="eastAsia"/>
                <w:bCs/>
                <w:color w:val="000000" w:themeColor="text1"/>
                <w:sz w:val="24"/>
                <w:szCs w:val="24"/>
              </w:rPr>
              <w:t>0.05%</w:t>
            </w:r>
          </w:p>
        </w:tc>
      </w:tr>
    </w:tbl>
    <w:p w:rsidR="0014318B" w:rsidRDefault="0014318B">
      <w:pPr>
        <w:spacing w:line="540" w:lineRule="exact"/>
        <w:rPr>
          <w:rFonts w:ascii="宋体" w:eastAsia="宋体" w:hAnsi="宋体"/>
          <w:bCs/>
          <w:color w:val="000000" w:themeColor="text1"/>
          <w:sz w:val="24"/>
          <w:szCs w:val="24"/>
        </w:rPr>
      </w:pPr>
    </w:p>
    <w:p w:rsidR="0014318B" w:rsidRDefault="0070618B">
      <w:pPr>
        <w:spacing w:line="540" w:lineRule="exact"/>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1</w:t>
      </w:r>
      <w:r>
        <w:rPr>
          <w:rFonts w:ascii="宋体" w:eastAsia="宋体" w:hAnsi="宋体" w:hint="eastAsia"/>
          <w:bCs/>
          <w:color w:val="000000" w:themeColor="text1"/>
          <w:sz w:val="24"/>
          <w:szCs w:val="24"/>
        </w:rPr>
        <w:t>、根据相关法律法规和基金合同的约定，本公司决定调低中银证券汇裕一年定期开放债券型发起式证券投资基金的托管费率，并对基金合同进行必要的修订。</w:t>
      </w:r>
      <w:r>
        <w:rPr>
          <w:rFonts w:ascii="宋体" w:eastAsia="宋体" w:hAnsi="宋体"/>
          <w:bCs/>
          <w:color w:val="000000" w:themeColor="text1"/>
          <w:sz w:val="24"/>
          <w:szCs w:val="24"/>
        </w:rPr>
        <w:t>本</w:t>
      </w:r>
      <w:r>
        <w:rPr>
          <w:rFonts w:ascii="宋体" w:eastAsia="宋体" w:hAnsi="宋体" w:hint="eastAsia"/>
          <w:bCs/>
          <w:color w:val="000000" w:themeColor="text1"/>
          <w:sz w:val="24"/>
          <w:szCs w:val="24"/>
        </w:rPr>
        <w:t>基金的托管协议、招募说明书、基金产品资料概要据此相应进行必要的修订。</w:t>
      </w:r>
    </w:p>
    <w:p w:rsidR="0014318B" w:rsidRDefault="0070618B">
      <w:pPr>
        <w:spacing w:line="540" w:lineRule="exact"/>
        <w:ind w:firstLine="600"/>
        <w:rPr>
          <w:rFonts w:ascii="宋体" w:eastAsia="宋体" w:hAnsi="宋体"/>
          <w:bCs/>
          <w:color w:val="000000" w:themeColor="text1"/>
          <w:sz w:val="24"/>
          <w:szCs w:val="24"/>
        </w:rPr>
      </w:pPr>
      <w:r>
        <w:rPr>
          <w:rFonts w:ascii="宋体" w:eastAsia="宋体" w:hAnsi="宋体" w:hint="eastAsia"/>
          <w:bCs/>
          <w:color w:val="000000" w:themeColor="text1"/>
          <w:sz w:val="24"/>
          <w:szCs w:val="24"/>
        </w:rPr>
        <w:t>2</w:t>
      </w:r>
      <w:r>
        <w:rPr>
          <w:rFonts w:ascii="宋体" w:eastAsia="宋体" w:hAnsi="宋体" w:hint="eastAsia"/>
          <w:bCs/>
          <w:color w:val="000000" w:themeColor="text1"/>
          <w:sz w:val="24"/>
          <w:szCs w:val="24"/>
        </w:rPr>
        <w:t>、本次中银证券汇裕一年定期开放债券型发起式证券投资基金的基金合同、托管协议、招募说明书和基金产品资料概要修订的内容和程序符合有关法律法规和基金合同的规定，对本基金现有基金份额持有人利益无实质性不利影响，根据基金合同的约定无需召开基金份额持有人大会进行表决。除上述要素外，其余要素不作变更。本次修订后的基金合同、托管协议、招募说明书（更新）和基金产品资料概要（更新）将在本公司网站（</w:t>
      </w:r>
      <w:r>
        <w:rPr>
          <w:rFonts w:ascii="宋体" w:eastAsia="宋体" w:hAnsi="宋体"/>
          <w:bCs/>
          <w:color w:val="000000" w:themeColor="text1"/>
          <w:sz w:val="24"/>
          <w:szCs w:val="24"/>
        </w:rPr>
        <w:t>www.bocifunds.com</w:t>
      </w:r>
      <w:r>
        <w:rPr>
          <w:rFonts w:ascii="宋体" w:eastAsia="宋体" w:hAnsi="宋体" w:hint="eastAsia"/>
          <w:bCs/>
          <w:color w:val="000000" w:themeColor="text1"/>
          <w:sz w:val="24"/>
          <w:szCs w:val="24"/>
        </w:rPr>
        <w:t>）和中国证监会基金电子</w:t>
      </w:r>
      <w:r>
        <w:rPr>
          <w:rFonts w:ascii="宋体" w:eastAsia="宋体" w:hAnsi="宋体"/>
          <w:bCs/>
          <w:color w:val="000000" w:themeColor="text1"/>
          <w:sz w:val="24"/>
          <w:szCs w:val="24"/>
        </w:rPr>
        <w:t>披露网站</w:t>
      </w:r>
      <w:r>
        <w:rPr>
          <w:rFonts w:ascii="宋体" w:eastAsia="宋体" w:hAnsi="宋体" w:hint="eastAsia"/>
          <w:bCs/>
          <w:color w:val="000000" w:themeColor="text1"/>
          <w:sz w:val="24"/>
          <w:szCs w:val="24"/>
        </w:rPr>
        <w:t>（</w:t>
      </w:r>
      <w:r>
        <w:rPr>
          <w:rFonts w:ascii="宋体" w:eastAsia="宋体" w:hAnsi="宋体" w:hint="eastAsia"/>
          <w:bCs/>
          <w:color w:val="000000" w:themeColor="text1"/>
          <w:sz w:val="24"/>
          <w:szCs w:val="24"/>
        </w:rPr>
        <w:t>http://eid.csrc.gov.cn/fund</w:t>
      </w:r>
      <w:r>
        <w:rPr>
          <w:rFonts w:ascii="宋体" w:eastAsia="宋体" w:hAnsi="宋体" w:hint="eastAsia"/>
          <w:bCs/>
          <w:color w:val="000000" w:themeColor="text1"/>
          <w:sz w:val="24"/>
          <w:szCs w:val="24"/>
        </w:rPr>
        <w:t>）披露</w:t>
      </w:r>
      <w:r>
        <w:rPr>
          <w:rFonts w:ascii="宋体" w:eastAsia="宋体" w:hAnsi="宋体"/>
          <w:bCs/>
          <w:color w:val="000000" w:themeColor="text1"/>
          <w:sz w:val="24"/>
          <w:szCs w:val="24"/>
        </w:rPr>
        <w:t>，供</w:t>
      </w:r>
      <w:r>
        <w:rPr>
          <w:rFonts w:ascii="宋体" w:eastAsia="宋体" w:hAnsi="宋体"/>
          <w:bCs/>
          <w:color w:val="000000" w:themeColor="text1"/>
          <w:sz w:val="24"/>
          <w:szCs w:val="24"/>
        </w:rPr>
        <w:t>投资者查阅。</w:t>
      </w:r>
      <w:r>
        <w:rPr>
          <w:rFonts w:ascii="宋体" w:eastAsia="宋体" w:hAnsi="宋体" w:hint="eastAsia"/>
          <w:bCs/>
          <w:color w:val="000000" w:themeColor="text1"/>
          <w:sz w:val="24"/>
          <w:szCs w:val="24"/>
        </w:rPr>
        <w:t>投资人办理基金交易等相关业务前，应仔细阅读</w:t>
      </w:r>
      <w:r>
        <w:rPr>
          <w:rFonts w:ascii="宋体" w:eastAsia="宋体" w:hAnsi="宋体"/>
          <w:bCs/>
          <w:color w:val="000000" w:themeColor="text1"/>
          <w:sz w:val="24"/>
          <w:szCs w:val="24"/>
        </w:rPr>
        <w:t>本</w:t>
      </w:r>
      <w:r>
        <w:rPr>
          <w:rFonts w:ascii="宋体" w:eastAsia="宋体" w:hAnsi="宋体" w:hint="eastAsia"/>
          <w:bCs/>
          <w:color w:val="000000" w:themeColor="text1"/>
          <w:sz w:val="24"/>
          <w:szCs w:val="24"/>
        </w:rPr>
        <w:t>基金的基金合同、招募说明书、基金产品资料概要、风险提示及相关业务规则等文件。</w:t>
      </w:r>
    </w:p>
    <w:p w:rsidR="0014318B" w:rsidRDefault="0070618B">
      <w:pPr>
        <w:spacing w:line="540" w:lineRule="exact"/>
        <w:ind w:firstLine="600"/>
        <w:rPr>
          <w:rFonts w:ascii="宋体" w:eastAsia="宋体" w:hAnsi="宋体"/>
          <w:bCs/>
          <w:color w:val="000000" w:themeColor="text1"/>
          <w:sz w:val="24"/>
          <w:szCs w:val="24"/>
        </w:rPr>
      </w:pPr>
      <w:r>
        <w:rPr>
          <w:rFonts w:ascii="宋体" w:eastAsia="宋体" w:hAnsi="宋体" w:hint="eastAsia"/>
          <w:bCs/>
          <w:color w:val="000000" w:themeColor="text1"/>
          <w:sz w:val="24"/>
          <w:szCs w:val="24"/>
        </w:rPr>
        <w:lastRenderedPageBreak/>
        <w:t>如有疑问可访问本公司网站（</w:t>
      </w:r>
      <w:r>
        <w:rPr>
          <w:rFonts w:ascii="宋体" w:eastAsia="宋体" w:hAnsi="宋体"/>
          <w:bCs/>
          <w:color w:val="000000" w:themeColor="text1"/>
          <w:sz w:val="24"/>
          <w:szCs w:val="24"/>
        </w:rPr>
        <w:t>www.bocifunds.com</w:t>
      </w:r>
      <w:r>
        <w:rPr>
          <w:rFonts w:ascii="宋体" w:eastAsia="宋体" w:hAnsi="宋体" w:hint="eastAsia"/>
          <w:bCs/>
          <w:color w:val="000000" w:themeColor="text1"/>
          <w:sz w:val="24"/>
          <w:szCs w:val="24"/>
        </w:rPr>
        <w:t>）、拨打本公司客服电话（</w:t>
      </w:r>
      <w:r>
        <w:rPr>
          <w:rFonts w:ascii="宋体" w:eastAsia="宋体" w:hAnsi="宋体" w:hint="eastAsia"/>
          <w:bCs/>
          <w:color w:val="000000" w:themeColor="text1"/>
          <w:sz w:val="24"/>
          <w:szCs w:val="24"/>
        </w:rPr>
        <w:t>956026 / 400-620-8888</w:t>
      </w:r>
      <w:r>
        <w:rPr>
          <w:rFonts w:ascii="宋体" w:eastAsia="宋体" w:hAnsi="宋体" w:hint="eastAsia"/>
          <w:bCs/>
          <w:color w:val="000000" w:themeColor="text1"/>
          <w:sz w:val="24"/>
          <w:szCs w:val="24"/>
        </w:rPr>
        <w:t>（免长途通话费）选择</w:t>
      </w:r>
      <w:r>
        <w:rPr>
          <w:rFonts w:ascii="宋体" w:eastAsia="宋体" w:hAnsi="宋体" w:hint="eastAsia"/>
          <w:bCs/>
          <w:color w:val="000000" w:themeColor="text1"/>
          <w:sz w:val="24"/>
          <w:szCs w:val="24"/>
        </w:rPr>
        <w:t>6</w:t>
      </w:r>
      <w:r>
        <w:rPr>
          <w:rFonts w:ascii="宋体" w:eastAsia="宋体" w:hAnsi="宋体" w:hint="eastAsia"/>
          <w:bCs/>
          <w:color w:val="000000" w:themeColor="text1"/>
          <w:sz w:val="24"/>
          <w:szCs w:val="24"/>
        </w:rPr>
        <w:t>公募基金业务转人工）咨询</w:t>
      </w:r>
      <w:r>
        <w:rPr>
          <w:rFonts w:ascii="宋体" w:eastAsia="宋体" w:hAnsi="宋体"/>
          <w:bCs/>
          <w:color w:val="000000" w:themeColor="text1"/>
          <w:sz w:val="24"/>
          <w:szCs w:val="24"/>
        </w:rPr>
        <w:t>。</w:t>
      </w:r>
    </w:p>
    <w:p w:rsidR="0014318B" w:rsidRDefault="0070618B">
      <w:pPr>
        <w:spacing w:line="540" w:lineRule="exact"/>
        <w:ind w:firstLineChars="250" w:firstLine="600"/>
        <w:rPr>
          <w:rFonts w:ascii="宋体" w:eastAsia="宋体" w:hAnsi="宋体"/>
          <w:bCs/>
          <w:color w:val="000000" w:themeColor="text1"/>
          <w:sz w:val="24"/>
          <w:szCs w:val="24"/>
        </w:rPr>
      </w:pPr>
      <w:r>
        <w:rPr>
          <w:rFonts w:ascii="宋体" w:eastAsia="宋体" w:hAnsi="宋体" w:hint="eastAsia"/>
          <w:bCs/>
          <w:color w:val="000000" w:themeColor="text1"/>
          <w:sz w:val="24"/>
          <w:szCs w:val="24"/>
        </w:rPr>
        <w:t>本基金管理人承诺以诚实信</w:t>
      </w:r>
      <w:r>
        <w:rPr>
          <w:rFonts w:ascii="宋体" w:eastAsia="宋体" w:hAnsi="宋体"/>
          <w:bCs/>
          <w:color w:val="000000" w:themeColor="text1"/>
          <w:sz w:val="24"/>
          <w:szCs w:val="24"/>
        </w:rPr>
        <w:t>用、勤勉尽责的原则管理和运</w:t>
      </w:r>
      <w:r>
        <w:rPr>
          <w:rFonts w:ascii="宋体" w:eastAsia="宋体" w:hAnsi="宋体" w:hint="eastAsia"/>
          <w:bCs/>
          <w:color w:val="000000" w:themeColor="text1"/>
          <w:sz w:val="24"/>
          <w:szCs w:val="24"/>
        </w:rPr>
        <w:t>用</w:t>
      </w:r>
      <w:r>
        <w:rPr>
          <w:rFonts w:ascii="宋体" w:eastAsia="宋体" w:hAnsi="宋体"/>
          <w:bCs/>
          <w:color w:val="000000" w:themeColor="text1"/>
          <w:sz w:val="24"/>
          <w:szCs w:val="24"/>
        </w:rPr>
        <w:t>基金资产，但不保证本</w:t>
      </w:r>
      <w:r>
        <w:rPr>
          <w:rFonts w:ascii="宋体" w:eastAsia="宋体" w:hAnsi="宋体" w:hint="eastAsia"/>
          <w:bCs/>
          <w:color w:val="000000" w:themeColor="text1"/>
          <w:sz w:val="24"/>
          <w:szCs w:val="24"/>
        </w:rPr>
        <w:t>基金</w:t>
      </w:r>
      <w:r>
        <w:rPr>
          <w:rFonts w:ascii="宋体" w:eastAsia="宋体" w:hAnsi="宋体"/>
          <w:bCs/>
          <w:color w:val="000000" w:themeColor="text1"/>
          <w:sz w:val="24"/>
          <w:szCs w:val="24"/>
        </w:rPr>
        <w:t>一定盈利，也不保证最低收益。</w:t>
      </w:r>
      <w:r>
        <w:rPr>
          <w:rFonts w:ascii="宋体" w:eastAsia="宋体" w:hAnsi="宋体" w:hint="eastAsia"/>
          <w:bCs/>
          <w:color w:val="000000" w:themeColor="text1"/>
          <w:sz w:val="24"/>
          <w:szCs w:val="24"/>
        </w:rPr>
        <w:t>请充分了解本基金的风险收益</w:t>
      </w:r>
      <w:r>
        <w:rPr>
          <w:rFonts w:ascii="宋体" w:eastAsia="宋体" w:hAnsi="宋体"/>
          <w:bCs/>
          <w:color w:val="000000" w:themeColor="text1"/>
          <w:sz w:val="24"/>
          <w:szCs w:val="24"/>
        </w:rPr>
        <w:t>特征</w:t>
      </w:r>
      <w:r>
        <w:rPr>
          <w:rFonts w:ascii="宋体" w:eastAsia="宋体" w:hAnsi="宋体" w:hint="eastAsia"/>
          <w:bCs/>
          <w:color w:val="000000" w:themeColor="text1"/>
          <w:sz w:val="24"/>
          <w:szCs w:val="24"/>
        </w:rPr>
        <w:t>，审慎做出投资决定。</w:t>
      </w:r>
    </w:p>
    <w:p w:rsidR="0014318B" w:rsidRDefault="0070618B">
      <w:pPr>
        <w:spacing w:line="540" w:lineRule="exact"/>
        <w:ind w:firstLineChars="250" w:firstLine="600"/>
        <w:rPr>
          <w:rFonts w:ascii="宋体" w:eastAsia="宋体" w:hAnsi="宋体"/>
          <w:bCs/>
          <w:color w:val="000000" w:themeColor="text1"/>
          <w:sz w:val="24"/>
          <w:szCs w:val="24"/>
        </w:rPr>
      </w:pPr>
      <w:r>
        <w:rPr>
          <w:rFonts w:ascii="宋体" w:eastAsia="宋体" w:hAnsi="宋体" w:hint="eastAsia"/>
          <w:bCs/>
          <w:color w:val="000000" w:themeColor="text1"/>
          <w:sz w:val="24"/>
          <w:szCs w:val="24"/>
        </w:rPr>
        <w:t>特此公告。</w:t>
      </w:r>
    </w:p>
    <w:p w:rsidR="0014318B" w:rsidRDefault="0070618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p>
    <w:p w:rsidR="0014318B" w:rsidRDefault="0070618B">
      <w:pPr>
        <w:spacing w:line="540" w:lineRule="exact"/>
        <w:ind w:firstLineChars="250" w:firstLine="600"/>
        <w:jc w:val="right"/>
        <w:rPr>
          <w:rFonts w:ascii="宋体" w:eastAsia="宋体" w:hAnsi="宋体"/>
          <w:bCs/>
          <w:color w:val="000000" w:themeColor="text1"/>
          <w:sz w:val="24"/>
          <w:szCs w:val="24"/>
        </w:rPr>
      </w:pPr>
      <w:r>
        <w:rPr>
          <w:rFonts w:ascii="宋体" w:eastAsia="宋体" w:hAnsi="宋体" w:hint="eastAsia"/>
          <w:bCs/>
          <w:color w:val="000000" w:themeColor="text1"/>
          <w:sz w:val="24"/>
          <w:szCs w:val="24"/>
        </w:rPr>
        <w:t>中银国际证券股份有限公司</w:t>
      </w:r>
    </w:p>
    <w:p w:rsidR="0014318B" w:rsidRDefault="0070618B">
      <w:pPr>
        <w:spacing w:line="540" w:lineRule="exact"/>
        <w:ind w:firstLineChars="250" w:firstLine="600"/>
        <w:jc w:val="right"/>
        <w:rPr>
          <w:rFonts w:ascii="宋体" w:eastAsia="宋体" w:hAnsi="宋体"/>
          <w:bCs/>
          <w:color w:val="000000" w:themeColor="text1"/>
          <w:sz w:val="24"/>
          <w:szCs w:val="24"/>
        </w:rPr>
      </w:pPr>
      <w:r>
        <w:rPr>
          <w:rFonts w:ascii="宋体" w:eastAsia="宋体" w:hAnsi="宋体" w:hint="eastAsia"/>
          <w:bCs/>
          <w:color w:val="000000" w:themeColor="text1"/>
          <w:sz w:val="24"/>
          <w:szCs w:val="24"/>
        </w:rPr>
        <w:t xml:space="preserve">                            2025</w:t>
      </w:r>
      <w:r>
        <w:rPr>
          <w:rFonts w:ascii="宋体" w:eastAsia="宋体" w:hAnsi="宋体" w:hint="eastAsia"/>
          <w:bCs/>
          <w:color w:val="000000" w:themeColor="text1"/>
          <w:sz w:val="24"/>
          <w:szCs w:val="24"/>
        </w:rPr>
        <w:t>年</w:t>
      </w:r>
      <w:r>
        <w:rPr>
          <w:rFonts w:ascii="宋体" w:eastAsia="宋体" w:hAnsi="宋体" w:hint="eastAsia"/>
          <w:bCs/>
          <w:color w:val="000000" w:themeColor="text1"/>
          <w:sz w:val="24"/>
          <w:szCs w:val="24"/>
        </w:rPr>
        <w:t>4</w:t>
      </w:r>
      <w:r>
        <w:rPr>
          <w:rFonts w:ascii="宋体" w:eastAsia="宋体" w:hAnsi="宋体" w:hint="eastAsia"/>
          <w:bCs/>
          <w:color w:val="000000" w:themeColor="text1"/>
          <w:sz w:val="24"/>
          <w:szCs w:val="24"/>
        </w:rPr>
        <w:t>月</w:t>
      </w:r>
      <w:r>
        <w:rPr>
          <w:rFonts w:ascii="宋体" w:eastAsia="宋体" w:hAnsi="宋体" w:hint="eastAsia"/>
          <w:bCs/>
          <w:color w:val="000000" w:themeColor="text1"/>
          <w:sz w:val="24"/>
          <w:szCs w:val="24"/>
        </w:rPr>
        <w:t>24</w:t>
      </w:r>
      <w:bookmarkStart w:id="0" w:name="_GoBack"/>
      <w:bookmarkEnd w:id="0"/>
      <w:r>
        <w:rPr>
          <w:rFonts w:ascii="宋体" w:eastAsia="宋体" w:hAnsi="宋体" w:hint="eastAsia"/>
          <w:bCs/>
          <w:color w:val="000000" w:themeColor="text1"/>
          <w:sz w:val="24"/>
          <w:szCs w:val="24"/>
        </w:rPr>
        <w:t>日</w:t>
      </w:r>
    </w:p>
    <w:p w:rsidR="0014318B" w:rsidRDefault="0014318B">
      <w:pPr>
        <w:widowControl/>
        <w:jc w:val="left"/>
        <w:rPr>
          <w:rFonts w:ascii="宋体" w:eastAsia="宋体" w:hAnsi="宋体"/>
          <w:bCs/>
          <w:color w:val="000000" w:themeColor="text1"/>
          <w:sz w:val="24"/>
          <w:szCs w:val="24"/>
        </w:rPr>
      </w:pPr>
    </w:p>
    <w:sectPr w:rsidR="0014318B" w:rsidSect="0014318B">
      <w:footerReference w:type="default" r:id="rId7"/>
      <w:footerReference w:type="first" r:id="rId8"/>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8B" w:rsidRDefault="0014318B" w:rsidP="0014318B">
      <w:r>
        <w:separator/>
      </w:r>
    </w:p>
  </w:endnote>
  <w:endnote w:type="continuationSeparator" w:id="0">
    <w:p w:rsidR="0014318B" w:rsidRDefault="0014318B" w:rsidP="001431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14318B" w:rsidRDefault="0014318B">
        <w:pPr>
          <w:pStyle w:val="a5"/>
          <w:jc w:val="center"/>
        </w:pPr>
        <w:r>
          <w:fldChar w:fldCharType="begin"/>
        </w:r>
        <w:r w:rsidR="0070618B">
          <w:instrText>PAGE   \* MERGEFORMAT</w:instrText>
        </w:r>
        <w:r>
          <w:fldChar w:fldCharType="separate"/>
        </w:r>
        <w:r w:rsidR="0070618B" w:rsidRPr="0070618B">
          <w:rPr>
            <w:noProof/>
            <w:lang w:val="zh-CN"/>
          </w:rPr>
          <w:t>2</w:t>
        </w:r>
        <w:r>
          <w:fldChar w:fldCharType="end"/>
        </w:r>
      </w:p>
    </w:sdtContent>
  </w:sdt>
  <w:p w:rsidR="0014318B" w:rsidRDefault="0014318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14318B" w:rsidRDefault="0014318B">
        <w:pPr>
          <w:pStyle w:val="a5"/>
          <w:jc w:val="center"/>
        </w:pPr>
        <w:r>
          <w:fldChar w:fldCharType="begin"/>
        </w:r>
        <w:r w:rsidR="0070618B">
          <w:instrText>PAGE   \* MERGEFORMAT</w:instrText>
        </w:r>
        <w:r>
          <w:fldChar w:fldCharType="separate"/>
        </w:r>
        <w:r w:rsidR="0070618B" w:rsidRPr="0070618B">
          <w:rPr>
            <w:noProof/>
            <w:lang w:val="zh-CN"/>
          </w:rPr>
          <w:t>1</w:t>
        </w:r>
        <w:r>
          <w:fldChar w:fldCharType="end"/>
        </w:r>
      </w:p>
    </w:sdtContent>
  </w:sdt>
  <w:p w:rsidR="0014318B" w:rsidRDefault="001431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8B" w:rsidRDefault="0014318B" w:rsidP="0014318B">
      <w:r>
        <w:separator/>
      </w:r>
    </w:p>
  </w:footnote>
  <w:footnote w:type="continuationSeparator" w:id="0">
    <w:p w:rsidR="0014318B" w:rsidRDefault="0014318B" w:rsidP="001431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5239"/>
    <w:rsid w:val="000475F0"/>
    <w:rsid w:val="000539F6"/>
    <w:rsid w:val="00056EE0"/>
    <w:rsid w:val="00057323"/>
    <w:rsid w:val="0006160C"/>
    <w:rsid w:val="000740F5"/>
    <w:rsid w:val="0007541F"/>
    <w:rsid w:val="0008010F"/>
    <w:rsid w:val="00081ADE"/>
    <w:rsid w:val="00081D78"/>
    <w:rsid w:val="00084E7D"/>
    <w:rsid w:val="00085959"/>
    <w:rsid w:val="00087988"/>
    <w:rsid w:val="0009227A"/>
    <w:rsid w:val="00093E55"/>
    <w:rsid w:val="00094F20"/>
    <w:rsid w:val="000A0272"/>
    <w:rsid w:val="000A0ECE"/>
    <w:rsid w:val="000A588E"/>
    <w:rsid w:val="000A726E"/>
    <w:rsid w:val="000B53A5"/>
    <w:rsid w:val="000C06E1"/>
    <w:rsid w:val="000C1032"/>
    <w:rsid w:val="000D04EE"/>
    <w:rsid w:val="000D18EF"/>
    <w:rsid w:val="000D5364"/>
    <w:rsid w:val="000E13E9"/>
    <w:rsid w:val="000E7D66"/>
    <w:rsid w:val="000F07E6"/>
    <w:rsid w:val="000F407E"/>
    <w:rsid w:val="000F6458"/>
    <w:rsid w:val="001039BC"/>
    <w:rsid w:val="00103D77"/>
    <w:rsid w:val="001102AD"/>
    <w:rsid w:val="00121DEB"/>
    <w:rsid w:val="001279BE"/>
    <w:rsid w:val="0013251E"/>
    <w:rsid w:val="0014318B"/>
    <w:rsid w:val="001445A9"/>
    <w:rsid w:val="00146307"/>
    <w:rsid w:val="001533B2"/>
    <w:rsid w:val="001623CF"/>
    <w:rsid w:val="00165D5C"/>
    <w:rsid w:val="00166B15"/>
    <w:rsid w:val="00173AA9"/>
    <w:rsid w:val="00174C8C"/>
    <w:rsid w:val="0017571E"/>
    <w:rsid w:val="00175AED"/>
    <w:rsid w:val="00191702"/>
    <w:rsid w:val="00192262"/>
    <w:rsid w:val="001A593B"/>
    <w:rsid w:val="001D04AB"/>
    <w:rsid w:val="001D1A7E"/>
    <w:rsid w:val="001D2521"/>
    <w:rsid w:val="001D74AE"/>
    <w:rsid w:val="001E5923"/>
    <w:rsid w:val="001E7CAD"/>
    <w:rsid w:val="001F0D4F"/>
    <w:rsid w:val="001F125D"/>
    <w:rsid w:val="001F15CB"/>
    <w:rsid w:val="001F533E"/>
    <w:rsid w:val="0021172E"/>
    <w:rsid w:val="00221DE2"/>
    <w:rsid w:val="00226DF4"/>
    <w:rsid w:val="00234298"/>
    <w:rsid w:val="002355DC"/>
    <w:rsid w:val="00243624"/>
    <w:rsid w:val="002471D4"/>
    <w:rsid w:val="00253326"/>
    <w:rsid w:val="00261CDE"/>
    <w:rsid w:val="0026276F"/>
    <w:rsid w:val="00276CA4"/>
    <w:rsid w:val="002823E9"/>
    <w:rsid w:val="00282A7F"/>
    <w:rsid w:val="00284E14"/>
    <w:rsid w:val="00292A99"/>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231E5"/>
    <w:rsid w:val="0033104A"/>
    <w:rsid w:val="00332619"/>
    <w:rsid w:val="00333802"/>
    <w:rsid w:val="003467B5"/>
    <w:rsid w:val="00355B7C"/>
    <w:rsid w:val="00361065"/>
    <w:rsid w:val="0036248F"/>
    <w:rsid w:val="003660D9"/>
    <w:rsid w:val="0037364E"/>
    <w:rsid w:val="00377D90"/>
    <w:rsid w:val="00382BCB"/>
    <w:rsid w:val="00391944"/>
    <w:rsid w:val="00393949"/>
    <w:rsid w:val="003948AF"/>
    <w:rsid w:val="00394BBC"/>
    <w:rsid w:val="003A0E78"/>
    <w:rsid w:val="003A14AD"/>
    <w:rsid w:val="003A27A0"/>
    <w:rsid w:val="003A4AC6"/>
    <w:rsid w:val="003C27EF"/>
    <w:rsid w:val="003C2820"/>
    <w:rsid w:val="003C3CB5"/>
    <w:rsid w:val="003C58B2"/>
    <w:rsid w:val="003C5A1A"/>
    <w:rsid w:val="003D0424"/>
    <w:rsid w:val="003D32D7"/>
    <w:rsid w:val="003F4E13"/>
    <w:rsid w:val="003F6960"/>
    <w:rsid w:val="0040020D"/>
    <w:rsid w:val="00405ADB"/>
    <w:rsid w:val="0041192B"/>
    <w:rsid w:val="004254EE"/>
    <w:rsid w:val="00427851"/>
    <w:rsid w:val="00430D19"/>
    <w:rsid w:val="00432505"/>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25D"/>
    <w:rsid w:val="004C44C4"/>
    <w:rsid w:val="004C625A"/>
    <w:rsid w:val="004C6355"/>
    <w:rsid w:val="004E1C51"/>
    <w:rsid w:val="004E1D5E"/>
    <w:rsid w:val="004E3967"/>
    <w:rsid w:val="004E630B"/>
    <w:rsid w:val="004F2316"/>
    <w:rsid w:val="004F5894"/>
    <w:rsid w:val="004F7313"/>
    <w:rsid w:val="00511E67"/>
    <w:rsid w:val="005158A6"/>
    <w:rsid w:val="0052094C"/>
    <w:rsid w:val="00534A41"/>
    <w:rsid w:val="0053650E"/>
    <w:rsid w:val="00542535"/>
    <w:rsid w:val="00544E6E"/>
    <w:rsid w:val="00547910"/>
    <w:rsid w:val="00551033"/>
    <w:rsid w:val="00560AC4"/>
    <w:rsid w:val="00563FE4"/>
    <w:rsid w:val="00567A02"/>
    <w:rsid w:val="005711D9"/>
    <w:rsid w:val="005751C6"/>
    <w:rsid w:val="00581A81"/>
    <w:rsid w:val="00582D8F"/>
    <w:rsid w:val="005837B0"/>
    <w:rsid w:val="00596AC1"/>
    <w:rsid w:val="005A408B"/>
    <w:rsid w:val="005A46AE"/>
    <w:rsid w:val="005A77EA"/>
    <w:rsid w:val="005B21ED"/>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C4172"/>
    <w:rsid w:val="006D17EF"/>
    <w:rsid w:val="006D6F9D"/>
    <w:rsid w:val="006E4941"/>
    <w:rsid w:val="006E55E9"/>
    <w:rsid w:val="006E5DE5"/>
    <w:rsid w:val="006E7335"/>
    <w:rsid w:val="006F16D7"/>
    <w:rsid w:val="006F1E9F"/>
    <w:rsid w:val="006F6724"/>
    <w:rsid w:val="0070004D"/>
    <w:rsid w:val="007006AE"/>
    <w:rsid w:val="00702423"/>
    <w:rsid w:val="00702449"/>
    <w:rsid w:val="00702F48"/>
    <w:rsid w:val="00705694"/>
    <w:rsid w:val="0070618B"/>
    <w:rsid w:val="00714CEA"/>
    <w:rsid w:val="007159A1"/>
    <w:rsid w:val="0071642F"/>
    <w:rsid w:val="00722DD7"/>
    <w:rsid w:val="00725827"/>
    <w:rsid w:val="00725F68"/>
    <w:rsid w:val="0073075C"/>
    <w:rsid w:val="007315E0"/>
    <w:rsid w:val="0074144B"/>
    <w:rsid w:val="00741A3E"/>
    <w:rsid w:val="007443C2"/>
    <w:rsid w:val="00746FC2"/>
    <w:rsid w:val="007510B7"/>
    <w:rsid w:val="00751891"/>
    <w:rsid w:val="00756CAD"/>
    <w:rsid w:val="007578D0"/>
    <w:rsid w:val="007629BB"/>
    <w:rsid w:val="00762A82"/>
    <w:rsid w:val="007703B8"/>
    <w:rsid w:val="00771227"/>
    <w:rsid w:val="00772D42"/>
    <w:rsid w:val="00775751"/>
    <w:rsid w:val="00781015"/>
    <w:rsid w:val="00787132"/>
    <w:rsid w:val="007900FC"/>
    <w:rsid w:val="00794869"/>
    <w:rsid w:val="00797876"/>
    <w:rsid w:val="007A5116"/>
    <w:rsid w:val="007A5263"/>
    <w:rsid w:val="007B0218"/>
    <w:rsid w:val="007B3A14"/>
    <w:rsid w:val="007B3D4D"/>
    <w:rsid w:val="007B4EC6"/>
    <w:rsid w:val="007B506A"/>
    <w:rsid w:val="007B549A"/>
    <w:rsid w:val="007B5745"/>
    <w:rsid w:val="007B6893"/>
    <w:rsid w:val="007C3F2C"/>
    <w:rsid w:val="007C51E4"/>
    <w:rsid w:val="007D4066"/>
    <w:rsid w:val="007D4082"/>
    <w:rsid w:val="007E3EED"/>
    <w:rsid w:val="007F136D"/>
    <w:rsid w:val="007F60CB"/>
    <w:rsid w:val="00801AAB"/>
    <w:rsid w:val="0080773A"/>
    <w:rsid w:val="0081788D"/>
    <w:rsid w:val="00825398"/>
    <w:rsid w:val="008263AE"/>
    <w:rsid w:val="008318C0"/>
    <w:rsid w:val="00831A29"/>
    <w:rsid w:val="00832B61"/>
    <w:rsid w:val="00835A88"/>
    <w:rsid w:val="00845D35"/>
    <w:rsid w:val="00847A69"/>
    <w:rsid w:val="008619E1"/>
    <w:rsid w:val="00866E5A"/>
    <w:rsid w:val="008721DF"/>
    <w:rsid w:val="008738A9"/>
    <w:rsid w:val="00876EC6"/>
    <w:rsid w:val="00881C77"/>
    <w:rsid w:val="00882FB0"/>
    <w:rsid w:val="008839E0"/>
    <w:rsid w:val="00887017"/>
    <w:rsid w:val="00890D49"/>
    <w:rsid w:val="00891007"/>
    <w:rsid w:val="008A1AFA"/>
    <w:rsid w:val="008A2CE2"/>
    <w:rsid w:val="008A3460"/>
    <w:rsid w:val="008B539C"/>
    <w:rsid w:val="008B77D5"/>
    <w:rsid w:val="008C155D"/>
    <w:rsid w:val="008D41F4"/>
    <w:rsid w:val="008D4634"/>
    <w:rsid w:val="008E195C"/>
    <w:rsid w:val="008E4CD7"/>
    <w:rsid w:val="008E58F7"/>
    <w:rsid w:val="008E6EC1"/>
    <w:rsid w:val="00903815"/>
    <w:rsid w:val="00903C0A"/>
    <w:rsid w:val="009062C4"/>
    <w:rsid w:val="0090723B"/>
    <w:rsid w:val="00910193"/>
    <w:rsid w:val="009138D4"/>
    <w:rsid w:val="0092312D"/>
    <w:rsid w:val="00933628"/>
    <w:rsid w:val="00940973"/>
    <w:rsid w:val="009465EA"/>
    <w:rsid w:val="009506DC"/>
    <w:rsid w:val="009566C4"/>
    <w:rsid w:val="00956DD9"/>
    <w:rsid w:val="009628AE"/>
    <w:rsid w:val="00966FF3"/>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2C39"/>
    <w:rsid w:val="009C33BF"/>
    <w:rsid w:val="009C3820"/>
    <w:rsid w:val="009E35EB"/>
    <w:rsid w:val="009E5477"/>
    <w:rsid w:val="009E64F2"/>
    <w:rsid w:val="009E7875"/>
    <w:rsid w:val="009F72D1"/>
    <w:rsid w:val="00A11E42"/>
    <w:rsid w:val="00A144A6"/>
    <w:rsid w:val="00A16E3B"/>
    <w:rsid w:val="00A21627"/>
    <w:rsid w:val="00A25B62"/>
    <w:rsid w:val="00A37A94"/>
    <w:rsid w:val="00A41611"/>
    <w:rsid w:val="00A441B7"/>
    <w:rsid w:val="00A447AF"/>
    <w:rsid w:val="00A46430"/>
    <w:rsid w:val="00A5379E"/>
    <w:rsid w:val="00A5780A"/>
    <w:rsid w:val="00A62B15"/>
    <w:rsid w:val="00A63901"/>
    <w:rsid w:val="00A63F21"/>
    <w:rsid w:val="00A72BFA"/>
    <w:rsid w:val="00A72FCD"/>
    <w:rsid w:val="00A74844"/>
    <w:rsid w:val="00A81D7B"/>
    <w:rsid w:val="00A87DCB"/>
    <w:rsid w:val="00AB49A1"/>
    <w:rsid w:val="00AC1161"/>
    <w:rsid w:val="00AD18DD"/>
    <w:rsid w:val="00AD562B"/>
    <w:rsid w:val="00AD75E3"/>
    <w:rsid w:val="00AE3F47"/>
    <w:rsid w:val="00AE69BF"/>
    <w:rsid w:val="00AF7347"/>
    <w:rsid w:val="00B014DF"/>
    <w:rsid w:val="00B11B77"/>
    <w:rsid w:val="00B16090"/>
    <w:rsid w:val="00B16987"/>
    <w:rsid w:val="00B17EF5"/>
    <w:rsid w:val="00B2068A"/>
    <w:rsid w:val="00B23F95"/>
    <w:rsid w:val="00B25801"/>
    <w:rsid w:val="00B25BAB"/>
    <w:rsid w:val="00B26285"/>
    <w:rsid w:val="00B27754"/>
    <w:rsid w:val="00B33F4A"/>
    <w:rsid w:val="00B41297"/>
    <w:rsid w:val="00B504F2"/>
    <w:rsid w:val="00B517DE"/>
    <w:rsid w:val="00B51CE1"/>
    <w:rsid w:val="00B61D0F"/>
    <w:rsid w:val="00B64EDD"/>
    <w:rsid w:val="00B650E3"/>
    <w:rsid w:val="00B65E43"/>
    <w:rsid w:val="00B725A0"/>
    <w:rsid w:val="00B7491E"/>
    <w:rsid w:val="00B763C4"/>
    <w:rsid w:val="00B91560"/>
    <w:rsid w:val="00B9364B"/>
    <w:rsid w:val="00B95F9A"/>
    <w:rsid w:val="00BA0E21"/>
    <w:rsid w:val="00BA1434"/>
    <w:rsid w:val="00BA3915"/>
    <w:rsid w:val="00BA3AE4"/>
    <w:rsid w:val="00BB04BC"/>
    <w:rsid w:val="00BB3501"/>
    <w:rsid w:val="00BB3A06"/>
    <w:rsid w:val="00BB7A7F"/>
    <w:rsid w:val="00BC3F72"/>
    <w:rsid w:val="00BC64B2"/>
    <w:rsid w:val="00BC662F"/>
    <w:rsid w:val="00BC6FFD"/>
    <w:rsid w:val="00BC778B"/>
    <w:rsid w:val="00BC7AFE"/>
    <w:rsid w:val="00BD1958"/>
    <w:rsid w:val="00BD3CFA"/>
    <w:rsid w:val="00BD5EC9"/>
    <w:rsid w:val="00BD7C42"/>
    <w:rsid w:val="00BE2CDD"/>
    <w:rsid w:val="00BE6EA1"/>
    <w:rsid w:val="00BF22CF"/>
    <w:rsid w:val="00BF234E"/>
    <w:rsid w:val="00BF2747"/>
    <w:rsid w:val="00BF2F67"/>
    <w:rsid w:val="00BF5588"/>
    <w:rsid w:val="00BF5F4D"/>
    <w:rsid w:val="00BF706F"/>
    <w:rsid w:val="00C0244D"/>
    <w:rsid w:val="00C039A1"/>
    <w:rsid w:val="00C04FAE"/>
    <w:rsid w:val="00C057CB"/>
    <w:rsid w:val="00C12754"/>
    <w:rsid w:val="00C1450B"/>
    <w:rsid w:val="00C22765"/>
    <w:rsid w:val="00C22816"/>
    <w:rsid w:val="00C22A59"/>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0450"/>
    <w:rsid w:val="00CC2F35"/>
    <w:rsid w:val="00CC40C3"/>
    <w:rsid w:val="00CD42C4"/>
    <w:rsid w:val="00CE43F8"/>
    <w:rsid w:val="00CE7C8B"/>
    <w:rsid w:val="00CF01CC"/>
    <w:rsid w:val="00CF6D5C"/>
    <w:rsid w:val="00D10B1F"/>
    <w:rsid w:val="00D11E1F"/>
    <w:rsid w:val="00D20C81"/>
    <w:rsid w:val="00D265AD"/>
    <w:rsid w:val="00D3262F"/>
    <w:rsid w:val="00D361FE"/>
    <w:rsid w:val="00D36E74"/>
    <w:rsid w:val="00D42F13"/>
    <w:rsid w:val="00D43B3D"/>
    <w:rsid w:val="00D44422"/>
    <w:rsid w:val="00D5035D"/>
    <w:rsid w:val="00D5213E"/>
    <w:rsid w:val="00D52A3F"/>
    <w:rsid w:val="00D535B2"/>
    <w:rsid w:val="00D56E0D"/>
    <w:rsid w:val="00D62A71"/>
    <w:rsid w:val="00D70A3B"/>
    <w:rsid w:val="00D71333"/>
    <w:rsid w:val="00D72110"/>
    <w:rsid w:val="00D8653C"/>
    <w:rsid w:val="00D919AF"/>
    <w:rsid w:val="00D937BD"/>
    <w:rsid w:val="00DA2D7C"/>
    <w:rsid w:val="00DA7919"/>
    <w:rsid w:val="00DB6F0A"/>
    <w:rsid w:val="00DD7BAA"/>
    <w:rsid w:val="00DE0FFA"/>
    <w:rsid w:val="00DE33C4"/>
    <w:rsid w:val="00DE5845"/>
    <w:rsid w:val="00DE6A70"/>
    <w:rsid w:val="00DF3DF3"/>
    <w:rsid w:val="00DF5AA8"/>
    <w:rsid w:val="00E11D7D"/>
    <w:rsid w:val="00E1254C"/>
    <w:rsid w:val="00E16895"/>
    <w:rsid w:val="00E32614"/>
    <w:rsid w:val="00E33250"/>
    <w:rsid w:val="00E3526B"/>
    <w:rsid w:val="00E46487"/>
    <w:rsid w:val="00E5059C"/>
    <w:rsid w:val="00E51E58"/>
    <w:rsid w:val="00E54C06"/>
    <w:rsid w:val="00E5664A"/>
    <w:rsid w:val="00E7407A"/>
    <w:rsid w:val="00E808EF"/>
    <w:rsid w:val="00E81A0A"/>
    <w:rsid w:val="00E879D6"/>
    <w:rsid w:val="00E964F7"/>
    <w:rsid w:val="00EA6C6B"/>
    <w:rsid w:val="00EA6F84"/>
    <w:rsid w:val="00EB7931"/>
    <w:rsid w:val="00ED4F18"/>
    <w:rsid w:val="00ED548C"/>
    <w:rsid w:val="00ED7F3F"/>
    <w:rsid w:val="00EF043C"/>
    <w:rsid w:val="00EF49B3"/>
    <w:rsid w:val="00EF56E1"/>
    <w:rsid w:val="00EF73FD"/>
    <w:rsid w:val="00F00561"/>
    <w:rsid w:val="00F01150"/>
    <w:rsid w:val="00F01E3D"/>
    <w:rsid w:val="00F04DC2"/>
    <w:rsid w:val="00F066D9"/>
    <w:rsid w:val="00F25F52"/>
    <w:rsid w:val="00F3607F"/>
    <w:rsid w:val="00F464E5"/>
    <w:rsid w:val="00F469D5"/>
    <w:rsid w:val="00F47FEE"/>
    <w:rsid w:val="00F527B3"/>
    <w:rsid w:val="00F632AF"/>
    <w:rsid w:val="00F6382D"/>
    <w:rsid w:val="00F63F55"/>
    <w:rsid w:val="00F66378"/>
    <w:rsid w:val="00F71C51"/>
    <w:rsid w:val="00F75135"/>
    <w:rsid w:val="00F77F4B"/>
    <w:rsid w:val="00F9100C"/>
    <w:rsid w:val="00FA0934"/>
    <w:rsid w:val="00FA653D"/>
    <w:rsid w:val="00FB23EE"/>
    <w:rsid w:val="00FB4AEF"/>
    <w:rsid w:val="00FC27B2"/>
    <w:rsid w:val="00FC34DF"/>
    <w:rsid w:val="00FD658E"/>
    <w:rsid w:val="00FE0C5A"/>
    <w:rsid w:val="00FE13A2"/>
    <w:rsid w:val="00FE261E"/>
    <w:rsid w:val="00FF06E1"/>
    <w:rsid w:val="00FF1CC2"/>
    <w:rsid w:val="0B2F74AD"/>
    <w:rsid w:val="11EB2059"/>
    <w:rsid w:val="135666D3"/>
    <w:rsid w:val="21864BBF"/>
    <w:rsid w:val="275F3860"/>
    <w:rsid w:val="341140F6"/>
    <w:rsid w:val="422C676A"/>
    <w:rsid w:val="6F4D2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4318B"/>
    <w:pPr>
      <w:jc w:val="left"/>
    </w:pPr>
  </w:style>
  <w:style w:type="paragraph" w:styleId="a4">
    <w:name w:val="Balloon Text"/>
    <w:basedOn w:val="a"/>
    <w:link w:val="Char0"/>
    <w:uiPriority w:val="99"/>
    <w:semiHidden/>
    <w:unhideWhenUsed/>
    <w:qFormat/>
    <w:rsid w:val="0014318B"/>
    <w:rPr>
      <w:sz w:val="18"/>
      <w:szCs w:val="18"/>
    </w:rPr>
  </w:style>
  <w:style w:type="paragraph" w:styleId="a5">
    <w:name w:val="footer"/>
    <w:basedOn w:val="a"/>
    <w:link w:val="Char1"/>
    <w:uiPriority w:val="99"/>
    <w:unhideWhenUsed/>
    <w:qFormat/>
    <w:rsid w:val="0014318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4318B"/>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14318B"/>
    <w:pPr>
      <w:snapToGrid w:val="0"/>
      <w:jc w:val="left"/>
    </w:pPr>
    <w:rPr>
      <w:sz w:val="18"/>
      <w:szCs w:val="18"/>
    </w:rPr>
  </w:style>
  <w:style w:type="paragraph" w:styleId="a8">
    <w:name w:val="annotation subject"/>
    <w:basedOn w:val="a3"/>
    <w:next w:val="a3"/>
    <w:link w:val="Char4"/>
    <w:uiPriority w:val="99"/>
    <w:semiHidden/>
    <w:unhideWhenUsed/>
    <w:qFormat/>
    <w:rsid w:val="0014318B"/>
    <w:rPr>
      <w:b/>
      <w:bCs/>
    </w:rPr>
  </w:style>
  <w:style w:type="character" w:styleId="a9">
    <w:name w:val="Hyperlink"/>
    <w:basedOn w:val="a0"/>
    <w:uiPriority w:val="99"/>
    <w:unhideWhenUsed/>
    <w:qFormat/>
    <w:rsid w:val="0014318B"/>
    <w:rPr>
      <w:color w:val="0000FF" w:themeColor="hyperlink"/>
      <w:u w:val="single"/>
    </w:rPr>
  </w:style>
  <w:style w:type="character" w:styleId="aa">
    <w:name w:val="annotation reference"/>
    <w:basedOn w:val="a0"/>
    <w:uiPriority w:val="99"/>
    <w:semiHidden/>
    <w:unhideWhenUsed/>
    <w:qFormat/>
    <w:rsid w:val="0014318B"/>
    <w:rPr>
      <w:sz w:val="21"/>
      <w:szCs w:val="21"/>
    </w:rPr>
  </w:style>
  <w:style w:type="character" w:styleId="ab">
    <w:name w:val="footnote reference"/>
    <w:basedOn w:val="a0"/>
    <w:uiPriority w:val="99"/>
    <w:semiHidden/>
    <w:unhideWhenUsed/>
    <w:qFormat/>
    <w:rsid w:val="0014318B"/>
    <w:rPr>
      <w:vertAlign w:val="superscript"/>
    </w:rPr>
  </w:style>
  <w:style w:type="character" w:customStyle="1" w:styleId="Char2">
    <w:name w:val="页眉 Char"/>
    <w:basedOn w:val="a0"/>
    <w:link w:val="a6"/>
    <w:uiPriority w:val="99"/>
    <w:qFormat/>
    <w:rsid w:val="0014318B"/>
    <w:rPr>
      <w:sz w:val="18"/>
      <w:szCs w:val="18"/>
    </w:rPr>
  </w:style>
  <w:style w:type="character" w:customStyle="1" w:styleId="Char1">
    <w:name w:val="页脚 Char"/>
    <w:basedOn w:val="a0"/>
    <w:link w:val="a5"/>
    <w:uiPriority w:val="99"/>
    <w:qFormat/>
    <w:rsid w:val="0014318B"/>
    <w:rPr>
      <w:sz w:val="18"/>
      <w:szCs w:val="18"/>
    </w:rPr>
  </w:style>
  <w:style w:type="paragraph" w:styleId="ac">
    <w:name w:val="List Paragraph"/>
    <w:basedOn w:val="a"/>
    <w:uiPriority w:val="34"/>
    <w:qFormat/>
    <w:rsid w:val="0014318B"/>
    <w:pPr>
      <w:ind w:firstLineChars="200" w:firstLine="420"/>
    </w:pPr>
  </w:style>
  <w:style w:type="character" w:customStyle="1" w:styleId="Char0">
    <w:name w:val="批注框文本 Char"/>
    <w:basedOn w:val="a0"/>
    <w:link w:val="a4"/>
    <w:uiPriority w:val="99"/>
    <w:semiHidden/>
    <w:qFormat/>
    <w:rsid w:val="0014318B"/>
    <w:rPr>
      <w:sz w:val="18"/>
      <w:szCs w:val="18"/>
    </w:rPr>
  </w:style>
  <w:style w:type="character" w:customStyle="1" w:styleId="Char">
    <w:name w:val="批注文字 Char"/>
    <w:basedOn w:val="a0"/>
    <w:link w:val="a3"/>
    <w:uiPriority w:val="99"/>
    <w:semiHidden/>
    <w:qFormat/>
    <w:rsid w:val="0014318B"/>
  </w:style>
  <w:style w:type="character" w:customStyle="1" w:styleId="Char4">
    <w:name w:val="批注主题 Char"/>
    <w:basedOn w:val="Char"/>
    <w:link w:val="a8"/>
    <w:uiPriority w:val="99"/>
    <w:semiHidden/>
    <w:qFormat/>
    <w:rsid w:val="0014318B"/>
    <w:rPr>
      <w:b/>
      <w:bCs/>
    </w:rPr>
  </w:style>
  <w:style w:type="character" w:customStyle="1" w:styleId="Char3">
    <w:name w:val="脚注文本 Char"/>
    <w:basedOn w:val="a0"/>
    <w:link w:val="a7"/>
    <w:uiPriority w:val="99"/>
    <w:semiHidden/>
    <w:qFormat/>
    <w:rsid w:val="0014318B"/>
    <w:rPr>
      <w:sz w:val="18"/>
      <w:szCs w:val="18"/>
    </w:rPr>
  </w:style>
  <w:style w:type="paragraph" w:customStyle="1" w:styleId="1">
    <w:name w:val="修订1"/>
    <w:hidden/>
    <w:uiPriority w:val="99"/>
    <w:semiHidden/>
    <w:qFormat/>
    <w:rsid w:val="0014318B"/>
    <w:rPr>
      <w:kern w:val="2"/>
      <w:sz w:val="21"/>
      <w:szCs w:val="22"/>
    </w:rPr>
  </w:style>
  <w:style w:type="paragraph" w:customStyle="1" w:styleId="2">
    <w:name w:val="修订2"/>
    <w:hidden/>
    <w:uiPriority w:val="99"/>
    <w:semiHidden/>
    <w:qFormat/>
    <w:rsid w:val="0014318B"/>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6077-632F-41B0-B60D-F0A067BE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4</DocSecurity>
  <Lines>6</Lines>
  <Paragraphs>1</Paragraphs>
  <ScaleCrop>false</ScaleCrop>
  <Company>CNSTOCK</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2025-04-23T16:02:00Z</dcterms:created>
  <dcterms:modified xsi:type="dcterms:W3CDTF">2025-04-23T16:02:00Z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E83A3FD759434B3EA6945A4F9327FCE0</vt:lpwstr>
  </property>
</Properties>
</file>