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widowControl/>
        <w:jc w:val="left"/>
        <w:rPr>
          <w:rFonts w:ascii="宋体" w:cs="宋体"/>
          <w:color w:val="000000"/>
          <w:kern w:val="0"/>
          <w:sz w:val="24"/>
          <w:szCs w:val="24"/>
        </w:rPr>
      </w:pPr>
    </w:p>
    <w:p w:rsidR="00F0537B"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hint="eastAsia"/>
          <w:b/>
          <w:sz w:val="36"/>
        </w:rPr>
      </w:pPr>
      <w:r w:rsidRPr="00A96C22">
        <w:rPr>
          <w:rFonts w:ascii="新宋体" w:eastAsia="新宋体" w:hAnsi="新宋体" w:hint="eastAsia"/>
          <w:b/>
          <w:sz w:val="36"/>
        </w:rPr>
        <w:t>信澳汇鑫两年封闭式债券型证券投资基金</w:t>
      </w:r>
    </w:p>
    <w:p w:rsidR="00F0537B" w:rsidRPr="00A96C22" w:rsidRDefault="00F0537B">
      <w:pPr>
        <w:pStyle w:val="Default"/>
        <w:spacing w:line="360" w:lineRule="auto"/>
        <w:jc w:val="center"/>
        <w:rPr>
          <w:rFonts w:ascii="新宋体" w:eastAsia="新宋体" w:hAnsi="新宋体"/>
          <w:b/>
          <w:sz w:val="36"/>
        </w:rPr>
      </w:pPr>
      <w:r w:rsidRPr="00A96C22">
        <w:rPr>
          <w:rFonts w:ascii="新宋体" w:eastAsia="新宋体" w:hAnsi="新宋体" w:hint="eastAsia"/>
          <w:b/>
          <w:sz w:val="36"/>
        </w:rPr>
        <w:t>清算报告</w:t>
      </w: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rPr>
          <w:rFonts w:ascii="新宋体" w:eastAsia="新宋体" w:hAnsi="新宋体"/>
          <w:b/>
        </w:rPr>
      </w:pPr>
    </w:p>
    <w:p w:rsidR="00F0537B" w:rsidRPr="00A96C22" w:rsidRDefault="00F0537B">
      <w:pPr>
        <w:pStyle w:val="Default"/>
        <w:spacing w:line="360" w:lineRule="auto"/>
        <w:ind w:firstLineChars="600" w:firstLine="1680"/>
        <w:rPr>
          <w:rFonts w:ascii="新宋体" w:eastAsia="新宋体" w:hAnsi="新宋体"/>
          <w:sz w:val="28"/>
        </w:rPr>
      </w:pPr>
      <w:r w:rsidRPr="00A96C22">
        <w:rPr>
          <w:rFonts w:ascii="新宋体" w:eastAsia="新宋体" w:hAnsi="新宋体" w:hint="eastAsia"/>
          <w:sz w:val="28"/>
        </w:rPr>
        <w:t>基金管理人：信达澳亚基金管理有限公司</w:t>
      </w:r>
    </w:p>
    <w:p w:rsidR="00F0537B" w:rsidRPr="00A96C22" w:rsidRDefault="00F0537B">
      <w:pPr>
        <w:pStyle w:val="Default"/>
        <w:spacing w:line="360" w:lineRule="auto"/>
        <w:ind w:firstLineChars="600" w:firstLine="1680"/>
        <w:rPr>
          <w:rFonts w:ascii="新宋体" w:eastAsia="新宋体" w:hAnsi="新宋体"/>
          <w:sz w:val="28"/>
        </w:rPr>
      </w:pPr>
      <w:r w:rsidRPr="00A96C22">
        <w:rPr>
          <w:rFonts w:ascii="新宋体" w:eastAsia="新宋体" w:hAnsi="新宋体" w:hint="eastAsia"/>
          <w:sz w:val="28"/>
        </w:rPr>
        <w:t xml:space="preserve">基金托管人：中国光大银行股份有限公司 </w:t>
      </w:r>
    </w:p>
    <w:p w:rsidR="00F0537B" w:rsidRPr="00A96C22" w:rsidRDefault="00F0537B">
      <w:pPr>
        <w:pStyle w:val="Default"/>
        <w:spacing w:line="360" w:lineRule="auto"/>
        <w:ind w:firstLineChars="600" w:firstLine="1680"/>
        <w:rPr>
          <w:rFonts w:ascii="新宋体" w:eastAsia="新宋体" w:hAnsi="新宋体"/>
          <w:sz w:val="28"/>
        </w:rPr>
      </w:pPr>
      <w:r w:rsidRPr="00A96C22">
        <w:rPr>
          <w:rFonts w:ascii="新宋体" w:eastAsia="新宋体" w:hAnsi="新宋体" w:hint="eastAsia"/>
          <w:sz w:val="28"/>
        </w:rPr>
        <w:t>清算报告出具日：2025年4月16日</w:t>
      </w:r>
    </w:p>
    <w:p w:rsidR="000D4722" w:rsidRPr="0067684A" w:rsidRDefault="000D4722" w:rsidP="000D4722">
      <w:pPr>
        <w:pStyle w:val="Default"/>
        <w:spacing w:line="360" w:lineRule="auto"/>
        <w:ind w:firstLineChars="600" w:firstLine="1680"/>
        <w:rPr>
          <w:rFonts w:hAnsi="宋体"/>
          <w:sz w:val="28"/>
        </w:rPr>
      </w:pPr>
      <w:r w:rsidRPr="0065644C">
        <w:rPr>
          <w:rFonts w:ascii="新宋体" w:eastAsia="新宋体" w:hAnsi="新宋体" w:hint="eastAsia"/>
          <w:sz w:val="28"/>
        </w:rPr>
        <w:t>清算报告公告日：20</w:t>
      </w:r>
      <w:r>
        <w:rPr>
          <w:rFonts w:ascii="新宋体" w:eastAsia="新宋体" w:hAnsi="新宋体" w:hint="eastAsia"/>
          <w:sz w:val="28"/>
        </w:rPr>
        <w:t>2</w:t>
      </w:r>
      <w:r>
        <w:rPr>
          <w:rFonts w:ascii="新宋体" w:eastAsia="新宋体" w:hAnsi="新宋体"/>
          <w:sz w:val="28"/>
        </w:rPr>
        <w:t>5</w:t>
      </w:r>
      <w:r w:rsidRPr="00B862FC">
        <w:rPr>
          <w:rFonts w:ascii="新宋体" w:eastAsia="新宋体" w:hAnsi="新宋体" w:hint="eastAsia"/>
          <w:sz w:val="28"/>
        </w:rPr>
        <w:t>年</w:t>
      </w:r>
      <w:r>
        <w:rPr>
          <w:rFonts w:ascii="新宋体" w:eastAsia="新宋体" w:hAnsi="新宋体"/>
          <w:sz w:val="28"/>
        </w:rPr>
        <w:t>4</w:t>
      </w:r>
      <w:r w:rsidRPr="00B862FC">
        <w:rPr>
          <w:rFonts w:ascii="新宋体" w:eastAsia="新宋体" w:hAnsi="新宋体" w:hint="eastAsia"/>
          <w:sz w:val="28"/>
        </w:rPr>
        <w:t>月</w:t>
      </w:r>
      <w:r>
        <w:rPr>
          <w:rFonts w:ascii="新宋体" w:eastAsia="新宋体" w:hAnsi="新宋体"/>
          <w:sz w:val="28"/>
        </w:rPr>
        <w:t>24</w:t>
      </w:r>
      <w:r w:rsidRPr="0065644C">
        <w:rPr>
          <w:rFonts w:ascii="新宋体" w:eastAsia="新宋体" w:hAnsi="新宋体" w:hint="eastAsia"/>
          <w:sz w:val="28"/>
        </w:rPr>
        <w:t>日</w:t>
      </w:r>
    </w:p>
    <w:p w:rsidR="00F0537B" w:rsidRPr="000D4722" w:rsidRDefault="00F0537B">
      <w:pPr>
        <w:pStyle w:val="Default"/>
        <w:spacing w:line="360" w:lineRule="auto"/>
        <w:ind w:firstLineChars="600" w:firstLine="1680"/>
        <w:rPr>
          <w:rFonts w:ascii="新宋体" w:eastAsia="新宋体" w:hAnsi="新宋体"/>
          <w:sz w:val="28"/>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pPr>
    </w:p>
    <w:p w:rsidR="00F0537B" w:rsidRPr="00A96C22" w:rsidRDefault="00F0537B">
      <w:pPr>
        <w:pStyle w:val="Default"/>
        <w:spacing w:line="360" w:lineRule="auto"/>
        <w:jc w:val="center"/>
        <w:rPr>
          <w:rFonts w:ascii="新宋体" w:eastAsia="新宋体" w:hAnsi="新宋体"/>
          <w:b/>
        </w:rPr>
        <w:sectPr w:rsidR="00F0537B" w:rsidRPr="00A96C22">
          <w:pgSz w:w="11906" w:h="16838"/>
          <w:pgMar w:top="1440" w:right="1800" w:bottom="1440" w:left="1800" w:header="851" w:footer="992" w:gutter="0"/>
          <w:cols w:space="720"/>
          <w:docGrid w:type="lines" w:linePitch="312"/>
        </w:sectPr>
      </w:pPr>
    </w:p>
    <w:p w:rsidR="00F0537B" w:rsidRPr="00A96C22" w:rsidRDefault="00F0537B">
      <w:pPr>
        <w:pStyle w:val="Default"/>
        <w:numPr>
          <w:ilvl w:val="0"/>
          <w:numId w:val="1"/>
        </w:numPr>
        <w:spacing w:line="360" w:lineRule="auto"/>
        <w:jc w:val="center"/>
        <w:rPr>
          <w:rFonts w:ascii="新宋体" w:eastAsia="新宋体" w:hAnsi="新宋体"/>
          <w:b/>
        </w:rPr>
      </w:pPr>
      <w:r w:rsidRPr="00A96C22">
        <w:rPr>
          <w:rFonts w:ascii="新宋体" w:eastAsia="新宋体" w:hAnsi="新宋体" w:hint="eastAsia"/>
          <w:b/>
        </w:rPr>
        <w:lastRenderedPageBreak/>
        <w:t>重要提示</w:t>
      </w:r>
    </w:p>
    <w:p w:rsidR="00F0537B" w:rsidRPr="00A96C22" w:rsidRDefault="00F0537B">
      <w:pPr>
        <w:spacing w:line="360" w:lineRule="auto"/>
        <w:rPr>
          <w:rFonts w:ascii="新宋体" w:eastAsia="新宋体" w:hAnsi="新宋体"/>
          <w:sz w:val="24"/>
          <w:szCs w:val="24"/>
        </w:rPr>
      </w:pPr>
    </w:p>
    <w:p w:rsidR="00F0537B" w:rsidRPr="00A96C22" w:rsidRDefault="00F0537B">
      <w:pPr>
        <w:spacing w:line="360" w:lineRule="auto"/>
        <w:ind w:firstLineChars="200" w:firstLine="480"/>
        <w:rPr>
          <w:rFonts w:ascii="新宋体" w:eastAsia="新宋体" w:hAnsi="新宋体" w:hint="eastAsia"/>
          <w:sz w:val="24"/>
          <w:szCs w:val="24"/>
        </w:rPr>
      </w:pPr>
      <w:r w:rsidRPr="00A96C22">
        <w:rPr>
          <w:rFonts w:ascii="宋体" w:hAnsi="宋体" w:hint="eastAsia"/>
          <w:sz w:val="24"/>
          <w:szCs w:val="24"/>
        </w:rPr>
        <w:t>信澳汇鑫两年封闭式债券型证券投资基金</w:t>
      </w:r>
      <w:r w:rsidRPr="00A96C22">
        <w:rPr>
          <w:rFonts w:ascii="新宋体" w:eastAsia="新宋体" w:hAnsi="新宋体" w:hint="eastAsia"/>
          <w:sz w:val="24"/>
          <w:szCs w:val="24"/>
        </w:rPr>
        <w:t>（以下简称“本基金”），系经中国证券监督管理委员会（以下简称“中国证监会”）证监许可[2022]</w:t>
      </w:r>
      <w:r w:rsidRPr="00A96C22">
        <w:rPr>
          <w:rFonts w:hint="eastAsia"/>
        </w:rPr>
        <w:t xml:space="preserve"> </w:t>
      </w:r>
      <w:r w:rsidRPr="00A96C22">
        <w:rPr>
          <w:rFonts w:ascii="新宋体" w:eastAsia="新宋体" w:hAnsi="新宋体" w:hint="eastAsia"/>
          <w:sz w:val="24"/>
          <w:szCs w:val="24"/>
        </w:rPr>
        <w:t>3248 号《关于准予</w:t>
      </w:r>
      <w:r w:rsidRPr="00A96C22">
        <w:rPr>
          <w:rFonts w:ascii="宋体" w:hAnsi="宋体" w:hint="eastAsia"/>
          <w:sz w:val="24"/>
          <w:szCs w:val="24"/>
        </w:rPr>
        <w:t>信澳汇鑫两年封闭式债券型证券投资基金</w:t>
      </w:r>
      <w:r w:rsidRPr="00A96C22">
        <w:rPr>
          <w:rFonts w:ascii="新宋体" w:eastAsia="新宋体" w:hAnsi="新宋体" w:hint="eastAsia"/>
          <w:sz w:val="24"/>
          <w:szCs w:val="24"/>
        </w:rPr>
        <w:t>注册的批复》准予注册，由基金管理人信达澳亚基金管理有限公司向社会公开发行募集，基金合同于2023 年</w:t>
      </w:r>
      <w:r w:rsidRPr="00A96C22">
        <w:rPr>
          <w:rFonts w:ascii="新宋体" w:eastAsia="新宋体" w:hAnsi="新宋体"/>
          <w:sz w:val="24"/>
          <w:szCs w:val="24"/>
        </w:rPr>
        <w:t>4</w:t>
      </w:r>
      <w:r w:rsidRPr="00A96C22">
        <w:rPr>
          <w:rFonts w:ascii="新宋体" w:eastAsia="新宋体" w:hAnsi="新宋体" w:hint="eastAsia"/>
          <w:sz w:val="24"/>
          <w:szCs w:val="24"/>
        </w:rPr>
        <w:t>月</w:t>
      </w:r>
      <w:r w:rsidRPr="00A96C22">
        <w:rPr>
          <w:rFonts w:ascii="新宋体" w:eastAsia="新宋体" w:hAnsi="新宋体"/>
          <w:sz w:val="24"/>
          <w:szCs w:val="24"/>
        </w:rPr>
        <w:t>13</w:t>
      </w:r>
      <w:r w:rsidRPr="00A96C22">
        <w:rPr>
          <w:rFonts w:ascii="新宋体" w:eastAsia="新宋体" w:hAnsi="新宋体" w:hint="eastAsia"/>
          <w:sz w:val="24"/>
          <w:szCs w:val="24"/>
        </w:rPr>
        <w:t>日正式生效，首次设立募集规模为</w:t>
      </w:r>
      <w:r w:rsidRPr="00A96C22">
        <w:rPr>
          <w:rFonts w:ascii="新宋体" w:eastAsia="新宋体" w:hAnsi="新宋体"/>
          <w:sz w:val="24"/>
          <w:szCs w:val="24"/>
        </w:rPr>
        <w:t>850,122,164.15</w:t>
      </w:r>
      <w:r w:rsidRPr="00A96C22">
        <w:rPr>
          <w:rFonts w:ascii="新宋体" w:eastAsia="新宋体" w:hAnsi="新宋体" w:hint="eastAsia"/>
          <w:sz w:val="24"/>
          <w:szCs w:val="24"/>
        </w:rPr>
        <w:t>份基金份额。本基金为契约型封闭式，存续期为</w:t>
      </w:r>
      <w:r w:rsidRPr="00A96C22">
        <w:rPr>
          <w:rFonts w:ascii="新宋体" w:eastAsia="新宋体" w:hAnsi="新宋体"/>
          <w:sz w:val="24"/>
          <w:szCs w:val="24"/>
        </w:rPr>
        <w:t>24</w:t>
      </w:r>
      <w:r w:rsidRPr="00A96C22">
        <w:rPr>
          <w:rFonts w:ascii="新宋体" w:eastAsia="新宋体" w:hAnsi="新宋体" w:hint="eastAsia"/>
          <w:sz w:val="24"/>
          <w:szCs w:val="24"/>
        </w:rPr>
        <w:t>个月。本基金的基金管理人及注册登记机构为信达澳亚基金管理有限公司，基金托管人为中国光大银行股份有限公司。</w:t>
      </w:r>
    </w:p>
    <w:p w:rsidR="00F0537B" w:rsidRPr="00A96C22" w:rsidRDefault="00F0537B">
      <w:pPr>
        <w:spacing w:line="360" w:lineRule="auto"/>
        <w:ind w:firstLineChars="200" w:firstLine="480"/>
        <w:rPr>
          <w:rFonts w:ascii="新宋体" w:eastAsia="新宋体" w:hAnsi="新宋体" w:hint="eastAsia"/>
          <w:sz w:val="24"/>
          <w:szCs w:val="24"/>
        </w:rPr>
      </w:pPr>
      <w:r w:rsidRPr="00A96C22">
        <w:rPr>
          <w:rFonts w:ascii="新宋体" w:eastAsia="新宋体" w:hAnsi="新宋体" w:hint="eastAsia"/>
          <w:sz w:val="24"/>
          <w:szCs w:val="24"/>
        </w:rPr>
        <w:t>根据《基金合同》第三部分“基金的基本情况”第三条约定：</w:t>
      </w:r>
    </w:p>
    <w:p w:rsidR="00F0537B" w:rsidRPr="00A96C22" w:rsidRDefault="00F0537B">
      <w:pPr>
        <w:spacing w:line="360" w:lineRule="auto"/>
        <w:ind w:firstLineChars="200" w:firstLine="480"/>
        <w:rPr>
          <w:rFonts w:ascii="新宋体" w:eastAsia="新宋体" w:hAnsi="新宋体" w:hint="eastAsia"/>
          <w:sz w:val="24"/>
          <w:szCs w:val="24"/>
        </w:rPr>
      </w:pPr>
      <w:r w:rsidRPr="00A96C22">
        <w:rPr>
          <w:rFonts w:ascii="新宋体" w:eastAsia="新宋体" w:hAnsi="新宋体" w:hint="eastAsia"/>
          <w:sz w:val="24"/>
          <w:szCs w:val="24"/>
        </w:rPr>
        <w:t>“本基金自基金合同生效之日起进入封闭期，封闭期为基金合同生效之日起至24个自然月后月度对日的前一日（若该日为非工作日，顺延至下一工作日），本基金在封闭期内不办理申购与赎回业务，也不上市交易。</w:t>
      </w:r>
    </w:p>
    <w:p w:rsidR="00F0537B" w:rsidRPr="00A96C22" w:rsidRDefault="00F0537B">
      <w:pPr>
        <w:spacing w:line="360" w:lineRule="auto"/>
        <w:ind w:firstLineChars="200" w:firstLine="480"/>
        <w:rPr>
          <w:rFonts w:ascii="新宋体" w:eastAsia="新宋体" w:hAnsi="新宋体" w:hint="eastAsia"/>
          <w:sz w:val="24"/>
          <w:szCs w:val="24"/>
        </w:rPr>
      </w:pPr>
      <w:r w:rsidRPr="00A96C22">
        <w:rPr>
          <w:rFonts w:ascii="新宋体" w:eastAsia="新宋体" w:hAnsi="新宋体" w:hint="eastAsia"/>
          <w:sz w:val="24"/>
          <w:szCs w:val="24"/>
        </w:rPr>
        <w:t xml:space="preserve">本基金将在封闭期到期日对基金份额进行自动赎回，按已变现的基金财产支付部分赎回款项，基金管理人将在T+7日内（含）将已变现的基金财产对应款项按基金份额持有人持有的基金份额比例自动赎回给本基金全体基金份额持有人。    </w:t>
      </w:r>
    </w:p>
    <w:p w:rsidR="00F0537B" w:rsidRPr="00A96C22" w:rsidRDefault="00F0537B">
      <w:pPr>
        <w:spacing w:line="360" w:lineRule="auto"/>
        <w:ind w:firstLineChars="200" w:firstLine="480"/>
        <w:rPr>
          <w:rFonts w:ascii="新宋体" w:eastAsia="新宋体" w:hAnsi="新宋体" w:hint="eastAsia"/>
          <w:sz w:val="24"/>
          <w:szCs w:val="24"/>
        </w:rPr>
      </w:pPr>
      <w:r w:rsidRPr="00A96C22">
        <w:rPr>
          <w:rFonts w:ascii="新宋体" w:eastAsia="新宋体" w:hAnsi="新宋体" w:hint="eastAsia"/>
          <w:sz w:val="24"/>
          <w:szCs w:val="24"/>
        </w:rPr>
        <w:t>封闭期到期日的次日，本基金基金合同自动终止并进入基金财产清算程序。进入基金财产清算程序时，若存在未变现的财产，登记机构将于该部分资产变现完成后，将对应款项按基金份额持有人持有的基金份额比例分配给本基金全体基金份额持有人，单位基金份额所分配的资产金额按照资产变现完成后的净额进行计算，单位基金份额对应的总到账款项可能与封闭期到期日基金份额净值不一致。</w:t>
      </w:r>
    </w:p>
    <w:p w:rsidR="00F0537B" w:rsidRPr="00A96C22" w:rsidRDefault="00F0537B">
      <w:pPr>
        <w:spacing w:line="360" w:lineRule="auto"/>
        <w:ind w:firstLineChars="200" w:firstLine="480"/>
        <w:rPr>
          <w:rFonts w:ascii="新宋体" w:eastAsia="新宋体" w:hAnsi="新宋体" w:hint="eastAsia"/>
          <w:sz w:val="24"/>
          <w:szCs w:val="24"/>
        </w:rPr>
      </w:pPr>
      <w:r w:rsidRPr="00A96C22">
        <w:rPr>
          <w:rFonts w:ascii="新宋体" w:eastAsia="新宋体" w:hAnsi="新宋体" w:hint="eastAsia"/>
          <w:sz w:val="24"/>
          <w:szCs w:val="24"/>
        </w:rPr>
        <w:t>基金管理人应在封闭期到期日的下一个工作日发布相关提示公告。若由于不可抗力的原因导致无法按时办理基金份额自动赎回的，则办理日相应顺延。”</w:t>
      </w:r>
    </w:p>
    <w:p w:rsidR="00F32868" w:rsidRPr="00A96C22" w:rsidRDefault="00F32868" w:rsidP="00F32868">
      <w:pPr>
        <w:spacing w:line="360" w:lineRule="auto"/>
        <w:ind w:firstLineChars="200" w:firstLine="480"/>
        <w:rPr>
          <w:rFonts w:ascii="新宋体" w:eastAsia="新宋体" w:hAnsi="新宋体"/>
          <w:sz w:val="24"/>
          <w:szCs w:val="24"/>
        </w:rPr>
      </w:pPr>
      <w:r w:rsidRPr="00A96C22">
        <w:rPr>
          <w:rFonts w:ascii="新宋体" w:eastAsia="新宋体" w:hAnsi="新宋体" w:hint="eastAsia"/>
          <w:sz w:val="24"/>
          <w:szCs w:val="24"/>
        </w:rPr>
        <w:t>本基金成立于2023年4月13日，《基金合同》生效后封闭运作24个月，2025年4月14日为封闭期到期日，本基金在封闭期到期日（2025年4月14日）对基金份额进行自动赎回。《基金合同》于封闭期到期日的次日（2025年4月15日）进入基金财产清算程序，不需要召开基金份额持有人大会审议。由基金管理人信达澳亚基金管理有限公司、基金托管人中国光大银行股份有限公司、容</w:t>
      </w:r>
      <w:r w:rsidRPr="00A96C22">
        <w:rPr>
          <w:rFonts w:ascii="新宋体" w:eastAsia="新宋体" w:hAnsi="新宋体" w:hint="eastAsia"/>
          <w:sz w:val="24"/>
          <w:szCs w:val="24"/>
        </w:rPr>
        <w:lastRenderedPageBreak/>
        <w:t>诚会计师事务所（特殊普通合伙）和上海源泰律师事务所于 202</w:t>
      </w:r>
      <w:r w:rsidRPr="00A96C22">
        <w:rPr>
          <w:rFonts w:ascii="新宋体" w:eastAsia="新宋体" w:hAnsi="新宋体"/>
          <w:sz w:val="24"/>
          <w:szCs w:val="24"/>
        </w:rPr>
        <w:t>5</w:t>
      </w:r>
      <w:r w:rsidRPr="00A96C22">
        <w:rPr>
          <w:rFonts w:ascii="新宋体" w:eastAsia="新宋体" w:hAnsi="新宋体" w:hint="eastAsia"/>
          <w:sz w:val="24"/>
          <w:szCs w:val="24"/>
        </w:rPr>
        <w:t>年</w:t>
      </w:r>
      <w:r w:rsidRPr="00A96C22">
        <w:rPr>
          <w:rFonts w:ascii="新宋体" w:eastAsia="新宋体" w:hAnsi="新宋体"/>
          <w:sz w:val="24"/>
          <w:szCs w:val="24"/>
        </w:rPr>
        <w:t>4</w:t>
      </w:r>
      <w:r w:rsidRPr="00A96C22">
        <w:rPr>
          <w:rFonts w:ascii="新宋体" w:eastAsia="新宋体" w:hAnsi="新宋体" w:hint="eastAsia"/>
          <w:sz w:val="24"/>
          <w:szCs w:val="24"/>
        </w:rPr>
        <w:t>月</w:t>
      </w:r>
      <w:r w:rsidRPr="00A96C22">
        <w:rPr>
          <w:rFonts w:ascii="新宋体" w:eastAsia="新宋体" w:hAnsi="新宋体"/>
          <w:sz w:val="24"/>
          <w:szCs w:val="24"/>
        </w:rPr>
        <w:t>15</w:t>
      </w:r>
      <w:r w:rsidRPr="00A96C22">
        <w:rPr>
          <w:rFonts w:ascii="新宋体" w:eastAsia="新宋体" w:hAnsi="新宋体" w:hint="eastAsia"/>
          <w:sz w:val="24"/>
          <w:szCs w:val="24"/>
        </w:rPr>
        <w:t>日组成基金财产清算小组履行基金财产清算程序，并由容诚会计师事务所（特殊普通合伙）对清算报告进行审计，上海源泰律师事务所对清算报告出具法律意见。</w:t>
      </w:r>
    </w:p>
    <w:p w:rsidR="00F0537B" w:rsidRPr="00A96C22" w:rsidRDefault="00F0537B">
      <w:pPr>
        <w:spacing w:line="360" w:lineRule="auto"/>
        <w:ind w:firstLineChars="200" w:firstLine="480"/>
        <w:rPr>
          <w:rFonts w:ascii="新宋体" w:eastAsia="新宋体" w:hAnsi="新宋体"/>
          <w:sz w:val="24"/>
          <w:szCs w:val="24"/>
        </w:rPr>
      </w:pPr>
    </w:p>
    <w:p w:rsidR="00F0537B" w:rsidRPr="00A96C22" w:rsidRDefault="00F0537B">
      <w:pPr>
        <w:pStyle w:val="af0"/>
        <w:numPr>
          <w:ilvl w:val="0"/>
          <w:numId w:val="1"/>
        </w:numPr>
        <w:spacing w:line="360" w:lineRule="auto"/>
        <w:ind w:firstLineChars="0"/>
        <w:jc w:val="center"/>
        <w:rPr>
          <w:rFonts w:ascii="新宋体" w:eastAsia="新宋体" w:hAnsi="新宋体"/>
          <w:b/>
          <w:sz w:val="24"/>
          <w:szCs w:val="24"/>
        </w:rPr>
      </w:pPr>
      <w:r w:rsidRPr="00A96C22">
        <w:rPr>
          <w:rFonts w:ascii="新宋体" w:eastAsia="新宋体" w:hAnsi="新宋体"/>
          <w:b/>
          <w:sz w:val="24"/>
          <w:szCs w:val="24"/>
        </w:rPr>
        <w:t>基金概况</w:t>
      </w:r>
    </w:p>
    <w:p w:rsidR="00F0537B" w:rsidRPr="00A96C22" w:rsidRDefault="00F0537B">
      <w:pPr>
        <w:spacing w:line="360" w:lineRule="auto"/>
        <w:rPr>
          <w:rFonts w:ascii="新宋体" w:eastAsia="新宋体" w:hAnsi="新宋体"/>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5353"/>
      </w:tblGrid>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基金名称</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宋体" w:hAnsi="宋体" w:hint="eastAsia"/>
                <w:sz w:val="24"/>
                <w:szCs w:val="24"/>
              </w:rPr>
              <w:t>信澳汇鑫两年封闭式债券型证券投资基金</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基金简称</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宋体" w:hAnsi="宋体" w:hint="eastAsia"/>
                <w:sz w:val="24"/>
                <w:szCs w:val="24"/>
              </w:rPr>
              <w:t>信澳汇鑫两年封闭式债券型</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基金主代码</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宋体" w:hAnsi="宋体"/>
                <w:sz w:val="24"/>
                <w:szCs w:val="24"/>
              </w:rPr>
              <w:t>017834</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基金运作方式</w:t>
            </w:r>
          </w:p>
        </w:tc>
        <w:tc>
          <w:tcPr>
            <w:tcW w:w="5353" w:type="dxa"/>
            <w:vAlign w:val="center"/>
          </w:tcPr>
          <w:p w:rsidR="00F0537B" w:rsidRPr="00A96C22" w:rsidRDefault="00F0537B">
            <w:pPr>
              <w:spacing w:line="530" w:lineRule="exact"/>
              <w:jc w:val="left"/>
              <w:rPr>
                <w:rFonts w:ascii="宋体" w:hAnsi="宋体"/>
                <w:color w:val="000000"/>
                <w:kern w:val="0"/>
                <w:sz w:val="24"/>
                <w:szCs w:val="24"/>
              </w:rPr>
            </w:pPr>
            <w:r w:rsidRPr="00A96C22">
              <w:rPr>
                <w:rFonts w:ascii="宋体" w:hAnsi="宋体" w:hint="eastAsia"/>
                <w:color w:val="000000"/>
                <w:kern w:val="0"/>
                <w:sz w:val="24"/>
                <w:szCs w:val="24"/>
              </w:rPr>
              <w:t>契约型、</w:t>
            </w:r>
            <w:r w:rsidRPr="00A96C22">
              <w:rPr>
                <w:rFonts w:ascii="宋体" w:hAnsi="宋体"/>
                <w:color w:val="000000"/>
                <w:kern w:val="0"/>
                <w:sz w:val="24"/>
                <w:szCs w:val="24"/>
              </w:rPr>
              <w:t>封闭</w:t>
            </w:r>
            <w:r w:rsidRPr="00A96C22">
              <w:rPr>
                <w:rFonts w:ascii="宋体" w:hAnsi="宋体" w:hint="eastAsia"/>
                <w:color w:val="000000"/>
                <w:kern w:val="0"/>
                <w:sz w:val="24"/>
                <w:szCs w:val="24"/>
              </w:rPr>
              <w:t>式</w:t>
            </w:r>
          </w:p>
          <w:p w:rsidR="00F0537B" w:rsidRPr="00A96C22" w:rsidRDefault="00F0537B">
            <w:pPr>
              <w:spacing w:line="360" w:lineRule="auto"/>
              <w:rPr>
                <w:rFonts w:ascii="新宋体" w:eastAsia="新宋体" w:hAnsi="新宋体"/>
                <w:sz w:val="24"/>
                <w:szCs w:val="24"/>
              </w:rPr>
            </w:pPr>
            <w:r w:rsidRPr="00A96C22">
              <w:rPr>
                <w:rFonts w:ascii="宋体" w:hAnsi="宋体" w:hint="eastAsia"/>
                <w:color w:val="000000"/>
                <w:kern w:val="0"/>
                <w:sz w:val="24"/>
                <w:szCs w:val="24"/>
              </w:rPr>
              <w:t>本基金自基金合同生效之日起进入封闭期，封闭期为基金合同生效之日起至24个自然月后月度对日的前一日（若该日为非工作日，顺延至下一工作日），本基金在封闭期内不办理申购与赎回业务，也不上市交易。</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基金合同生效日</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宋体" w:hAnsi="宋体" w:hint="eastAsia"/>
                <w:sz w:val="24"/>
                <w:szCs w:val="24"/>
              </w:rPr>
              <w:t>2023年</w:t>
            </w:r>
            <w:r w:rsidRPr="00A96C22">
              <w:rPr>
                <w:rFonts w:ascii="宋体" w:hAnsi="宋体"/>
                <w:sz w:val="24"/>
                <w:szCs w:val="24"/>
              </w:rPr>
              <w:t>4</w:t>
            </w:r>
            <w:r w:rsidRPr="00A96C22">
              <w:rPr>
                <w:rFonts w:ascii="宋体" w:hAnsi="宋体" w:hint="eastAsia"/>
                <w:sz w:val="24"/>
                <w:szCs w:val="24"/>
              </w:rPr>
              <w:t>月</w:t>
            </w:r>
            <w:r w:rsidRPr="00A96C22">
              <w:rPr>
                <w:rFonts w:ascii="宋体" w:hAnsi="宋体"/>
                <w:sz w:val="24"/>
                <w:szCs w:val="24"/>
              </w:rPr>
              <w:t>13</w:t>
            </w:r>
            <w:r w:rsidRPr="00A96C22">
              <w:rPr>
                <w:rFonts w:ascii="宋体" w:hAnsi="宋体" w:hint="eastAsia"/>
                <w:sz w:val="24"/>
                <w:szCs w:val="24"/>
              </w:rPr>
              <w:t>日</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最后运作日基金份额总额（2025年4月14日）</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850,122,164.15</w:t>
            </w:r>
            <w:r w:rsidRPr="00A96C22">
              <w:rPr>
                <w:rFonts w:ascii="新宋体" w:eastAsia="新宋体" w:hAnsi="新宋体"/>
                <w:sz w:val="24"/>
                <w:szCs w:val="24"/>
              </w:rPr>
              <w:t>份</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投资目标</w:t>
            </w:r>
          </w:p>
        </w:tc>
        <w:tc>
          <w:tcPr>
            <w:tcW w:w="5353" w:type="dxa"/>
            <w:vAlign w:val="center"/>
          </w:tcPr>
          <w:p w:rsidR="00F0537B" w:rsidRPr="00A96C22" w:rsidRDefault="00F0537B">
            <w:pPr>
              <w:spacing w:line="360" w:lineRule="auto"/>
              <w:rPr>
                <w:bCs/>
                <w:sz w:val="24"/>
              </w:rPr>
            </w:pPr>
            <w:r w:rsidRPr="00A96C22">
              <w:rPr>
                <w:rFonts w:hint="eastAsia"/>
                <w:bCs/>
                <w:sz w:val="24"/>
              </w:rPr>
              <w:t>本基金在严格控制风险的前提下，力争获得长期稳定的投资收益。</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投资范围</w:t>
            </w:r>
          </w:p>
        </w:tc>
        <w:tc>
          <w:tcPr>
            <w:tcW w:w="5353" w:type="dxa"/>
            <w:vAlign w:val="center"/>
          </w:tcPr>
          <w:p w:rsidR="00F0537B" w:rsidRPr="00A96C22" w:rsidRDefault="00F0537B">
            <w:pPr>
              <w:spacing w:line="360" w:lineRule="auto"/>
              <w:rPr>
                <w:rFonts w:hint="eastAsia"/>
                <w:bCs/>
                <w:sz w:val="24"/>
              </w:rPr>
            </w:pPr>
            <w:r w:rsidRPr="00A96C22">
              <w:rPr>
                <w:rFonts w:hint="eastAsia"/>
                <w:bCs/>
                <w:sz w:val="24"/>
              </w:rPr>
              <w:t>本基金投资于债券（包括国内依法发行上市交易的国债、央行票据、金融债券、企业债券、公司债券、中期票据、短期融资券、超短期融资券、次级债券、政府机构债券、地方政府债券及其他经中国证监会允许投资的债券）、资产支持证券、债券回购、银行存款（包括协议存款、定期存款等）、同业存单、货币市场工具、国债期货及经中国证监会允许基金投资的其他金融工具，但须符合中国证监会的相关规定。本基金不投资于股票、权证等权益类资产，也不投资于可转换债券、可交换债券。</w:t>
            </w:r>
          </w:p>
          <w:p w:rsidR="00F0537B" w:rsidRPr="00A96C22" w:rsidRDefault="00F0537B">
            <w:pPr>
              <w:spacing w:line="360" w:lineRule="auto"/>
              <w:rPr>
                <w:rFonts w:hint="eastAsia"/>
                <w:bCs/>
                <w:sz w:val="24"/>
              </w:rPr>
            </w:pPr>
            <w:r w:rsidRPr="00A96C22">
              <w:rPr>
                <w:rFonts w:hint="eastAsia"/>
                <w:bCs/>
                <w:sz w:val="24"/>
              </w:rPr>
              <w:t>如法律法规或监管机构以后允许基金投资其他品种，基金管理人在履行适当程序后，可以将其纳入投资范围。</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投资策略</w:t>
            </w:r>
          </w:p>
        </w:tc>
        <w:tc>
          <w:tcPr>
            <w:tcW w:w="5353" w:type="dxa"/>
            <w:vAlign w:val="center"/>
          </w:tcPr>
          <w:p w:rsidR="00F0537B" w:rsidRPr="00A96C22" w:rsidRDefault="00F0537B">
            <w:pPr>
              <w:spacing w:line="360" w:lineRule="auto"/>
              <w:rPr>
                <w:rFonts w:hint="eastAsia"/>
                <w:bCs/>
                <w:sz w:val="24"/>
              </w:rPr>
            </w:pPr>
            <w:r w:rsidRPr="00A96C22">
              <w:rPr>
                <w:rFonts w:hint="eastAsia"/>
                <w:bCs/>
                <w:sz w:val="24"/>
              </w:rPr>
              <w:t>封闭期主要投资策略包括资产配置策略、债券投资策略、资产支持证券投资策略、国债期货投资策略。</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业绩比较基准</w:t>
            </w:r>
          </w:p>
        </w:tc>
        <w:tc>
          <w:tcPr>
            <w:tcW w:w="5353" w:type="dxa"/>
            <w:vAlign w:val="center"/>
          </w:tcPr>
          <w:p w:rsidR="00F0537B" w:rsidRPr="00A96C22" w:rsidRDefault="00F0537B">
            <w:pPr>
              <w:spacing w:line="360" w:lineRule="auto"/>
              <w:rPr>
                <w:sz w:val="24"/>
                <w:szCs w:val="24"/>
              </w:rPr>
            </w:pPr>
            <w:r w:rsidRPr="00A96C22">
              <w:rPr>
                <w:rFonts w:hint="eastAsia"/>
                <w:sz w:val="24"/>
                <w:szCs w:val="24"/>
              </w:rPr>
              <w:t>中债综合全价（总值）指数收益率</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风险收益特征</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本基金为债券型基金，其长期平均风险和预期收益率低于股票型及混合型基金，高于货币市场基金，属于证券投资基金中的中低风险收益品种。</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基金管理人</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信达澳亚基金管理有限公司</w:t>
            </w:r>
          </w:p>
        </w:tc>
      </w:tr>
      <w:tr w:rsidR="00F0537B" w:rsidRPr="00A96C22">
        <w:tc>
          <w:tcPr>
            <w:tcW w:w="294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基金托管人</w:t>
            </w:r>
          </w:p>
        </w:tc>
        <w:tc>
          <w:tcPr>
            <w:tcW w:w="5353" w:type="dxa"/>
            <w:vAlign w:val="center"/>
          </w:tcPr>
          <w:p w:rsidR="00F0537B" w:rsidRPr="00A96C22" w:rsidRDefault="00F0537B">
            <w:pPr>
              <w:spacing w:line="360" w:lineRule="auto"/>
              <w:rPr>
                <w:rFonts w:ascii="新宋体" w:eastAsia="新宋体" w:hAnsi="新宋体"/>
                <w:sz w:val="24"/>
                <w:szCs w:val="24"/>
              </w:rPr>
            </w:pPr>
            <w:r w:rsidRPr="00A96C22">
              <w:rPr>
                <w:rFonts w:ascii="新宋体" w:eastAsia="新宋体" w:hAnsi="新宋体" w:hint="eastAsia"/>
                <w:sz w:val="24"/>
                <w:szCs w:val="24"/>
              </w:rPr>
              <w:t>中国光大银行股份有限公司</w:t>
            </w:r>
          </w:p>
        </w:tc>
      </w:tr>
    </w:tbl>
    <w:p w:rsidR="00F0537B" w:rsidRPr="00A96C22" w:rsidRDefault="00F0537B">
      <w:pPr>
        <w:spacing w:line="360" w:lineRule="auto"/>
        <w:ind w:firstLineChars="200" w:firstLine="480"/>
        <w:rPr>
          <w:rFonts w:ascii="新宋体" w:eastAsia="新宋体" w:hAnsi="新宋体"/>
          <w:sz w:val="24"/>
          <w:szCs w:val="24"/>
        </w:rPr>
      </w:pPr>
    </w:p>
    <w:p w:rsidR="00F0537B" w:rsidRPr="00A96C22" w:rsidRDefault="00F0537B" w:rsidP="002D6559">
      <w:pPr>
        <w:spacing w:line="360" w:lineRule="auto"/>
        <w:ind w:firstLineChars="200" w:firstLine="482"/>
        <w:jc w:val="center"/>
        <w:outlineLvl w:val="0"/>
        <w:rPr>
          <w:rFonts w:ascii="新宋体" w:eastAsia="新宋体" w:hAnsi="新宋体"/>
          <w:b/>
          <w:sz w:val="24"/>
          <w:szCs w:val="24"/>
        </w:rPr>
      </w:pPr>
      <w:r w:rsidRPr="00A96C22">
        <w:rPr>
          <w:rFonts w:ascii="新宋体" w:eastAsia="新宋体" w:hAnsi="新宋体"/>
          <w:b/>
          <w:sz w:val="24"/>
          <w:szCs w:val="24"/>
        </w:rPr>
        <w:t>三</w:t>
      </w:r>
      <w:r w:rsidRPr="00A96C22">
        <w:rPr>
          <w:rFonts w:ascii="新宋体" w:eastAsia="新宋体" w:hAnsi="新宋体" w:hint="eastAsia"/>
          <w:b/>
          <w:sz w:val="24"/>
          <w:szCs w:val="24"/>
        </w:rPr>
        <w:t>、</w:t>
      </w:r>
      <w:r w:rsidRPr="00A96C22">
        <w:rPr>
          <w:rFonts w:ascii="新宋体" w:eastAsia="新宋体" w:hAnsi="新宋体"/>
          <w:b/>
          <w:sz w:val="24"/>
          <w:szCs w:val="24"/>
        </w:rPr>
        <w:t>基金运作情况</w:t>
      </w:r>
    </w:p>
    <w:p w:rsidR="00F0537B" w:rsidRPr="00A96C22" w:rsidRDefault="00F0537B">
      <w:pPr>
        <w:pStyle w:val="Default"/>
        <w:spacing w:line="360" w:lineRule="auto"/>
        <w:ind w:firstLineChars="200" w:firstLine="480"/>
        <w:rPr>
          <w:rFonts w:ascii="新宋体" w:eastAsia="新宋体" w:hAnsi="新宋体"/>
        </w:rPr>
      </w:pPr>
      <w:r w:rsidRPr="00A96C22">
        <w:rPr>
          <w:rFonts w:hAnsi="宋体" w:hint="eastAsia"/>
        </w:rPr>
        <w:t>信澳汇鑫两年封闭式债券型证券投资基金</w:t>
      </w:r>
      <w:r w:rsidRPr="00A96C22">
        <w:rPr>
          <w:rFonts w:ascii="新宋体" w:eastAsia="新宋体" w:hAnsi="新宋体" w:hint="eastAsia"/>
        </w:rPr>
        <w:t>（以下简称“本基金”），系经中国证券监督管理委员会（以下简称“中国证监会”）证监许可[2022]</w:t>
      </w:r>
      <w:r w:rsidRPr="00A96C22">
        <w:rPr>
          <w:rFonts w:hint="eastAsia"/>
        </w:rPr>
        <w:t xml:space="preserve"> </w:t>
      </w:r>
      <w:r w:rsidRPr="00A96C22">
        <w:rPr>
          <w:rFonts w:ascii="新宋体" w:eastAsia="新宋体" w:hAnsi="新宋体" w:hint="eastAsia"/>
        </w:rPr>
        <w:t>3248 号《关于准予</w:t>
      </w:r>
      <w:r w:rsidRPr="00A96C22">
        <w:rPr>
          <w:rFonts w:hAnsi="宋体" w:hint="eastAsia"/>
        </w:rPr>
        <w:t>信澳汇鑫两年封闭式债券型证券投资基金</w:t>
      </w:r>
      <w:r w:rsidRPr="00A96C22">
        <w:rPr>
          <w:rFonts w:ascii="新宋体" w:eastAsia="新宋体" w:hAnsi="新宋体" w:hint="eastAsia"/>
        </w:rPr>
        <w:t>注册的批复》准予注册，由基金管理人信达澳亚基金管理有限公司向社会公开发行募集，基金合同于2023 年</w:t>
      </w:r>
      <w:r w:rsidRPr="00A96C22">
        <w:rPr>
          <w:rFonts w:ascii="新宋体" w:eastAsia="新宋体" w:hAnsi="新宋体"/>
        </w:rPr>
        <w:t>4</w:t>
      </w:r>
      <w:r w:rsidRPr="00A96C22">
        <w:rPr>
          <w:rFonts w:ascii="新宋体" w:eastAsia="新宋体" w:hAnsi="新宋体" w:hint="eastAsia"/>
        </w:rPr>
        <w:t>月</w:t>
      </w:r>
      <w:r w:rsidRPr="00A96C22">
        <w:rPr>
          <w:rFonts w:ascii="新宋体" w:eastAsia="新宋体" w:hAnsi="新宋体"/>
        </w:rPr>
        <w:t>13</w:t>
      </w:r>
      <w:r w:rsidRPr="00A96C22">
        <w:rPr>
          <w:rFonts w:ascii="新宋体" w:eastAsia="新宋体" w:hAnsi="新宋体" w:hint="eastAsia"/>
        </w:rPr>
        <w:t>日正式生效，首次设立募集规模为</w:t>
      </w:r>
      <w:r w:rsidRPr="00A96C22">
        <w:rPr>
          <w:rFonts w:ascii="新宋体" w:eastAsia="新宋体" w:hAnsi="新宋体"/>
        </w:rPr>
        <w:t>850,122,164.15</w:t>
      </w:r>
      <w:r w:rsidRPr="00A96C22">
        <w:rPr>
          <w:rFonts w:ascii="新宋体" w:eastAsia="新宋体" w:hAnsi="新宋体" w:hint="eastAsia"/>
        </w:rPr>
        <w:t>份基金份额。</w:t>
      </w:r>
    </w:p>
    <w:p w:rsidR="00F0537B" w:rsidRPr="00A96C22" w:rsidRDefault="00F0537B">
      <w:pPr>
        <w:pStyle w:val="Default"/>
        <w:spacing w:line="360" w:lineRule="auto"/>
        <w:ind w:firstLineChars="200" w:firstLine="480"/>
        <w:rPr>
          <w:rFonts w:ascii="新宋体" w:eastAsia="新宋体" w:hAnsi="新宋体"/>
        </w:rPr>
      </w:pPr>
      <w:r w:rsidRPr="00A96C22">
        <w:rPr>
          <w:rFonts w:ascii="新宋体" w:eastAsia="新宋体" w:hAnsi="新宋体" w:hint="eastAsia"/>
        </w:rPr>
        <w:t>根据《中华人民共和国证券投资基金法》、《公开募集证券投资基金运作管理办法》、《</w:t>
      </w:r>
      <w:r w:rsidRPr="00A96C22">
        <w:rPr>
          <w:rFonts w:hAnsi="宋体" w:hint="eastAsia"/>
        </w:rPr>
        <w:t>信澳汇鑫两年封闭式债券型证券投资基金</w:t>
      </w:r>
      <w:r w:rsidRPr="00A96C22">
        <w:rPr>
          <w:rFonts w:ascii="新宋体" w:eastAsia="新宋体" w:hAnsi="新宋体" w:hint="eastAsia"/>
        </w:rPr>
        <w:t>基金合同》(以下简称“《基金合同》”)的有关规定，《基金合同》生效后封闭运作24个月，2025年4月14日为封闭期到期日，本基金在封闭期到期日（2025年4月14日）对基金份额进行自动赎回。《基金合同》于封闭期到期日的次日（2025年4月15日）进入基金财产清算程序，不需要召开基金份额持有人大会审议。</w:t>
      </w:r>
    </w:p>
    <w:p w:rsidR="00F0537B" w:rsidRPr="00A96C22" w:rsidRDefault="00F0537B">
      <w:pPr>
        <w:pStyle w:val="Default"/>
        <w:spacing w:line="360" w:lineRule="auto"/>
        <w:ind w:firstLineChars="200" w:firstLine="480"/>
        <w:rPr>
          <w:rFonts w:ascii="新宋体" w:eastAsia="新宋体" w:hAnsi="新宋体"/>
        </w:rPr>
      </w:pPr>
      <w:r w:rsidRPr="00A96C22">
        <w:rPr>
          <w:rFonts w:ascii="新宋体" w:eastAsia="新宋体" w:hAnsi="新宋体"/>
        </w:rPr>
        <w:br w:type="page"/>
      </w:r>
    </w:p>
    <w:p w:rsidR="00F0537B" w:rsidRPr="00A96C22" w:rsidRDefault="00F0537B" w:rsidP="002D6559">
      <w:pPr>
        <w:spacing w:line="360" w:lineRule="auto"/>
        <w:ind w:firstLineChars="200" w:firstLine="482"/>
        <w:jc w:val="center"/>
        <w:outlineLvl w:val="0"/>
        <w:rPr>
          <w:rFonts w:ascii="新宋体" w:eastAsia="新宋体" w:hAnsi="新宋体" w:cs="宋体"/>
          <w:b/>
          <w:color w:val="000000"/>
          <w:kern w:val="0"/>
          <w:sz w:val="24"/>
          <w:szCs w:val="24"/>
        </w:rPr>
      </w:pPr>
      <w:r w:rsidRPr="00A96C22">
        <w:rPr>
          <w:rFonts w:ascii="新宋体" w:eastAsia="新宋体" w:hAnsi="新宋体" w:cs="宋体" w:hint="eastAsia"/>
          <w:b/>
          <w:color w:val="000000"/>
          <w:kern w:val="0"/>
          <w:sz w:val="24"/>
          <w:szCs w:val="24"/>
        </w:rPr>
        <w:t>四、财务会计报告</w:t>
      </w:r>
      <w:r w:rsidR="00AC2891" w:rsidRPr="00CB3EFD">
        <w:rPr>
          <w:rFonts w:ascii="新宋体" w:eastAsia="新宋体" w:hAnsi="新宋体" w:cs="宋体"/>
          <w:b/>
          <w:color w:val="000000"/>
          <w:kern w:val="0"/>
          <w:sz w:val="24"/>
          <w:szCs w:val="24"/>
        </w:rPr>
        <w:t>（经审计）</w:t>
      </w:r>
    </w:p>
    <w:p w:rsidR="00F0537B" w:rsidRPr="00A96C22" w:rsidRDefault="00F0537B">
      <w:pPr>
        <w:pStyle w:val="Default"/>
        <w:spacing w:line="360" w:lineRule="auto"/>
        <w:ind w:firstLineChars="200" w:firstLine="480"/>
        <w:rPr>
          <w:rFonts w:ascii="新宋体" w:eastAsia="新宋体" w:hAnsi="新宋体"/>
        </w:rPr>
      </w:pPr>
      <w:r w:rsidRPr="00A96C22">
        <w:rPr>
          <w:rFonts w:ascii="新宋体" w:eastAsia="新宋体" w:hAnsi="新宋体" w:hint="eastAsia"/>
        </w:rPr>
        <w:t>资产负债表</w:t>
      </w:r>
    </w:p>
    <w:p w:rsidR="00F0537B" w:rsidRPr="00A96C22" w:rsidRDefault="00F0537B">
      <w:pPr>
        <w:pStyle w:val="Default"/>
        <w:spacing w:line="360" w:lineRule="auto"/>
        <w:ind w:firstLineChars="200" w:firstLine="480"/>
        <w:rPr>
          <w:rFonts w:ascii="新宋体" w:eastAsia="新宋体" w:hAnsi="新宋体" w:hint="eastAsia"/>
        </w:rPr>
      </w:pPr>
      <w:r w:rsidRPr="00A96C22">
        <w:rPr>
          <w:rFonts w:ascii="新宋体" w:eastAsia="新宋体" w:hAnsi="新宋体" w:hint="eastAsia"/>
        </w:rPr>
        <w:t>会计主体：信澳汇鑫两年封闭式债券型证券投资基金</w:t>
      </w:r>
    </w:p>
    <w:p w:rsidR="00F0537B" w:rsidRPr="00A96C22" w:rsidRDefault="00F0537B">
      <w:pPr>
        <w:pStyle w:val="Default"/>
        <w:spacing w:line="360" w:lineRule="auto"/>
        <w:ind w:firstLineChars="200" w:firstLine="480"/>
        <w:rPr>
          <w:rFonts w:ascii="新宋体" w:eastAsia="新宋体" w:hAnsi="新宋体"/>
        </w:rPr>
      </w:pPr>
      <w:r w:rsidRPr="00A96C22">
        <w:rPr>
          <w:rFonts w:ascii="新宋体" w:eastAsia="新宋体" w:hAnsi="新宋体" w:hint="eastAsia"/>
        </w:rPr>
        <w:t>报告截止日：</w:t>
      </w:r>
      <w:r w:rsidRPr="00A96C22">
        <w:rPr>
          <w:rFonts w:ascii="新宋体" w:eastAsia="新宋体" w:hAnsi="新宋体"/>
        </w:rPr>
        <w:t>202</w:t>
      </w:r>
      <w:r w:rsidRPr="00A96C22">
        <w:rPr>
          <w:rFonts w:ascii="新宋体" w:eastAsia="新宋体" w:hAnsi="新宋体" w:hint="eastAsia"/>
        </w:rPr>
        <w:t>5</w:t>
      </w:r>
      <w:r w:rsidRPr="00A96C22">
        <w:rPr>
          <w:rFonts w:ascii="新宋体" w:eastAsia="新宋体" w:hAnsi="新宋体"/>
        </w:rPr>
        <w:t>年</w:t>
      </w:r>
      <w:r w:rsidRPr="00A96C22">
        <w:rPr>
          <w:rFonts w:ascii="新宋体" w:eastAsia="新宋体" w:hAnsi="新宋体" w:hint="eastAsia"/>
        </w:rPr>
        <w:t>4</w:t>
      </w:r>
      <w:r w:rsidRPr="00A96C22">
        <w:rPr>
          <w:rFonts w:ascii="新宋体" w:eastAsia="新宋体" w:hAnsi="新宋体"/>
        </w:rPr>
        <w:t>月</w:t>
      </w:r>
      <w:r w:rsidRPr="00A96C22">
        <w:rPr>
          <w:rFonts w:ascii="新宋体" w:eastAsia="新宋体" w:hAnsi="新宋体" w:hint="eastAsia"/>
        </w:rPr>
        <w:t>14</w:t>
      </w:r>
      <w:r w:rsidRPr="00A96C22">
        <w:rPr>
          <w:rFonts w:ascii="新宋体" w:eastAsia="新宋体" w:hAnsi="新宋体"/>
        </w:rPr>
        <w:t>日</w:t>
      </w:r>
      <w:r w:rsidR="00AC2891">
        <w:rPr>
          <w:rFonts w:ascii="新宋体" w:eastAsia="新宋体" w:hAnsi="新宋体"/>
        </w:rPr>
        <w:t>（</w:t>
      </w:r>
      <w:r w:rsidR="004340E3">
        <w:rPr>
          <w:rFonts w:ascii="新宋体" w:eastAsia="新宋体" w:hAnsi="新宋体"/>
        </w:rPr>
        <w:t>基金</w:t>
      </w:r>
      <w:r w:rsidR="00AC2891">
        <w:rPr>
          <w:rFonts w:hint="eastAsia"/>
          <w:color w:val="222222"/>
          <w:szCs w:val="21"/>
        </w:rPr>
        <w:t>最后运作日）</w:t>
      </w:r>
    </w:p>
    <w:p w:rsidR="00F0537B" w:rsidRPr="00A96C22" w:rsidRDefault="00F0537B">
      <w:pPr>
        <w:ind w:rightChars="2" w:right="4"/>
        <w:jc w:val="right"/>
        <w:rPr>
          <w:rFonts w:ascii="宋体" w:hAnsi="宋体" w:cs="Arial"/>
          <w:b/>
          <w:sz w:val="22"/>
        </w:rPr>
      </w:pPr>
      <w:r w:rsidRPr="00A96C22">
        <w:rPr>
          <w:rFonts w:ascii="宋体" w:hAnsi="宋体" w:cs="Arial"/>
          <w:sz w:val="22"/>
        </w:rPr>
        <w:t>单位：人民币元</w:t>
      </w:r>
    </w:p>
    <w:tbl>
      <w:tblPr>
        <w:tblW w:w="5000" w:type="pct"/>
        <w:tblInd w:w="0" w:type="dxa"/>
        <w:tblLook w:val="0000"/>
      </w:tblPr>
      <w:tblGrid>
        <w:gridCol w:w="2234"/>
        <w:gridCol w:w="6288"/>
      </w:tblGrid>
      <w:tr w:rsidR="00F0537B" w:rsidRPr="00A96C22">
        <w:trPr>
          <w:trHeight w:val="330"/>
        </w:trPr>
        <w:tc>
          <w:tcPr>
            <w:tcW w:w="1311" w:type="pct"/>
            <w:tcBorders>
              <w:top w:val="single" w:sz="4" w:space="0" w:color="auto"/>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b/>
                <w:bCs/>
                <w:color w:val="000000"/>
                <w:kern w:val="0"/>
                <w:sz w:val="24"/>
                <w:szCs w:val="24"/>
              </w:rPr>
            </w:pPr>
            <w:bookmarkStart w:id="0" w:name="RANGE!J88"/>
            <w:r w:rsidRPr="00A96C22">
              <w:rPr>
                <w:rFonts w:ascii="宋体" w:hAnsi="宋体" w:cs="宋体" w:hint="eastAsia"/>
                <w:b/>
                <w:bCs/>
                <w:color w:val="000000"/>
                <w:kern w:val="0"/>
                <w:sz w:val="24"/>
                <w:szCs w:val="24"/>
              </w:rPr>
              <w:t xml:space="preserve">　</w:t>
            </w:r>
            <w:bookmarkEnd w:id="0"/>
          </w:p>
        </w:tc>
        <w:tc>
          <w:tcPr>
            <w:tcW w:w="3689" w:type="pct"/>
            <w:tcBorders>
              <w:top w:val="single" w:sz="4" w:space="0" w:color="auto"/>
              <w:left w:val="nil"/>
              <w:bottom w:val="single" w:sz="4" w:space="0" w:color="auto"/>
              <w:right w:val="single" w:sz="4" w:space="0" w:color="auto"/>
            </w:tcBorders>
            <w:vAlign w:val="center"/>
          </w:tcPr>
          <w:p w:rsidR="00F0537B" w:rsidRPr="00A96C22" w:rsidRDefault="004340E3">
            <w:pPr>
              <w:widowControl/>
              <w:jc w:val="center"/>
              <w:rPr>
                <w:rFonts w:ascii="宋体" w:hAnsi="宋体" w:cs="宋体"/>
                <w:color w:val="000000"/>
                <w:kern w:val="0"/>
                <w:sz w:val="24"/>
                <w:szCs w:val="24"/>
              </w:rPr>
            </w:pPr>
            <w:r>
              <w:rPr>
                <w:rFonts w:ascii="宋体" w:hAnsi="宋体" w:cs="宋体" w:hint="eastAsia"/>
                <w:color w:val="000000"/>
                <w:kern w:val="0"/>
                <w:sz w:val="24"/>
                <w:szCs w:val="24"/>
              </w:rPr>
              <w:t>基金</w:t>
            </w:r>
            <w:r w:rsidR="00F0537B" w:rsidRPr="00A96C22">
              <w:rPr>
                <w:rFonts w:ascii="宋体" w:hAnsi="宋体" w:cs="宋体" w:hint="eastAsia"/>
                <w:color w:val="000000"/>
                <w:kern w:val="0"/>
                <w:sz w:val="24"/>
                <w:szCs w:val="24"/>
              </w:rPr>
              <w:t>最后运作日</w:t>
            </w:r>
          </w:p>
          <w:p w:rsidR="00F0537B" w:rsidRPr="00A96C22" w:rsidRDefault="00F0537B">
            <w:pPr>
              <w:widowControl/>
              <w:jc w:val="center"/>
              <w:rPr>
                <w:rFonts w:ascii="宋体" w:hAnsi="宋体" w:cs="宋体" w:hint="eastAsia"/>
                <w:color w:val="000000"/>
                <w:kern w:val="0"/>
                <w:sz w:val="24"/>
                <w:szCs w:val="24"/>
              </w:rPr>
            </w:pPr>
            <w:r w:rsidRPr="00A96C22">
              <w:rPr>
                <w:rFonts w:ascii="宋体" w:hAnsi="宋体" w:cs="宋体" w:hint="eastAsia"/>
                <w:color w:val="000000"/>
                <w:kern w:val="0"/>
                <w:sz w:val="24"/>
                <w:szCs w:val="24"/>
              </w:rPr>
              <w:t>2025年4月14日</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b/>
                <w:bCs/>
                <w:color w:val="000000"/>
                <w:kern w:val="0"/>
                <w:sz w:val="24"/>
                <w:szCs w:val="24"/>
              </w:rPr>
            </w:pPr>
            <w:r w:rsidRPr="00A96C22">
              <w:rPr>
                <w:rFonts w:ascii="宋体" w:hAnsi="宋体" w:cs="宋体" w:hint="eastAsia"/>
                <w:b/>
                <w:bCs/>
                <w:color w:val="000000"/>
                <w:kern w:val="0"/>
                <w:sz w:val="24"/>
                <w:szCs w:val="24"/>
              </w:rPr>
              <w:t>资 产：</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 xml:space="preserve">-　</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银行存款</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882,383,940.20</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结算备付金</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810,882.18</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存出保证金</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交易性金融资产</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其中：股票投资</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5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ind w:firstLineChars="300" w:firstLine="720"/>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债券投资</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应收清算款</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应收股利</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其他资产</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资产总计</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883,194,822.38</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b/>
                <w:bCs/>
                <w:color w:val="000000"/>
                <w:kern w:val="0"/>
                <w:sz w:val="24"/>
                <w:szCs w:val="24"/>
              </w:rPr>
            </w:pPr>
            <w:r w:rsidRPr="00A96C22">
              <w:rPr>
                <w:rFonts w:ascii="宋体" w:hAnsi="宋体" w:cs="宋体" w:hint="eastAsia"/>
                <w:b/>
                <w:bCs/>
                <w:color w:val="000000"/>
                <w:kern w:val="0"/>
                <w:sz w:val="24"/>
                <w:szCs w:val="24"/>
              </w:rPr>
              <w:t>负 债：</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应付清算款</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p>
        </w:tc>
      </w:tr>
      <w:tr w:rsidR="00F0537B" w:rsidRPr="00A96C22">
        <w:trPr>
          <w:trHeight w:val="5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应付赎回款</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应付管理人报酬</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101,531.59</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应付托管费</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33,843.85</w:t>
            </w:r>
          </w:p>
        </w:tc>
      </w:tr>
      <w:tr w:rsidR="00F0537B" w:rsidRPr="00A96C22">
        <w:trPr>
          <w:trHeight w:val="5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应交税费</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23,796.74</w:t>
            </w:r>
          </w:p>
        </w:tc>
      </w:tr>
      <w:tr w:rsidR="00F0537B" w:rsidRPr="00A96C22">
        <w:trPr>
          <w:trHeight w:val="5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其他负债</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69,336.15</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负债合计</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228,508.33</w:t>
            </w:r>
          </w:p>
        </w:tc>
      </w:tr>
      <w:tr w:rsidR="00F0537B" w:rsidRPr="00A96C22">
        <w:trPr>
          <w:trHeight w:val="33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b/>
                <w:bCs/>
                <w:color w:val="000000"/>
                <w:kern w:val="0"/>
                <w:sz w:val="24"/>
                <w:szCs w:val="24"/>
              </w:rPr>
            </w:pPr>
            <w:r w:rsidRPr="00A96C22">
              <w:rPr>
                <w:rFonts w:hint="eastAsia"/>
                <w:b/>
                <w:sz w:val="24"/>
              </w:rPr>
              <w:t>净资产：</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p>
        </w:tc>
      </w:tr>
      <w:tr w:rsidR="00F0537B" w:rsidRPr="00A96C22">
        <w:trPr>
          <w:trHeight w:val="2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实收基金</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850,122,164.15</w:t>
            </w:r>
          </w:p>
        </w:tc>
      </w:tr>
      <w:tr w:rsidR="00F0537B" w:rsidRPr="00A96C22">
        <w:trPr>
          <w:trHeight w:val="285"/>
        </w:trPr>
        <w:tc>
          <w:tcPr>
            <w:tcW w:w="1311" w:type="pct"/>
            <w:tcBorders>
              <w:top w:val="nil"/>
              <w:left w:val="single" w:sz="4" w:space="0" w:color="auto"/>
              <w:bottom w:val="single" w:sz="4" w:space="0" w:color="auto"/>
              <w:right w:val="single" w:sz="4" w:space="0" w:color="auto"/>
            </w:tcBorders>
            <w:noWrap/>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其他综合收益</w:t>
            </w:r>
          </w:p>
        </w:tc>
        <w:tc>
          <w:tcPr>
            <w:tcW w:w="3689" w:type="pct"/>
            <w:tcBorders>
              <w:top w:val="nil"/>
              <w:left w:val="nil"/>
              <w:bottom w:val="single" w:sz="4" w:space="0" w:color="auto"/>
              <w:right w:val="single" w:sz="4" w:space="0" w:color="auto"/>
            </w:tcBorders>
            <w:noWrap/>
            <w:vAlign w:val="center"/>
          </w:tcPr>
          <w:p w:rsidR="00F0537B" w:rsidRPr="00A96C22" w:rsidRDefault="00B31290" w:rsidP="00B31290">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w:t>
            </w:r>
          </w:p>
        </w:tc>
      </w:tr>
      <w:tr w:rsidR="00F0537B" w:rsidRPr="00A96C22">
        <w:trPr>
          <w:trHeight w:val="2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未分配利润</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32,844,149.90</w:t>
            </w:r>
          </w:p>
        </w:tc>
      </w:tr>
      <w:tr w:rsidR="00F0537B" w:rsidRPr="00A96C22">
        <w:trPr>
          <w:trHeight w:val="285"/>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所有者权益合计</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882,966,314.05</w:t>
            </w:r>
          </w:p>
        </w:tc>
      </w:tr>
      <w:tr w:rsidR="00F0537B" w:rsidRPr="00A96C22">
        <w:trPr>
          <w:trHeight w:val="570"/>
        </w:trPr>
        <w:tc>
          <w:tcPr>
            <w:tcW w:w="1311" w:type="pct"/>
            <w:tcBorders>
              <w:top w:val="nil"/>
              <w:left w:val="single" w:sz="4" w:space="0" w:color="auto"/>
              <w:bottom w:val="single" w:sz="4" w:space="0" w:color="auto"/>
              <w:right w:val="single" w:sz="4" w:space="0" w:color="auto"/>
            </w:tcBorders>
            <w:vAlign w:val="center"/>
          </w:tcPr>
          <w:p w:rsidR="00F0537B" w:rsidRPr="00A96C22" w:rsidRDefault="00F0537B">
            <w:pPr>
              <w:widowControl/>
              <w:jc w:val="left"/>
              <w:rPr>
                <w:rFonts w:ascii="宋体" w:hAnsi="宋体" w:cs="宋体" w:hint="eastAsia"/>
                <w:color w:val="000000"/>
                <w:kern w:val="0"/>
                <w:sz w:val="24"/>
                <w:szCs w:val="24"/>
              </w:rPr>
            </w:pPr>
            <w:r w:rsidRPr="00A96C22">
              <w:rPr>
                <w:rFonts w:ascii="宋体" w:hAnsi="宋体" w:cs="宋体" w:hint="eastAsia"/>
                <w:color w:val="000000"/>
                <w:kern w:val="0"/>
                <w:sz w:val="24"/>
                <w:szCs w:val="24"/>
              </w:rPr>
              <w:t>负债和所有者权益总计</w:t>
            </w:r>
          </w:p>
        </w:tc>
        <w:tc>
          <w:tcPr>
            <w:tcW w:w="3689" w:type="pct"/>
            <w:tcBorders>
              <w:top w:val="nil"/>
              <w:left w:val="nil"/>
              <w:bottom w:val="single" w:sz="4" w:space="0" w:color="auto"/>
              <w:right w:val="single" w:sz="4" w:space="0" w:color="auto"/>
            </w:tcBorders>
            <w:vAlign w:val="center"/>
          </w:tcPr>
          <w:p w:rsidR="00F0537B" w:rsidRPr="00A96C22" w:rsidRDefault="00F0537B">
            <w:pPr>
              <w:widowControl/>
              <w:jc w:val="right"/>
              <w:rPr>
                <w:rFonts w:ascii="宋体" w:hAnsi="宋体" w:cs="宋体" w:hint="eastAsia"/>
                <w:color w:val="000000"/>
                <w:kern w:val="0"/>
                <w:sz w:val="24"/>
                <w:szCs w:val="24"/>
              </w:rPr>
            </w:pPr>
            <w:r w:rsidRPr="00A96C22">
              <w:rPr>
                <w:rFonts w:ascii="宋体" w:hAnsi="宋体" w:cs="宋体" w:hint="eastAsia"/>
                <w:color w:val="000000"/>
                <w:kern w:val="0"/>
                <w:sz w:val="24"/>
                <w:szCs w:val="24"/>
              </w:rPr>
              <w:t>883,194,822.38</w:t>
            </w:r>
          </w:p>
        </w:tc>
      </w:tr>
    </w:tbl>
    <w:p w:rsidR="00F0537B" w:rsidRPr="00A96C22" w:rsidRDefault="00F0537B">
      <w:pPr>
        <w:pStyle w:val="Default"/>
        <w:spacing w:line="360" w:lineRule="auto"/>
        <w:ind w:firstLineChars="200" w:firstLine="480"/>
        <w:rPr>
          <w:rFonts w:ascii="新宋体" w:eastAsia="新宋体" w:hAnsi="新宋体"/>
        </w:rPr>
      </w:pPr>
    </w:p>
    <w:p w:rsidR="00F0537B" w:rsidRDefault="00F0537B" w:rsidP="00CB3EFD">
      <w:pPr>
        <w:pStyle w:val="Default"/>
        <w:spacing w:line="360" w:lineRule="auto"/>
        <w:ind w:firstLineChars="200" w:firstLine="480"/>
        <w:rPr>
          <w:rFonts w:hAnsi="宋体"/>
        </w:rPr>
      </w:pPr>
      <w:r w:rsidRPr="00A96C22">
        <w:rPr>
          <w:rFonts w:hAnsi="宋体"/>
        </w:rPr>
        <w:t>注</w:t>
      </w:r>
      <w:r w:rsidRPr="00A96C22">
        <w:rPr>
          <w:rFonts w:hAnsi="宋体" w:hint="eastAsia"/>
        </w:rPr>
        <w:t>：</w:t>
      </w:r>
      <w:r w:rsidR="00AC2891">
        <w:rPr>
          <w:rFonts w:hAnsi="宋体" w:hint="eastAsia"/>
        </w:rPr>
        <w:t>1、</w:t>
      </w:r>
      <w:r w:rsidR="00AC2891" w:rsidRPr="00A96C22">
        <w:rPr>
          <w:rFonts w:ascii="新宋体" w:eastAsia="新宋体" w:hAnsi="新宋体" w:hint="eastAsia"/>
        </w:rPr>
        <w:t>报告截止日</w:t>
      </w:r>
      <w:r w:rsidR="00AC2891" w:rsidRPr="00A96C22">
        <w:rPr>
          <w:rFonts w:ascii="新宋体" w:eastAsia="新宋体" w:hAnsi="新宋体"/>
        </w:rPr>
        <w:t>202</w:t>
      </w:r>
      <w:r w:rsidR="00AC2891" w:rsidRPr="00A96C22">
        <w:rPr>
          <w:rFonts w:ascii="新宋体" w:eastAsia="新宋体" w:hAnsi="新宋体" w:hint="eastAsia"/>
        </w:rPr>
        <w:t>5</w:t>
      </w:r>
      <w:r w:rsidR="00AC2891" w:rsidRPr="00A96C22">
        <w:rPr>
          <w:rFonts w:ascii="新宋体" w:eastAsia="新宋体" w:hAnsi="新宋体"/>
        </w:rPr>
        <w:t>年</w:t>
      </w:r>
      <w:r w:rsidR="00AC2891" w:rsidRPr="00A96C22">
        <w:rPr>
          <w:rFonts w:ascii="新宋体" w:eastAsia="新宋体" w:hAnsi="新宋体" w:hint="eastAsia"/>
        </w:rPr>
        <w:t>4</w:t>
      </w:r>
      <w:r w:rsidR="00AC2891" w:rsidRPr="00A96C22">
        <w:rPr>
          <w:rFonts w:ascii="新宋体" w:eastAsia="新宋体" w:hAnsi="新宋体"/>
        </w:rPr>
        <w:t>月</w:t>
      </w:r>
      <w:r w:rsidR="00AC2891" w:rsidRPr="00A96C22">
        <w:rPr>
          <w:rFonts w:ascii="新宋体" w:eastAsia="新宋体" w:hAnsi="新宋体" w:hint="eastAsia"/>
        </w:rPr>
        <w:t>14</w:t>
      </w:r>
      <w:r w:rsidR="00AC2891" w:rsidRPr="00A96C22">
        <w:rPr>
          <w:rFonts w:ascii="新宋体" w:eastAsia="新宋体" w:hAnsi="新宋体"/>
        </w:rPr>
        <w:t>日</w:t>
      </w:r>
      <w:r w:rsidR="00AC2891">
        <w:rPr>
          <w:rFonts w:ascii="新宋体" w:eastAsia="新宋体" w:hAnsi="新宋体"/>
        </w:rPr>
        <w:t>（</w:t>
      </w:r>
      <w:r w:rsidR="004340E3">
        <w:rPr>
          <w:rFonts w:ascii="新宋体" w:eastAsia="新宋体" w:hAnsi="新宋体"/>
        </w:rPr>
        <w:t>基金</w:t>
      </w:r>
      <w:r w:rsidR="00AC2891">
        <w:rPr>
          <w:rFonts w:hint="eastAsia"/>
          <w:color w:val="222222"/>
          <w:szCs w:val="21"/>
        </w:rPr>
        <w:t>最后运作日），</w:t>
      </w:r>
      <w:r w:rsidRPr="00A96C22">
        <w:rPr>
          <w:rFonts w:ascii="新宋体" w:eastAsia="新宋体" w:hAnsi="新宋体" w:hint="eastAsia"/>
        </w:rPr>
        <w:t>信澳汇鑫两年封闭式债券型证券投资基金</w:t>
      </w:r>
      <w:r w:rsidRPr="00A96C22">
        <w:rPr>
          <w:rFonts w:hAnsi="宋体" w:hint="eastAsia"/>
        </w:rPr>
        <w:t>份额净值</w:t>
      </w:r>
      <w:r w:rsidRPr="00A96C22">
        <w:rPr>
          <w:rFonts w:ascii="新宋体" w:eastAsia="新宋体" w:hAnsi="新宋体" w:hint="eastAsia"/>
        </w:rPr>
        <w:t>1.0386元，基金</w:t>
      </w:r>
      <w:r w:rsidRPr="00A96C22">
        <w:rPr>
          <w:rFonts w:hAnsi="宋体" w:hint="eastAsia"/>
        </w:rPr>
        <w:t>份额为</w:t>
      </w:r>
      <w:r w:rsidRPr="00A96C22">
        <w:rPr>
          <w:rFonts w:ascii="新宋体" w:eastAsia="新宋体" w:hAnsi="新宋体" w:hint="eastAsia"/>
        </w:rPr>
        <w:t>850,122,164.15</w:t>
      </w:r>
      <w:r w:rsidRPr="00A96C22">
        <w:rPr>
          <w:rFonts w:hAnsi="宋体" w:hint="eastAsia"/>
        </w:rPr>
        <w:t>份</w:t>
      </w:r>
      <w:r w:rsidR="00AC2891">
        <w:rPr>
          <w:rFonts w:hAnsi="宋体" w:hint="eastAsia"/>
        </w:rPr>
        <w:t>。</w:t>
      </w:r>
    </w:p>
    <w:p w:rsidR="004340E3" w:rsidRPr="0060421F" w:rsidRDefault="00AC2891" w:rsidP="004340E3">
      <w:pPr>
        <w:autoSpaceDE w:val="0"/>
        <w:autoSpaceDN w:val="0"/>
        <w:adjustRightInd w:val="0"/>
        <w:spacing w:beforeLines="50" w:line="360" w:lineRule="auto"/>
        <w:ind w:firstLineChars="200" w:firstLine="480"/>
        <w:rPr>
          <w:sz w:val="24"/>
          <w:szCs w:val="24"/>
        </w:rPr>
      </w:pPr>
      <w:r w:rsidRPr="00CB3EFD">
        <w:rPr>
          <w:rFonts w:ascii="新宋体" w:eastAsia="新宋体" w:hAnsi="新宋体"/>
          <w:sz w:val="24"/>
          <w:szCs w:val="24"/>
        </w:rPr>
        <w:t>2</w:t>
      </w:r>
      <w:r w:rsidRPr="00CB3EFD">
        <w:rPr>
          <w:rFonts w:ascii="新宋体" w:eastAsia="新宋体" w:hAnsi="新宋体" w:hint="eastAsia"/>
          <w:sz w:val="24"/>
          <w:szCs w:val="24"/>
        </w:rPr>
        <w:t>、本基金的清算报表是在非持续经营的前提下参考《企业会计准则》及《证券投资基金会计核算业务指引》的有关规定编制的。</w:t>
      </w:r>
      <w:r w:rsidR="004340E3" w:rsidRPr="0060421F">
        <w:rPr>
          <w:rFonts w:hint="eastAsia"/>
          <w:sz w:val="24"/>
          <w:szCs w:val="24"/>
        </w:rPr>
        <w:t>于</w:t>
      </w:r>
      <w:r w:rsidR="004340E3" w:rsidRPr="0060421F">
        <w:rPr>
          <w:rFonts w:hint="eastAsia"/>
          <w:sz w:val="24"/>
          <w:szCs w:val="24"/>
        </w:rPr>
        <w:t>2025</w:t>
      </w:r>
      <w:r w:rsidR="004340E3" w:rsidRPr="0060421F">
        <w:rPr>
          <w:rFonts w:hint="eastAsia"/>
          <w:sz w:val="24"/>
          <w:szCs w:val="24"/>
        </w:rPr>
        <w:t>年</w:t>
      </w:r>
      <w:r w:rsidR="004340E3">
        <w:rPr>
          <w:rFonts w:hint="eastAsia"/>
          <w:sz w:val="24"/>
          <w:szCs w:val="24"/>
        </w:rPr>
        <w:t>4</w:t>
      </w:r>
      <w:r w:rsidR="004340E3" w:rsidRPr="0060421F">
        <w:rPr>
          <w:rFonts w:hint="eastAsia"/>
          <w:sz w:val="24"/>
          <w:szCs w:val="24"/>
        </w:rPr>
        <w:t>月</w:t>
      </w:r>
      <w:r w:rsidR="004340E3" w:rsidRPr="0060421F">
        <w:rPr>
          <w:rFonts w:hint="eastAsia"/>
          <w:sz w:val="24"/>
          <w:szCs w:val="24"/>
        </w:rPr>
        <w:t>1</w:t>
      </w:r>
      <w:r w:rsidR="004340E3">
        <w:rPr>
          <w:rFonts w:hint="eastAsia"/>
          <w:sz w:val="24"/>
          <w:szCs w:val="24"/>
        </w:rPr>
        <w:t>4</w:t>
      </w:r>
      <w:r w:rsidR="004340E3" w:rsidRPr="0060421F">
        <w:rPr>
          <w:rFonts w:hint="eastAsia"/>
          <w:sz w:val="24"/>
          <w:szCs w:val="24"/>
        </w:rPr>
        <w:t>日（基金最后运作日），所有资产以可收回金额与账面价值孰低计量，负债以预计需要清偿的金额计量。</w:t>
      </w:r>
    </w:p>
    <w:p w:rsidR="00F0537B" w:rsidRPr="00A96C22" w:rsidRDefault="00F0537B">
      <w:pPr>
        <w:pStyle w:val="Default"/>
        <w:spacing w:line="360" w:lineRule="auto"/>
        <w:ind w:firstLineChars="200" w:firstLine="480"/>
        <w:rPr>
          <w:rFonts w:ascii="新宋体" w:eastAsia="新宋体" w:hAnsi="新宋体" w:hint="eastAsia"/>
        </w:rPr>
      </w:pPr>
    </w:p>
    <w:p w:rsidR="00F0537B" w:rsidRPr="00A96C22" w:rsidRDefault="00F0537B" w:rsidP="002D6559">
      <w:pPr>
        <w:pStyle w:val="Default"/>
        <w:jc w:val="center"/>
        <w:outlineLvl w:val="0"/>
        <w:rPr>
          <w:rFonts w:ascii="新宋体" w:eastAsia="新宋体" w:hAnsi="新宋体"/>
          <w:b/>
        </w:rPr>
      </w:pPr>
      <w:r w:rsidRPr="00A96C22">
        <w:rPr>
          <w:rFonts w:ascii="新宋体" w:eastAsia="新宋体" w:hAnsi="新宋体" w:hint="eastAsia"/>
          <w:b/>
        </w:rPr>
        <w:t>五、清算情况</w:t>
      </w:r>
    </w:p>
    <w:p w:rsidR="00F0537B" w:rsidRPr="00A96C22" w:rsidRDefault="00F0537B">
      <w:pPr>
        <w:pStyle w:val="Default"/>
        <w:spacing w:line="360" w:lineRule="auto"/>
        <w:ind w:firstLineChars="200" w:firstLine="480"/>
        <w:rPr>
          <w:rFonts w:ascii="新宋体" w:eastAsia="新宋体" w:hAnsi="新宋体"/>
        </w:rPr>
      </w:pPr>
      <w:r w:rsidRPr="00A96C22">
        <w:rPr>
          <w:rFonts w:ascii="新宋体" w:eastAsia="新宋体" w:hAnsi="新宋体"/>
        </w:rPr>
        <w:t>自202</w:t>
      </w:r>
      <w:r w:rsidRPr="00A96C22">
        <w:rPr>
          <w:rFonts w:ascii="新宋体" w:eastAsia="新宋体" w:hAnsi="新宋体" w:hint="eastAsia"/>
        </w:rPr>
        <w:t>5年4月15日</w:t>
      </w:r>
      <w:r w:rsidRPr="00A96C22">
        <w:rPr>
          <w:rFonts w:ascii="新宋体" w:eastAsia="新宋体" w:hAnsi="新宋体"/>
        </w:rPr>
        <w:t>至202</w:t>
      </w:r>
      <w:r w:rsidRPr="00A96C22">
        <w:rPr>
          <w:rFonts w:ascii="新宋体" w:eastAsia="新宋体" w:hAnsi="新宋体" w:hint="eastAsia"/>
        </w:rPr>
        <w:t>5</w:t>
      </w:r>
      <w:r w:rsidRPr="00A96C22">
        <w:rPr>
          <w:rFonts w:ascii="新宋体" w:eastAsia="新宋体" w:hAnsi="新宋体"/>
        </w:rPr>
        <w:t>年</w:t>
      </w:r>
      <w:r w:rsidRPr="00A96C22">
        <w:rPr>
          <w:rFonts w:ascii="新宋体" w:eastAsia="新宋体" w:hAnsi="新宋体" w:hint="eastAsia"/>
        </w:rPr>
        <w:t>4</w:t>
      </w:r>
      <w:r w:rsidRPr="00A96C22">
        <w:rPr>
          <w:rFonts w:ascii="新宋体" w:eastAsia="新宋体" w:hAnsi="新宋体"/>
        </w:rPr>
        <w:t>月</w:t>
      </w:r>
      <w:r w:rsidRPr="00A96C22">
        <w:rPr>
          <w:rFonts w:ascii="新宋体" w:eastAsia="新宋体" w:hAnsi="新宋体" w:hint="eastAsia"/>
        </w:rPr>
        <w:t>16</w:t>
      </w:r>
      <w:r w:rsidRPr="00A96C22">
        <w:rPr>
          <w:rFonts w:ascii="新宋体" w:eastAsia="新宋体" w:hAnsi="新宋体"/>
        </w:rPr>
        <w:t>日止</w:t>
      </w:r>
      <w:r w:rsidRPr="00A96C22">
        <w:rPr>
          <w:rFonts w:ascii="新宋体" w:eastAsia="新宋体" w:hAnsi="新宋体" w:hint="eastAsia"/>
        </w:rPr>
        <w:t>清算期间</w:t>
      </w:r>
      <w:r w:rsidRPr="00A96C22">
        <w:rPr>
          <w:rFonts w:ascii="新宋体" w:eastAsia="新宋体" w:hAnsi="新宋体"/>
        </w:rPr>
        <w:t>，</w:t>
      </w:r>
      <w:r w:rsidRPr="00A96C22">
        <w:rPr>
          <w:rFonts w:ascii="新宋体" w:eastAsia="新宋体" w:hAnsi="新宋体" w:hint="eastAsia"/>
        </w:rPr>
        <w:t>信澳汇鑫两年封闭式债券型证券投资基金</w:t>
      </w:r>
      <w:r w:rsidRPr="00A96C22">
        <w:rPr>
          <w:rFonts w:ascii="新宋体" w:eastAsia="新宋体" w:hAnsi="新宋体"/>
        </w:rPr>
        <w:t>财产清算小组对本基金的资产、负债进行清算，全部清算工作按清算原则和清算手续进行。</w:t>
      </w:r>
    </w:p>
    <w:p w:rsidR="00F0537B" w:rsidRPr="00A96C22" w:rsidRDefault="00F0537B">
      <w:pPr>
        <w:pStyle w:val="Default"/>
        <w:spacing w:line="360" w:lineRule="auto"/>
        <w:ind w:firstLineChars="200" w:firstLine="480"/>
        <w:rPr>
          <w:rFonts w:ascii="新宋体" w:eastAsia="新宋体" w:hAnsi="新宋体"/>
        </w:rPr>
      </w:pPr>
      <w:r w:rsidRPr="00A96C22">
        <w:rPr>
          <w:rFonts w:ascii="新宋体" w:eastAsia="新宋体" w:hAnsi="新宋体"/>
        </w:rPr>
        <w:t>基金资产处置、负债清偿及基金净资产分配情况如下：</w:t>
      </w:r>
    </w:p>
    <w:p w:rsidR="00F0537B" w:rsidRPr="00A96C22" w:rsidRDefault="00F0537B">
      <w:pPr>
        <w:pStyle w:val="af0"/>
        <w:tabs>
          <w:tab w:val="left" w:pos="709"/>
        </w:tabs>
        <w:overflowPunct w:val="0"/>
        <w:autoSpaceDE w:val="0"/>
        <w:autoSpaceDN w:val="0"/>
        <w:snapToGrid w:val="0"/>
        <w:spacing w:line="360" w:lineRule="auto"/>
        <w:ind w:firstLineChars="0" w:firstLine="0"/>
        <w:rPr>
          <w:rFonts w:ascii="宋体" w:hAnsi="宋体" w:cs="Arial"/>
          <w:sz w:val="24"/>
          <w:szCs w:val="24"/>
        </w:rPr>
      </w:pPr>
      <w:bookmarkStart w:id="1" w:name="OLE_LINK8"/>
      <w:bookmarkStart w:id="2" w:name="OLE_LINK9"/>
      <w:r w:rsidRPr="00A96C22">
        <w:rPr>
          <w:rFonts w:ascii="宋体" w:hAnsi="宋体" w:cs="Arial" w:hint="eastAsia"/>
          <w:sz w:val="24"/>
          <w:szCs w:val="24"/>
        </w:rPr>
        <w:t>1、</w:t>
      </w:r>
      <w:r w:rsidRPr="00A96C22">
        <w:rPr>
          <w:rFonts w:ascii="宋体" w:hAnsi="宋体" w:cs="Arial"/>
          <w:sz w:val="24"/>
          <w:szCs w:val="24"/>
        </w:rPr>
        <w:t>资产</w:t>
      </w:r>
      <w:r w:rsidRPr="00A96C22">
        <w:rPr>
          <w:rFonts w:ascii="宋体" w:hAnsi="宋体" w:cs="Arial" w:hint="eastAsia"/>
          <w:sz w:val="24"/>
          <w:szCs w:val="24"/>
        </w:rPr>
        <w:t>清算</w:t>
      </w:r>
      <w:r w:rsidRPr="00A96C22">
        <w:rPr>
          <w:rFonts w:ascii="宋体" w:hAnsi="宋体" w:cs="Arial"/>
          <w:sz w:val="24"/>
          <w:szCs w:val="24"/>
        </w:rPr>
        <w:t>情况</w:t>
      </w:r>
      <w:bookmarkEnd w:id="1"/>
      <w:bookmarkEnd w:id="2"/>
    </w:p>
    <w:p w:rsidR="00F0537B" w:rsidRPr="00A96C22" w:rsidRDefault="00F0537B">
      <w:pPr>
        <w:pStyle w:val="af0"/>
        <w:tabs>
          <w:tab w:val="left" w:pos="1134"/>
        </w:tabs>
        <w:overflowPunct w:val="0"/>
        <w:autoSpaceDE w:val="0"/>
        <w:autoSpaceDN w:val="0"/>
        <w:snapToGrid w:val="0"/>
        <w:spacing w:line="360" w:lineRule="auto"/>
        <w:ind w:firstLineChars="0" w:firstLine="0"/>
        <w:rPr>
          <w:rFonts w:ascii="宋体" w:hAnsi="宋体" w:cs="Arial"/>
          <w:sz w:val="24"/>
          <w:szCs w:val="24"/>
        </w:rPr>
      </w:pPr>
      <w:r w:rsidRPr="00A96C22">
        <w:rPr>
          <w:rFonts w:ascii="宋体" w:hAnsi="宋体" w:cs="Arial" w:hint="eastAsia"/>
          <w:sz w:val="24"/>
          <w:szCs w:val="24"/>
        </w:rPr>
        <w:t>（1）本基金最后运作日银行存款为人民币882,383,940.20元</w:t>
      </w:r>
      <w:r w:rsidR="00B03D8C">
        <w:rPr>
          <w:rFonts w:ascii="宋体" w:hAnsi="宋体" w:cs="Arial"/>
          <w:sz w:val="24"/>
          <w:szCs w:val="24"/>
        </w:rPr>
        <w:t>，</w:t>
      </w:r>
      <w:r w:rsidRPr="00A96C22">
        <w:rPr>
          <w:rFonts w:ascii="宋体" w:hAnsi="宋体" w:cs="Arial" w:hint="eastAsia"/>
          <w:sz w:val="24"/>
          <w:szCs w:val="24"/>
        </w:rPr>
        <w:t>其中</w:t>
      </w:r>
      <w:r w:rsidR="001C32E4">
        <w:rPr>
          <w:rFonts w:ascii="宋体" w:hAnsi="宋体" w:cs="Arial" w:hint="eastAsia"/>
          <w:sz w:val="24"/>
          <w:szCs w:val="24"/>
        </w:rPr>
        <w:t>存放于托管账户人民币</w:t>
      </w:r>
      <w:r w:rsidR="00EB536E" w:rsidRPr="00A96C22">
        <w:rPr>
          <w:rFonts w:ascii="宋体" w:hAnsi="宋体" w:cs="Arial" w:hint="eastAsia"/>
          <w:sz w:val="24"/>
          <w:szCs w:val="24"/>
        </w:rPr>
        <w:t>882,3</w:t>
      </w:r>
      <w:r w:rsidR="00EB536E">
        <w:rPr>
          <w:rFonts w:ascii="宋体" w:hAnsi="宋体" w:cs="Arial"/>
          <w:sz w:val="24"/>
          <w:szCs w:val="24"/>
        </w:rPr>
        <w:t>64</w:t>
      </w:r>
      <w:r w:rsidR="00EB536E" w:rsidRPr="00A96C22">
        <w:rPr>
          <w:rFonts w:ascii="宋体" w:hAnsi="宋体" w:cs="Arial" w:hint="eastAsia"/>
          <w:sz w:val="24"/>
          <w:szCs w:val="24"/>
        </w:rPr>
        <w:t>,</w:t>
      </w:r>
      <w:r w:rsidR="00EB536E">
        <w:rPr>
          <w:rFonts w:ascii="宋体" w:hAnsi="宋体" w:cs="Arial"/>
          <w:sz w:val="24"/>
          <w:szCs w:val="24"/>
        </w:rPr>
        <w:t>439</w:t>
      </w:r>
      <w:r w:rsidR="00EB536E" w:rsidRPr="00A96C22">
        <w:rPr>
          <w:rFonts w:ascii="宋体" w:hAnsi="宋体" w:cs="Arial" w:hint="eastAsia"/>
          <w:sz w:val="24"/>
          <w:szCs w:val="24"/>
        </w:rPr>
        <w:t>.</w:t>
      </w:r>
      <w:r w:rsidR="00EB536E">
        <w:rPr>
          <w:rFonts w:ascii="宋体" w:hAnsi="宋体" w:cs="Arial"/>
          <w:sz w:val="24"/>
          <w:szCs w:val="24"/>
        </w:rPr>
        <w:t>84</w:t>
      </w:r>
      <w:r w:rsidR="001C32E4">
        <w:rPr>
          <w:rFonts w:ascii="宋体" w:hAnsi="宋体" w:cs="Arial"/>
          <w:sz w:val="24"/>
          <w:szCs w:val="24"/>
        </w:rPr>
        <w:t>元</w:t>
      </w:r>
      <w:r w:rsidR="001C32E4">
        <w:rPr>
          <w:rFonts w:ascii="宋体" w:hAnsi="宋体" w:cs="Arial" w:hint="eastAsia"/>
          <w:sz w:val="24"/>
          <w:szCs w:val="24"/>
        </w:rPr>
        <w:t>，</w:t>
      </w:r>
      <w:r w:rsidRPr="00A96C22">
        <w:rPr>
          <w:rFonts w:ascii="宋体" w:hAnsi="宋体" w:cs="Arial" w:hint="eastAsia"/>
          <w:sz w:val="24"/>
          <w:szCs w:val="24"/>
        </w:rPr>
        <w:t>应计</w:t>
      </w:r>
      <w:r w:rsidR="00B03D8C">
        <w:rPr>
          <w:rFonts w:ascii="宋体" w:hAnsi="宋体" w:cs="Arial" w:hint="eastAsia"/>
          <w:sz w:val="24"/>
          <w:szCs w:val="24"/>
        </w:rPr>
        <w:t>银行存款</w:t>
      </w:r>
      <w:r w:rsidRPr="00A96C22">
        <w:rPr>
          <w:rFonts w:ascii="宋体" w:hAnsi="宋体" w:cs="Arial" w:hint="eastAsia"/>
          <w:sz w:val="24"/>
          <w:szCs w:val="24"/>
        </w:rPr>
        <w:t>利息人民币19,500.36元</w:t>
      </w:r>
      <w:r w:rsidR="00B03D8C">
        <w:rPr>
          <w:rFonts w:ascii="宋体" w:hAnsi="宋体" w:cs="Arial"/>
          <w:sz w:val="24"/>
          <w:szCs w:val="24"/>
        </w:rPr>
        <w:t>。应计银行存款利息</w:t>
      </w:r>
      <w:r w:rsidRPr="00A96C22">
        <w:rPr>
          <w:rFonts w:ascii="宋体" w:hAnsi="宋体" w:cs="Arial" w:hint="eastAsia"/>
          <w:sz w:val="24"/>
          <w:szCs w:val="24"/>
        </w:rPr>
        <w:t>将由基金管理人信达澳亚基金管理有限公司以自有资金在支付清算款之日进行垫付</w:t>
      </w:r>
      <w:r w:rsidR="00B03D8C">
        <w:rPr>
          <w:rFonts w:hint="eastAsia"/>
          <w:szCs w:val="21"/>
        </w:rPr>
        <w:t>。</w:t>
      </w:r>
    </w:p>
    <w:p w:rsidR="00F0537B" w:rsidRPr="00A96C22" w:rsidRDefault="00F0537B">
      <w:pPr>
        <w:pStyle w:val="af0"/>
        <w:tabs>
          <w:tab w:val="left" w:pos="1134"/>
        </w:tabs>
        <w:overflowPunct w:val="0"/>
        <w:autoSpaceDE w:val="0"/>
        <w:autoSpaceDN w:val="0"/>
        <w:snapToGrid w:val="0"/>
        <w:spacing w:line="360" w:lineRule="auto"/>
        <w:ind w:firstLineChars="0" w:firstLine="0"/>
        <w:rPr>
          <w:rFonts w:ascii="宋体" w:hAnsi="宋体" w:cs="Arial"/>
          <w:sz w:val="24"/>
          <w:szCs w:val="24"/>
        </w:rPr>
      </w:pPr>
      <w:r w:rsidRPr="00A96C22">
        <w:rPr>
          <w:rFonts w:ascii="宋体" w:hAnsi="宋体" w:cs="Arial" w:hint="eastAsia"/>
          <w:sz w:val="24"/>
          <w:szCs w:val="24"/>
        </w:rPr>
        <w:t>（2）本基金最后运作日结算备付金为人民币810,882.18元</w:t>
      </w:r>
      <w:r w:rsidR="00B03D8C">
        <w:rPr>
          <w:rFonts w:ascii="宋体" w:hAnsi="宋体" w:cs="Arial" w:hint="eastAsia"/>
          <w:sz w:val="24"/>
          <w:szCs w:val="24"/>
        </w:rPr>
        <w:t>，</w:t>
      </w:r>
      <w:r w:rsidR="00B03D8C">
        <w:rPr>
          <w:rFonts w:ascii="宋体" w:hAnsi="宋体" w:cs="Arial"/>
          <w:sz w:val="24"/>
          <w:szCs w:val="24"/>
        </w:rPr>
        <w:t>其中</w:t>
      </w:r>
      <w:r w:rsidR="001C32E4">
        <w:rPr>
          <w:rFonts w:ascii="宋体" w:hAnsi="宋体" w:cs="Arial"/>
          <w:sz w:val="24"/>
          <w:szCs w:val="24"/>
        </w:rPr>
        <w:t>存放于中国证券登记结算公司的结算备付金人民币</w:t>
      </w:r>
      <w:r w:rsidR="00EB536E">
        <w:rPr>
          <w:rFonts w:ascii="宋体" w:hAnsi="宋体" w:cs="Arial"/>
          <w:sz w:val="24"/>
          <w:szCs w:val="24"/>
        </w:rPr>
        <w:t>810,373.01</w:t>
      </w:r>
      <w:r w:rsidR="001C32E4">
        <w:rPr>
          <w:rFonts w:ascii="宋体" w:hAnsi="宋体" w:cs="Arial"/>
          <w:sz w:val="24"/>
          <w:szCs w:val="24"/>
        </w:rPr>
        <w:t>元 ，</w:t>
      </w:r>
      <w:r w:rsidRPr="00A96C22">
        <w:rPr>
          <w:rFonts w:ascii="宋体" w:hAnsi="宋体" w:cs="Arial" w:hint="eastAsia"/>
          <w:sz w:val="24"/>
          <w:szCs w:val="24"/>
        </w:rPr>
        <w:t>应计</w:t>
      </w:r>
      <w:r w:rsidR="00B03D8C">
        <w:rPr>
          <w:rFonts w:ascii="宋体" w:hAnsi="宋体" w:cs="Arial" w:hint="eastAsia"/>
          <w:sz w:val="24"/>
          <w:szCs w:val="24"/>
        </w:rPr>
        <w:t>结算</w:t>
      </w:r>
      <w:r w:rsidRPr="00A96C22">
        <w:rPr>
          <w:rFonts w:ascii="宋体" w:hAnsi="宋体" w:cs="Arial" w:hint="eastAsia"/>
          <w:sz w:val="24"/>
          <w:szCs w:val="24"/>
        </w:rPr>
        <w:t>备付金利息人民币509.17元</w:t>
      </w:r>
      <w:r w:rsidR="001C32E4">
        <w:rPr>
          <w:rFonts w:ascii="宋体" w:hAnsi="宋体" w:cs="Arial"/>
          <w:sz w:val="24"/>
          <w:szCs w:val="24"/>
        </w:rPr>
        <w:t>。</w:t>
      </w:r>
      <w:r w:rsidR="00B03D8C">
        <w:rPr>
          <w:rFonts w:ascii="宋体" w:hAnsi="宋体" w:cs="Arial" w:hint="eastAsia"/>
          <w:sz w:val="24"/>
          <w:szCs w:val="24"/>
        </w:rPr>
        <w:t>上述款项</w:t>
      </w:r>
      <w:r w:rsidRPr="00A96C22">
        <w:rPr>
          <w:rFonts w:ascii="宋体" w:hAnsi="宋体" w:cs="Arial" w:hint="eastAsia"/>
          <w:sz w:val="24"/>
          <w:szCs w:val="24"/>
        </w:rPr>
        <w:t>将由基金管理人信达澳亚基金管理有限公司以自有资金在支付清算款之日进行垫付</w:t>
      </w:r>
      <w:r w:rsidR="00B03D8C">
        <w:rPr>
          <w:rFonts w:hint="eastAsia"/>
          <w:szCs w:val="21"/>
        </w:rPr>
        <w:t>。</w:t>
      </w:r>
    </w:p>
    <w:p w:rsidR="008A229F" w:rsidRDefault="00F0537B">
      <w:pPr>
        <w:tabs>
          <w:tab w:val="left" w:pos="1134"/>
        </w:tabs>
        <w:overflowPunct w:val="0"/>
        <w:autoSpaceDE w:val="0"/>
        <w:autoSpaceDN w:val="0"/>
        <w:snapToGrid w:val="0"/>
        <w:spacing w:line="360" w:lineRule="auto"/>
        <w:rPr>
          <w:rFonts w:ascii="宋体" w:hAnsi="宋体"/>
          <w:sz w:val="24"/>
          <w:szCs w:val="24"/>
        </w:rPr>
      </w:pPr>
      <w:r w:rsidRPr="00A96C22">
        <w:rPr>
          <w:rFonts w:ascii="宋体" w:hAnsi="宋体"/>
          <w:sz w:val="24"/>
          <w:szCs w:val="24"/>
        </w:rPr>
        <w:t>2</w:t>
      </w:r>
      <w:r w:rsidRPr="00A96C22">
        <w:rPr>
          <w:rFonts w:ascii="宋体" w:hAnsi="宋体" w:hint="eastAsia"/>
          <w:sz w:val="24"/>
          <w:szCs w:val="24"/>
        </w:rPr>
        <w:t>、负债清偿情况</w:t>
      </w:r>
    </w:p>
    <w:p w:rsidR="00F0537B" w:rsidRPr="00A96C22" w:rsidRDefault="008A229F" w:rsidP="00CB3EFD">
      <w:pPr>
        <w:tabs>
          <w:tab w:val="left" w:pos="650"/>
        </w:tabs>
        <w:overflowPunct w:val="0"/>
        <w:autoSpaceDE w:val="0"/>
        <w:autoSpaceDN w:val="0"/>
        <w:snapToGrid w:val="0"/>
        <w:spacing w:line="360" w:lineRule="auto"/>
        <w:rPr>
          <w:rFonts w:ascii="宋体" w:hAnsi="宋体" w:hint="eastAsia"/>
          <w:sz w:val="24"/>
          <w:szCs w:val="24"/>
        </w:rPr>
      </w:pPr>
      <w:r>
        <w:rPr>
          <w:rFonts w:ascii="宋体" w:hAnsi="宋体" w:hint="eastAsia"/>
          <w:sz w:val="24"/>
          <w:szCs w:val="24"/>
        </w:rPr>
        <w:t>（1）</w:t>
      </w:r>
      <w:r>
        <w:rPr>
          <w:rFonts w:ascii="宋体" w:hAnsi="宋体"/>
          <w:sz w:val="24"/>
          <w:szCs w:val="24"/>
        </w:rPr>
        <w:tab/>
      </w:r>
      <w:r w:rsidRPr="008A229F">
        <w:rPr>
          <w:rFonts w:ascii="宋体" w:hAnsi="宋体" w:hint="eastAsia"/>
          <w:sz w:val="24"/>
          <w:szCs w:val="24"/>
        </w:rPr>
        <w:t>本基金于清算期内确认的应付赎回款</w:t>
      </w:r>
      <w:r w:rsidR="00C81065">
        <w:rPr>
          <w:rFonts w:ascii="宋体" w:hAnsi="宋体" w:hint="eastAsia"/>
          <w:sz w:val="24"/>
          <w:szCs w:val="24"/>
        </w:rPr>
        <w:t>人民币</w:t>
      </w:r>
      <w:r w:rsidRPr="008A229F">
        <w:rPr>
          <w:rFonts w:ascii="宋体" w:hAnsi="宋体" w:hint="eastAsia"/>
          <w:sz w:val="24"/>
          <w:szCs w:val="24"/>
        </w:rPr>
        <w:t>883,000,279.89元</w:t>
      </w:r>
      <w:r w:rsidR="00C81065">
        <w:rPr>
          <w:rFonts w:ascii="宋体" w:hAnsi="宋体" w:hint="eastAsia"/>
          <w:sz w:val="24"/>
          <w:szCs w:val="24"/>
        </w:rPr>
        <w:t>。</w:t>
      </w:r>
      <w:r w:rsidRPr="008A229F">
        <w:rPr>
          <w:rFonts w:ascii="宋体" w:hAnsi="宋体" w:hint="eastAsia"/>
          <w:sz w:val="24"/>
          <w:szCs w:val="24"/>
        </w:rPr>
        <w:t>截止至2025年4月16日</w:t>
      </w:r>
      <w:r>
        <w:rPr>
          <w:rFonts w:ascii="宋体" w:hAnsi="宋体" w:hint="eastAsia"/>
          <w:sz w:val="24"/>
          <w:szCs w:val="24"/>
        </w:rPr>
        <w:t>该</w:t>
      </w:r>
      <w:r w:rsidRPr="008A229F">
        <w:rPr>
          <w:rFonts w:ascii="宋体" w:hAnsi="宋体" w:hint="eastAsia"/>
          <w:sz w:val="24"/>
          <w:szCs w:val="24"/>
        </w:rPr>
        <w:t>款项尚未支付</w:t>
      </w:r>
      <w:r>
        <w:rPr>
          <w:rFonts w:ascii="宋体" w:hAnsi="宋体" w:hint="eastAsia"/>
          <w:sz w:val="24"/>
          <w:szCs w:val="24"/>
        </w:rPr>
        <w:t>。</w:t>
      </w:r>
    </w:p>
    <w:p w:rsidR="00F0537B" w:rsidRPr="00A96C22" w:rsidRDefault="00F0537B">
      <w:pPr>
        <w:tabs>
          <w:tab w:val="left" w:pos="1134"/>
        </w:tabs>
        <w:overflowPunct w:val="0"/>
        <w:autoSpaceDE w:val="0"/>
        <w:autoSpaceDN w:val="0"/>
        <w:snapToGrid w:val="0"/>
        <w:spacing w:line="360" w:lineRule="auto"/>
        <w:rPr>
          <w:rFonts w:ascii="宋体" w:hAnsi="宋体" w:cs="Arial"/>
          <w:sz w:val="24"/>
          <w:szCs w:val="24"/>
        </w:rPr>
      </w:pPr>
      <w:r w:rsidRPr="00A96C22">
        <w:rPr>
          <w:rFonts w:ascii="宋体" w:hAnsi="宋体" w:cs="Arial" w:hint="eastAsia"/>
          <w:sz w:val="24"/>
          <w:szCs w:val="24"/>
        </w:rPr>
        <w:t>（</w:t>
      </w:r>
      <w:r w:rsidR="008A229F">
        <w:rPr>
          <w:rFonts w:ascii="宋体" w:hAnsi="宋体" w:cs="Arial" w:hint="eastAsia"/>
          <w:sz w:val="24"/>
          <w:szCs w:val="24"/>
        </w:rPr>
        <w:t>2</w:t>
      </w:r>
      <w:r w:rsidRPr="00A96C22">
        <w:rPr>
          <w:rFonts w:ascii="宋体" w:hAnsi="宋体" w:cs="Arial" w:hint="eastAsia"/>
          <w:sz w:val="24"/>
          <w:szCs w:val="24"/>
        </w:rPr>
        <w:t>）本基金</w:t>
      </w:r>
      <w:r w:rsidRPr="00A96C22">
        <w:rPr>
          <w:rFonts w:ascii="宋体" w:hAnsi="宋体" w:cs="Arial"/>
          <w:sz w:val="24"/>
          <w:szCs w:val="24"/>
        </w:rPr>
        <w:t>最后运作日</w:t>
      </w:r>
      <w:r w:rsidRPr="00A96C22">
        <w:rPr>
          <w:rFonts w:ascii="宋体" w:hAnsi="宋体" w:cs="Arial" w:hint="eastAsia"/>
          <w:sz w:val="24"/>
          <w:szCs w:val="24"/>
        </w:rPr>
        <w:t>应付管理人报酬人民币101,531.59元，应付托管费</w:t>
      </w:r>
      <w:r w:rsidRPr="00A96C22">
        <w:rPr>
          <w:rFonts w:ascii="宋体" w:hAnsi="宋体" w:cs="Arial"/>
          <w:sz w:val="24"/>
          <w:szCs w:val="24"/>
        </w:rPr>
        <w:t>人民币</w:t>
      </w:r>
      <w:r w:rsidRPr="00A96C22">
        <w:rPr>
          <w:rFonts w:ascii="宋体" w:hAnsi="宋体" w:cs="Arial" w:hint="eastAsia"/>
          <w:sz w:val="24"/>
          <w:szCs w:val="24"/>
        </w:rPr>
        <w:t>33,843.85元</w:t>
      </w:r>
      <w:r w:rsidRPr="00A96C22">
        <w:rPr>
          <w:rFonts w:ascii="宋体" w:hAnsi="宋体" w:cs="Arial" w:hint="eastAsia"/>
          <w:kern w:val="0"/>
          <w:sz w:val="24"/>
          <w:szCs w:val="24"/>
        </w:rPr>
        <w:t>，</w:t>
      </w:r>
      <w:r w:rsidRPr="00A96C22">
        <w:rPr>
          <w:rFonts w:ascii="宋体" w:hAnsi="宋体" w:cs="Arial" w:hint="eastAsia"/>
          <w:sz w:val="24"/>
          <w:szCs w:val="24"/>
        </w:rPr>
        <w:t>应交税费</w:t>
      </w:r>
      <w:r w:rsidRPr="00A96C22">
        <w:rPr>
          <w:rFonts w:ascii="宋体" w:hAnsi="宋体" w:cs="Arial"/>
          <w:sz w:val="24"/>
          <w:szCs w:val="24"/>
        </w:rPr>
        <w:t>人民币</w:t>
      </w:r>
      <w:r w:rsidRPr="00A96C22">
        <w:rPr>
          <w:rFonts w:ascii="宋体" w:hAnsi="宋体" w:cs="Arial" w:hint="eastAsia"/>
          <w:sz w:val="24"/>
          <w:szCs w:val="24"/>
        </w:rPr>
        <w:t>23,796.74元。截止至2</w:t>
      </w:r>
      <w:r w:rsidRPr="00A96C22">
        <w:rPr>
          <w:rFonts w:ascii="宋体" w:hAnsi="宋体" w:cs="Arial"/>
          <w:sz w:val="24"/>
          <w:szCs w:val="24"/>
        </w:rPr>
        <w:t>02</w:t>
      </w:r>
      <w:r w:rsidRPr="00A96C22">
        <w:rPr>
          <w:rFonts w:ascii="宋体" w:hAnsi="宋体" w:cs="Arial" w:hint="eastAsia"/>
          <w:sz w:val="24"/>
          <w:szCs w:val="24"/>
        </w:rPr>
        <w:t>5</w:t>
      </w:r>
      <w:r w:rsidRPr="00A96C22">
        <w:rPr>
          <w:rFonts w:ascii="宋体" w:hAnsi="宋体" w:cs="Arial"/>
          <w:sz w:val="24"/>
          <w:szCs w:val="24"/>
        </w:rPr>
        <w:t>年</w:t>
      </w:r>
      <w:r w:rsidRPr="00A96C22">
        <w:rPr>
          <w:rFonts w:ascii="宋体" w:hAnsi="宋体" w:cs="Arial" w:hint="eastAsia"/>
          <w:sz w:val="24"/>
          <w:szCs w:val="24"/>
        </w:rPr>
        <w:t>4</w:t>
      </w:r>
      <w:r w:rsidRPr="00A96C22">
        <w:rPr>
          <w:rFonts w:ascii="宋体" w:hAnsi="宋体" w:cs="Arial"/>
          <w:sz w:val="24"/>
          <w:szCs w:val="24"/>
        </w:rPr>
        <w:t>月</w:t>
      </w:r>
      <w:r w:rsidRPr="00A96C22">
        <w:rPr>
          <w:rFonts w:ascii="宋体" w:hAnsi="宋体" w:cs="Arial" w:hint="eastAsia"/>
          <w:sz w:val="24"/>
          <w:szCs w:val="24"/>
        </w:rPr>
        <w:t>16</w:t>
      </w:r>
      <w:r w:rsidRPr="00A96C22">
        <w:rPr>
          <w:rFonts w:ascii="宋体" w:hAnsi="宋体" w:cs="Arial"/>
          <w:sz w:val="24"/>
          <w:szCs w:val="24"/>
        </w:rPr>
        <w:t>日</w:t>
      </w:r>
      <w:r w:rsidRPr="00A96C22">
        <w:rPr>
          <w:rFonts w:ascii="宋体" w:hAnsi="宋体" w:cs="Arial" w:hint="eastAsia"/>
          <w:sz w:val="24"/>
          <w:szCs w:val="24"/>
        </w:rPr>
        <w:t>以上款项尚未支付。</w:t>
      </w:r>
    </w:p>
    <w:p w:rsidR="00F0537B" w:rsidRPr="00A96C22" w:rsidRDefault="00F0537B">
      <w:pPr>
        <w:tabs>
          <w:tab w:val="left" w:pos="1134"/>
        </w:tabs>
        <w:overflowPunct w:val="0"/>
        <w:autoSpaceDE w:val="0"/>
        <w:autoSpaceDN w:val="0"/>
        <w:snapToGrid w:val="0"/>
        <w:spacing w:line="360" w:lineRule="auto"/>
        <w:rPr>
          <w:rFonts w:ascii="宋体" w:hAnsi="宋体" w:cs="Arial"/>
          <w:sz w:val="24"/>
          <w:szCs w:val="24"/>
        </w:rPr>
      </w:pPr>
      <w:r w:rsidRPr="00A96C22">
        <w:rPr>
          <w:rFonts w:ascii="宋体" w:hAnsi="宋体" w:cs="Arial" w:hint="eastAsia"/>
          <w:sz w:val="24"/>
          <w:szCs w:val="24"/>
        </w:rPr>
        <w:t>（</w:t>
      </w:r>
      <w:r w:rsidR="008A229F">
        <w:rPr>
          <w:rFonts w:ascii="宋体" w:hAnsi="宋体" w:cs="Arial" w:hint="eastAsia"/>
          <w:sz w:val="24"/>
          <w:szCs w:val="24"/>
        </w:rPr>
        <w:t>3</w:t>
      </w:r>
      <w:r w:rsidRPr="00A96C22">
        <w:rPr>
          <w:rFonts w:ascii="宋体" w:hAnsi="宋体" w:cs="Arial" w:hint="eastAsia"/>
          <w:sz w:val="24"/>
          <w:szCs w:val="24"/>
        </w:rPr>
        <w:t>）</w:t>
      </w:r>
      <w:r w:rsidRPr="00A96C22">
        <w:rPr>
          <w:rFonts w:ascii="宋体" w:hAnsi="宋体" w:cs="Arial"/>
          <w:sz w:val="24"/>
          <w:szCs w:val="24"/>
        </w:rPr>
        <w:t>本基金最后运作日其他负债人民币</w:t>
      </w:r>
      <w:r w:rsidRPr="00A96C22">
        <w:rPr>
          <w:rFonts w:ascii="宋体" w:hAnsi="宋体" w:cs="宋体" w:hint="eastAsia"/>
          <w:color w:val="000000"/>
          <w:kern w:val="0"/>
          <w:sz w:val="24"/>
          <w:szCs w:val="24"/>
        </w:rPr>
        <w:t>69,336.15</w:t>
      </w:r>
      <w:r w:rsidRPr="00A96C22">
        <w:rPr>
          <w:rFonts w:ascii="宋体" w:hAnsi="宋体" w:cs="Arial"/>
          <w:sz w:val="24"/>
          <w:szCs w:val="24"/>
        </w:rPr>
        <w:t>元</w:t>
      </w:r>
      <w:r w:rsidRPr="00A96C22">
        <w:rPr>
          <w:rFonts w:ascii="宋体" w:hAnsi="宋体" w:cs="Arial" w:hint="eastAsia"/>
          <w:sz w:val="24"/>
          <w:szCs w:val="24"/>
        </w:rPr>
        <w:t>，其中包括：应付交易费用11,236.15元；</w:t>
      </w:r>
      <w:r w:rsidR="00871CDF">
        <w:rPr>
          <w:rFonts w:ascii="宋体" w:hAnsi="宋体" w:cs="Arial" w:hint="eastAsia"/>
          <w:sz w:val="24"/>
          <w:szCs w:val="24"/>
        </w:rPr>
        <w:t>应付</w:t>
      </w:r>
      <w:r w:rsidRPr="00A96C22">
        <w:rPr>
          <w:rFonts w:ascii="宋体" w:hAnsi="宋体" w:cs="Arial" w:hint="eastAsia"/>
          <w:sz w:val="24"/>
          <w:szCs w:val="24"/>
        </w:rPr>
        <w:t>审计费</w:t>
      </w:r>
      <w:r w:rsidRPr="00A96C22">
        <w:rPr>
          <w:rFonts w:ascii="宋体" w:hAnsi="宋体" w:cs="Arial"/>
          <w:sz w:val="24"/>
          <w:szCs w:val="24"/>
        </w:rPr>
        <w:t>人民币</w:t>
      </w:r>
      <w:r w:rsidRPr="00A96C22">
        <w:rPr>
          <w:rFonts w:ascii="宋体" w:hAnsi="宋体" w:cs="Arial" w:hint="eastAsia"/>
          <w:sz w:val="24"/>
          <w:szCs w:val="24"/>
        </w:rPr>
        <w:t>10,000.00元；</w:t>
      </w:r>
      <w:r w:rsidR="00871CDF">
        <w:rPr>
          <w:rFonts w:ascii="宋体" w:hAnsi="宋体" w:cs="Arial" w:hint="eastAsia"/>
          <w:sz w:val="24"/>
          <w:szCs w:val="24"/>
        </w:rPr>
        <w:t>应付</w:t>
      </w:r>
      <w:r w:rsidRPr="00A96C22">
        <w:rPr>
          <w:rFonts w:ascii="宋体" w:hAnsi="宋体" w:cs="Arial" w:hint="eastAsia"/>
          <w:sz w:val="24"/>
          <w:szCs w:val="24"/>
        </w:rPr>
        <w:t>信息披露费人民币3</w:t>
      </w:r>
      <w:r w:rsidRPr="00A96C22">
        <w:rPr>
          <w:rFonts w:ascii="宋体" w:hAnsi="宋体" w:cs="Arial"/>
          <w:sz w:val="24"/>
          <w:szCs w:val="24"/>
        </w:rPr>
        <w:t>0</w:t>
      </w:r>
      <w:r w:rsidRPr="00A96C22">
        <w:rPr>
          <w:rFonts w:ascii="宋体" w:hAnsi="宋体" w:cs="Arial" w:hint="eastAsia"/>
          <w:sz w:val="24"/>
          <w:szCs w:val="24"/>
        </w:rPr>
        <w:t>,</w:t>
      </w:r>
      <w:r w:rsidRPr="00A96C22">
        <w:rPr>
          <w:rFonts w:ascii="宋体" w:hAnsi="宋体" w:cs="Arial"/>
          <w:sz w:val="24"/>
          <w:szCs w:val="24"/>
        </w:rPr>
        <w:t>0</w:t>
      </w:r>
      <w:r w:rsidRPr="00A96C22">
        <w:rPr>
          <w:rFonts w:ascii="宋体" w:hAnsi="宋体" w:cs="Arial" w:hint="eastAsia"/>
          <w:sz w:val="24"/>
          <w:szCs w:val="24"/>
        </w:rPr>
        <w:t>00.00元；</w:t>
      </w:r>
      <w:r w:rsidR="00871CDF">
        <w:rPr>
          <w:rFonts w:ascii="宋体" w:hAnsi="宋体" w:cs="Arial" w:hint="eastAsia"/>
          <w:sz w:val="24"/>
          <w:szCs w:val="24"/>
        </w:rPr>
        <w:t>应付</w:t>
      </w:r>
      <w:r w:rsidRPr="00A96C22">
        <w:rPr>
          <w:rFonts w:ascii="宋体" w:hAnsi="宋体" w:cs="Arial" w:hint="eastAsia"/>
          <w:sz w:val="24"/>
          <w:szCs w:val="24"/>
        </w:rPr>
        <w:t>律师费15,000.00元；</w:t>
      </w:r>
      <w:r w:rsidR="00871CDF">
        <w:rPr>
          <w:rFonts w:ascii="宋体" w:hAnsi="宋体" w:cs="Arial" w:hint="eastAsia"/>
          <w:sz w:val="24"/>
          <w:szCs w:val="24"/>
        </w:rPr>
        <w:t>应付</w:t>
      </w:r>
      <w:r w:rsidRPr="00A96C22">
        <w:rPr>
          <w:rFonts w:ascii="宋体" w:hAnsi="宋体" w:cs="Arial" w:hint="eastAsia"/>
          <w:sz w:val="24"/>
          <w:szCs w:val="24"/>
        </w:rPr>
        <w:t>银行间账户维护费人民币3,100</w:t>
      </w:r>
      <w:r w:rsidR="00CE31EA" w:rsidRPr="00A96C22">
        <w:rPr>
          <w:rFonts w:ascii="宋体" w:hAnsi="宋体" w:cs="Arial"/>
          <w:sz w:val="24"/>
          <w:szCs w:val="24"/>
        </w:rPr>
        <w:t>.00</w:t>
      </w:r>
      <w:r w:rsidRPr="00A96C22">
        <w:rPr>
          <w:rFonts w:ascii="宋体" w:hAnsi="宋体" w:cs="Arial"/>
          <w:sz w:val="24"/>
          <w:szCs w:val="24"/>
        </w:rPr>
        <w:t>元</w:t>
      </w:r>
      <w:r w:rsidRPr="00A96C22">
        <w:rPr>
          <w:rFonts w:ascii="宋体" w:hAnsi="宋体" w:cs="Arial" w:hint="eastAsia"/>
          <w:sz w:val="24"/>
          <w:szCs w:val="24"/>
        </w:rPr>
        <w:t>。</w:t>
      </w:r>
      <w:r w:rsidR="00E3726A" w:rsidRPr="00A96C22">
        <w:rPr>
          <w:rFonts w:ascii="宋体" w:hAnsi="宋体" w:cs="Arial" w:hint="eastAsia"/>
          <w:sz w:val="24"/>
          <w:szCs w:val="24"/>
        </w:rPr>
        <w:t>截止至2</w:t>
      </w:r>
      <w:r w:rsidR="00E3726A" w:rsidRPr="00A96C22">
        <w:rPr>
          <w:rFonts w:ascii="宋体" w:hAnsi="宋体" w:cs="Arial"/>
          <w:sz w:val="24"/>
          <w:szCs w:val="24"/>
        </w:rPr>
        <w:t>02</w:t>
      </w:r>
      <w:r w:rsidR="00E3726A" w:rsidRPr="00A96C22">
        <w:rPr>
          <w:rFonts w:ascii="宋体" w:hAnsi="宋体" w:cs="Arial" w:hint="eastAsia"/>
          <w:sz w:val="24"/>
          <w:szCs w:val="24"/>
        </w:rPr>
        <w:t>5</w:t>
      </w:r>
      <w:r w:rsidR="00E3726A" w:rsidRPr="00A96C22">
        <w:rPr>
          <w:rFonts w:ascii="宋体" w:hAnsi="宋体" w:cs="Arial"/>
          <w:sz w:val="24"/>
          <w:szCs w:val="24"/>
        </w:rPr>
        <w:t>年</w:t>
      </w:r>
      <w:r w:rsidR="00E3726A" w:rsidRPr="00A96C22">
        <w:rPr>
          <w:rFonts w:ascii="宋体" w:hAnsi="宋体" w:cs="Arial" w:hint="eastAsia"/>
          <w:sz w:val="24"/>
          <w:szCs w:val="24"/>
        </w:rPr>
        <w:t>4</w:t>
      </w:r>
      <w:r w:rsidR="00E3726A" w:rsidRPr="00A96C22">
        <w:rPr>
          <w:rFonts w:ascii="宋体" w:hAnsi="宋体" w:cs="Arial"/>
          <w:sz w:val="24"/>
          <w:szCs w:val="24"/>
        </w:rPr>
        <w:t>月</w:t>
      </w:r>
      <w:r w:rsidR="00E3726A" w:rsidRPr="00A96C22">
        <w:rPr>
          <w:rFonts w:ascii="宋体" w:hAnsi="宋体" w:cs="Arial" w:hint="eastAsia"/>
          <w:sz w:val="24"/>
          <w:szCs w:val="24"/>
        </w:rPr>
        <w:t>16</w:t>
      </w:r>
      <w:r w:rsidR="00E3726A" w:rsidRPr="00A96C22">
        <w:rPr>
          <w:rFonts w:ascii="宋体" w:hAnsi="宋体" w:cs="Arial"/>
          <w:sz w:val="24"/>
          <w:szCs w:val="24"/>
        </w:rPr>
        <w:t>日</w:t>
      </w:r>
      <w:r w:rsidR="00E3726A" w:rsidRPr="00A96C22">
        <w:rPr>
          <w:rFonts w:ascii="宋体" w:hAnsi="宋体" w:cs="Arial" w:hint="eastAsia"/>
          <w:sz w:val="24"/>
          <w:szCs w:val="24"/>
        </w:rPr>
        <w:t>以上款项尚未支付。</w:t>
      </w:r>
    </w:p>
    <w:p w:rsidR="00F0537B" w:rsidRPr="00A96C22" w:rsidRDefault="00F0537B">
      <w:pPr>
        <w:spacing w:line="360" w:lineRule="auto"/>
        <w:rPr>
          <w:rFonts w:ascii="宋体" w:hAnsi="宋体"/>
          <w:sz w:val="24"/>
          <w:szCs w:val="24"/>
        </w:rPr>
      </w:pPr>
      <w:r w:rsidRPr="00A96C22">
        <w:rPr>
          <w:rFonts w:ascii="宋体" w:hAnsi="宋体" w:hint="eastAsia"/>
          <w:sz w:val="24"/>
          <w:szCs w:val="24"/>
        </w:rPr>
        <w:t>3、</w:t>
      </w:r>
      <w:bookmarkStart w:id="3" w:name="_Hlk16084382"/>
      <w:r w:rsidRPr="00A96C22">
        <w:rPr>
          <w:rFonts w:ascii="宋体" w:hAnsi="宋体"/>
          <w:sz w:val="24"/>
          <w:szCs w:val="24"/>
        </w:rPr>
        <w:t>清算期间的清算损益情况</w:t>
      </w:r>
      <w:bookmarkEnd w:id="3"/>
    </w:p>
    <w:p w:rsidR="00F0537B" w:rsidRPr="00A96C22" w:rsidRDefault="00F0537B">
      <w:pPr>
        <w:overflowPunct w:val="0"/>
        <w:autoSpaceDE w:val="0"/>
        <w:autoSpaceDN w:val="0"/>
        <w:snapToGrid w:val="0"/>
        <w:spacing w:line="360" w:lineRule="auto"/>
        <w:ind w:left="6480"/>
        <w:rPr>
          <w:rFonts w:ascii="宋体" w:hAnsi="宋体" w:cs="Arial"/>
          <w:b/>
          <w:sz w:val="24"/>
          <w:szCs w:val="24"/>
        </w:rPr>
      </w:pPr>
      <w:r w:rsidRPr="00A96C22">
        <w:rPr>
          <w:rFonts w:ascii="宋体" w:hAnsi="宋体" w:cs="Arial"/>
          <w:sz w:val="24"/>
          <w:szCs w:val="24"/>
        </w:rPr>
        <w:t>单位：人民币元</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4111"/>
      </w:tblGrid>
      <w:tr w:rsidR="00F0537B" w:rsidRPr="00A96C22">
        <w:trPr>
          <w:trHeight w:val="80"/>
        </w:trPr>
        <w:tc>
          <w:tcPr>
            <w:tcW w:w="4111" w:type="dxa"/>
            <w:noWrap/>
            <w:vAlign w:val="bottom"/>
          </w:tcPr>
          <w:p w:rsidR="00F0537B" w:rsidRPr="00A96C22" w:rsidRDefault="00F0537B">
            <w:pPr>
              <w:overflowPunct w:val="0"/>
              <w:autoSpaceDE w:val="0"/>
              <w:autoSpaceDN w:val="0"/>
              <w:snapToGrid w:val="0"/>
              <w:spacing w:line="360" w:lineRule="auto"/>
              <w:ind w:left="-47" w:right="-61"/>
              <w:jc w:val="left"/>
              <w:rPr>
                <w:rFonts w:ascii="宋体" w:hAnsi="宋体" w:cs="Arial"/>
                <w:sz w:val="24"/>
                <w:szCs w:val="24"/>
              </w:rPr>
            </w:pPr>
            <w:r w:rsidRPr="00A96C22">
              <w:rPr>
                <w:rFonts w:ascii="宋体" w:hAnsi="宋体" w:cs="Arial"/>
                <w:sz w:val="24"/>
                <w:szCs w:val="24"/>
              </w:rPr>
              <w:t>项目</w:t>
            </w:r>
          </w:p>
        </w:tc>
        <w:tc>
          <w:tcPr>
            <w:tcW w:w="4111" w:type="dxa"/>
            <w:noWrap/>
            <w:vAlign w:val="bottom"/>
          </w:tcPr>
          <w:p w:rsidR="00F0537B" w:rsidRPr="00A96C22" w:rsidRDefault="00F0537B">
            <w:pPr>
              <w:overflowPunct w:val="0"/>
              <w:autoSpaceDE w:val="0"/>
              <w:autoSpaceDN w:val="0"/>
              <w:snapToGrid w:val="0"/>
              <w:spacing w:line="360" w:lineRule="auto"/>
              <w:jc w:val="right"/>
              <w:rPr>
                <w:rFonts w:ascii="宋体" w:hAnsi="宋体" w:cs="Arial" w:hint="eastAsia"/>
                <w:color w:val="000000"/>
                <w:sz w:val="24"/>
                <w:szCs w:val="24"/>
              </w:rPr>
            </w:pPr>
            <w:r w:rsidRPr="00A96C22">
              <w:rPr>
                <w:rFonts w:ascii="宋体" w:hAnsi="宋体" w:cs="Arial"/>
                <w:color w:val="000000"/>
                <w:sz w:val="24"/>
                <w:szCs w:val="24"/>
              </w:rPr>
              <w:t>自20</w:t>
            </w:r>
            <w:r w:rsidRPr="00A96C22">
              <w:rPr>
                <w:rFonts w:ascii="宋体" w:hAnsi="宋体" w:cs="Arial" w:hint="eastAsia"/>
                <w:color w:val="000000"/>
                <w:sz w:val="24"/>
                <w:szCs w:val="24"/>
              </w:rPr>
              <w:t>25</w:t>
            </w:r>
            <w:r w:rsidRPr="00A96C22">
              <w:rPr>
                <w:rFonts w:ascii="宋体" w:hAnsi="宋体" w:cs="Arial"/>
                <w:color w:val="000000"/>
                <w:sz w:val="24"/>
                <w:szCs w:val="24"/>
              </w:rPr>
              <w:t>年</w:t>
            </w:r>
            <w:r w:rsidRPr="00A96C22">
              <w:rPr>
                <w:rFonts w:ascii="宋体" w:hAnsi="宋体" w:cs="Arial" w:hint="eastAsia"/>
                <w:color w:val="000000"/>
                <w:sz w:val="24"/>
                <w:szCs w:val="24"/>
              </w:rPr>
              <w:t>4</w:t>
            </w:r>
            <w:r w:rsidRPr="00A96C22">
              <w:rPr>
                <w:rFonts w:ascii="宋体" w:hAnsi="宋体" w:cs="Arial"/>
                <w:color w:val="000000"/>
                <w:sz w:val="24"/>
                <w:szCs w:val="24"/>
              </w:rPr>
              <w:t>月1</w:t>
            </w:r>
            <w:r w:rsidRPr="00A96C22">
              <w:rPr>
                <w:rFonts w:ascii="宋体" w:hAnsi="宋体" w:cs="Arial" w:hint="eastAsia"/>
                <w:color w:val="000000"/>
                <w:sz w:val="24"/>
                <w:szCs w:val="24"/>
              </w:rPr>
              <w:t>5</w:t>
            </w:r>
            <w:r w:rsidRPr="00A96C22">
              <w:rPr>
                <w:rFonts w:ascii="宋体" w:hAnsi="宋体" w:cs="Arial"/>
                <w:color w:val="000000"/>
                <w:sz w:val="24"/>
                <w:szCs w:val="24"/>
              </w:rPr>
              <w:t>日至20</w:t>
            </w:r>
            <w:r w:rsidRPr="00A96C22">
              <w:rPr>
                <w:rFonts w:ascii="宋体" w:hAnsi="宋体" w:cs="Arial" w:hint="eastAsia"/>
                <w:color w:val="000000"/>
                <w:sz w:val="24"/>
                <w:szCs w:val="24"/>
              </w:rPr>
              <w:t>25</w:t>
            </w:r>
            <w:r w:rsidRPr="00A96C22">
              <w:rPr>
                <w:rFonts w:ascii="宋体" w:hAnsi="宋体" w:cs="Arial"/>
                <w:color w:val="000000"/>
                <w:sz w:val="24"/>
                <w:szCs w:val="24"/>
              </w:rPr>
              <w:t>年</w:t>
            </w:r>
            <w:r w:rsidRPr="00A96C22">
              <w:rPr>
                <w:rFonts w:ascii="宋体" w:hAnsi="宋体" w:cs="Arial" w:hint="eastAsia"/>
                <w:color w:val="000000"/>
                <w:sz w:val="24"/>
                <w:szCs w:val="24"/>
              </w:rPr>
              <w:t>4</w:t>
            </w:r>
            <w:r w:rsidRPr="00A96C22">
              <w:rPr>
                <w:rFonts w:ascii="宋体" w:hAnsi="宋体" w:cs="Arial"/>
                <w:color w:val="000000"/>
                <w:sz w:val="24"/>
                <w:szCs w:val="24"/>
              </w:rPr>
              <w:t>月</w:t>
            </w:r>
            <w:r w:rsidRPr="00A96C22">
              <w:rPr>
                <w:rFonts w:ascii="宋体" w:hAnsi="宋体" w:cs="Arial" w:hint="eastAsia"/>
                <w:color w:val="000000"/>
                <w:sz w:val="24"/>
                <w:szCs w:val="24"/>
              </w:rPr>
              <w:t>16</w:t>
            </w:r>
            <w:r w:rsidRPr="00A96C22">
              <w:rPr>
                <w:rFonts w:ascii="宋体" w:hAnsi="宋体" w:cs="Arial"/>
                <w:color w:val="000000"/>
                <w:sz w:val="24"/>
                <w:szCs w:val="24"/>
              </w:rPr>
              <w:t>日</w:t>
            </w:r>
            <w:r w:rsidR="004340E3">
              <w:rPr>
                <w:rFonts w:ascii="宋体" w:hAnsi="宋体" w:cs="Arial"/>
                <w:color w:val="000000"/>
                <w:sz w:val="24"/>
                <w:szCs w:val="24"/>
              </w:rPr>
              <w:t>止清算期间</w:t>
            </w:r>
          </w:p>
        </w:tc>
      </w:tr>
      <w:tr w:rsidR="00F0537B" w:rsidRPr="00A96C22">
        <w:trPr>
          <w:trHeight w:val="271"/>
        </w:trPr>
        <w:tc>
          <w:tcPr>
            <w:tcW w:w="4111" w:type="dxa"/>
            <w:noWrap/>
            <w:vAlign w:val="bottom"/>
          </w:tcPr>
          <w:p w:rsidR="00F0537B" w:rsidRPr="00A96C22" w:rsidRDefault="00F0537B">
            <w:pPr>
              <w:overflowPunct w:val="0"/>
              <w:autoSpaceDE w:val="0"/>
              <w:autoSpaceDN w:val="0"/>
              <w:snapToGrid w:val="0"/>
              <w:spacing w:line="360" w:lineRule="auto"/>
              <w:ind w:left="-47" w:right="-61"/>
              <w:jc w:val="left"/>
              <w:rPr>
                <w:rFonts w:ascii="宋体" w:hAnsi="宋体" w:cs="Arial"/>
                <w:sz w:val="24"/>
                <w:szCs w:val="24"/>
              </w:rPr>
            </w:pPr>
            <w:r w:rsidRPr="00A96C22">
              <w:rPr>
                <w:rFonts w:ascii="宋体" w:hAnsi="宋体" w:cs="Arial"/>
                <w:sz w:val="24"/>
                <w:szCs w:val="24"/>
              </w:rPr>
              <w:t>一、清算收益</w:t>
            </w:r>
          </w:p>
        </w:tc>
        <w:tc>
          <w:tcPr>
            <w:tcW w:w="4111" w:type="dxa"/>
            <w:noWrap/>
            <w:vAlign w:val="bottom"/>
          </w:tcPr>
          <w:p w:rsidR="00F0537B" w:rsidRPr="00A96C22" w:rsidRDefault="00F0537B">
            <w:pPr>
              <w:overflowPunct w:val="0"/>
              <w:autoSpaceDE w:val="0"/>
              <w:autoSpaceDN w:val="0"/>
              <w:snapToGrid w:val="0"/>
              <w:spacing w:line="360" w:lineRule="auto"/>
              <w:jc w:val="right"/>
              <w:rPr>
                <w:rFonts w:ascii="宋体" w:hAnsi="宋体" w:cs="Arial"/>
                <w:color w:val="000000"/>
                <w:sz w:val="24"/>
                <w:szCs w:val="24"/>
              </w:rPr>
            </w:pPr>
          </w:p>
        </w:tc>
      </w:tr>
      <w:tr w:rsidR="00F0537B" w:rsidRPr="00A96C22">
        <w:trPr>
          <w:trHeight w:val="80"/>
        </w:trPr>
        <w:tc>
          <w:tcPr>
            <w:tcW w:w="4111" w:type="dxa"/>
            <w:noWrap/>
            <w:vAlign w:val="bottom"/>
          </w:tcPr>
          <w:p w:rsidR="00F0537B" w:rsidRPr="00A96C22" w:rsidRDefault="00F0537B">
            <w:pPr>
              <w:overflowPunct w:val="0"/>
              <w:autoSpaceDE w:val="0"/>
              <w:autoSpaceDN w:val="0"/>
              <w:snapToGrid w:val="0"/>
              <w:spacing w:line="360" w:lineRule="auto"/>
              <w:ind w:left="-47" w:right="-61" w:firstLine="448"/>
              <w:jc w:val="left"/>
              <w:rPr>
                <w:rFonts w:ascii="宋体" w:hAnsi="宋体" w:cs="Arial"/>
                <w:sz w:val="24"/>
                <w:szCs w:val="24"/>
              </w:rPr>
            </w:pPr>
            <w:r w:rsidRPr="00A96C22">
              <w:rPr>
                <w:rFonts w:ascii="宋体" w:hAnsi="宋体" w:cs="Arial"/>
                <w:sz w:val="24"/>
                <w:szCs w:val="24"/>
              </w:rPr>
              <w:t>1、利息收入(注1)</w:t>
            </w:r>
          </w:p>
        </w:tc>
        <w:tc>
          <w:tcPr>
            <w:tcW w:w="4111" w:type="dxa"/>
            <w:noWrap/>
            <w:vAlign w:val="bottom"/>
          </w:tcPr>
          <w:p w:rsidR="00F0537B" w:rsidRPr="00A96C22" w:rsidRDefault="00F0537B">
            <w:pPr>
              <w:overflowPunct w:val="0"/>
              <w:autoSpaceDE w:val="0"/>
              <w:autoSpaceDN w:val="0"/>
              <w:snapToGrid w:val="0"/>
              <w:spacing w:line="360" w:lineRule="auto"/>
              <w:jc w:val="right"/>
              <w:rPr>
                <w:rFonts w:ascii="宋体" w:hAnsi="宋体" w:cs="Arial"/>
                <w:color w:val="000000"/>
                <w:sz w:val="24"/>
                <w:szCs w:val="24"/>
              </w:rPr>
            </w:pPr>
            <w:r w:rsidRPr="00A96C22">
              <w:rPr>
                <w:rFonts w:ascii="宋体" w:hAnsi="宋体" w:cs="Arial" w:hint="eastAsia"/>
                <w:color w:val="000000"/>
                <w:sz w:val="24"/>
                <w:szCs w:val="24"/>
              </w:rPr>
              <w:t>35,310.34</w:t>
            </w:r>
          </w:p>
        </w:tc>
      </w:tr>
      <w:tr w:rsidR="00F0537B" w:rsidRPr="00A96C22">
        <w:trPr>
          <w:trHeight w:val="80"/>
        </w:trPr>
        <w:tc>
          <w:tcPr>
            <w:tcW w:w="4111" w:type="dxa"/>
            <w:noWrap/>
            <w:vAlign w:val="bottom"/>
          </w:tcPr>
          <w:p w:rsidR="00F0537B" w:rsidRPr="00A96C22" w:rsidRDefault="00F0537B">
            <w:pPr>
              <w:overflowPunct w:val="0"/>
              <w:autoSpaceDE w:val="0"/>
              <w:autoSpaceDN w:val="0"/>
              <w:snapToGrid w:val="0"/>
              <w:spacing w:line="360" w:lineRule="auto"/>
              <w:ind w:left="-47" w:right="-61" w:firstLine="448"/>
              <w:jc w:val="left"/>
              <w:rPr>
                <w:rFonts w:ascii="宋体" w:hAnsi="宋体" w:cs="Arial"/>
                <w:sz w:val="24"/>
                <w:szCs w:val="24"/>
              </w:rPr>
            </w:pPr>
            <w:r w:rsidRPr="00A96C22">
              <w:rPr>
                <w:rFonts w:ascii="宋体" w:hAnsi="宋体" w:cs="Arial"/>
                <w:sz w:val="24"/>
                <w:szCs w:val="24"/>
              </w:rPr>
              <w:t>清算收入小计</w:t>
            </w:r>
          </w:p>
        </w:tc>
        <w:tc>
          <w:tcPr>
            <w:tcW w:w="4111" w:type="dxa"/>
            <w:noWrap/>
            <w:vAlign w:val="bottom"/>
          </w:tcPr>
          <w:p w:rsidR="00F0537B" w:rsidRPr="00A96C22" w:rsidRDefault="00F0537B">
            <w:pPr>
              <w:overflowPunct w:val="0"/>
              <w:autoSpaceDE w:val="0"/>
              <w:autoSpaceDN w:val="0"/>
              <w:snapToGrid w:val="0"/>
              <w:spacing w:line="360" w:lineRule="auto"/>
              <w:jc w:val="right"/>
              <w:rPr>
                <w:rFonts w:ascii="宋体" w:hAnsi="宋体" w:cs="Arial"/>
                <w:color w:val="000000"/>
                <w:sz w:val="24"/>
                <w:szCs w:val="24"/>
              </w:rPr>
            </w:pPr>
            <w:r w:rsidRPr="00A96C22">
              <w:rPr>
                <w:rFonts w:ascii="宋体" w:hAnsi="宋体" w:cs="Arial" w:hint="eastAsia"/>
                <w:color w:val="000000"/>
                <w:sz w:val="24"/>
                <w:szCs w:val="24"/>
              </w:rPr>
              <w:t>35,310.34</w:t>
            </w:r>
          </w:p>
        </w:tc>
      </w:tr>
      <w:tr w:rsidR="00F0537B" w:rsidRPr="00A96C22">
        <w:trPr>
          <w:trHeight w:val="80"/>
        </w:trPr>
        <w:tc>
          <w:tcPr>
            <w:tcW w:w="4111" w:type="dxa"/>
            <w:noWrap/>
            <w:vAlign w:val="bottom"/>
          </w:tcPr>
          <w:p w:rsidR="00F0537B" w:rsidRPr="00A96C22" w:rsidRDefault="00F0537B">
            <w:pPr>
              <w:overflowPunct w:val="0"/>
              <w:autoSpaceDE w:val="0"/>
              <w:autoSpaceDN w:val="0"/>
              <w:snapToGrid w:val="0"/>
              <w:spacing w:line="360" w:lineRule="auto"/>
              <w:ind w:left="-47" w:right="-61"/>
              <w:jc w:val="left"/>
              <w:rPr>
                <w:rFonts w:ascii="宋体" w:hAnsi="宋体" w:cs="Arial"/>
                <w:sz w:val="24"/>
                <w:szCs w:val="24"/>
              </w:rPr>
            </w:pPr>
            <w:r w:rsidRPr="00A96C22">
              <w:rPr>
                <w:rFonts w:ascii="宋体" w:hAnsi="宋体" w:cs="Arial"/>
                <w:sz w:val="24"/>
                <w:szCs w:val="24"/>
              </w:rPr>
              <w:t>二、清算费用</w:t>
            </w:r>
          </w:p>
        </w:tc>
        <w:tc>
          <w:tcPr>
            <w:tcW w:w="4111" w:type="dxa"/>
            <w:noWrap/>
            <w:vAlign w:val="bottom"/>
          </w:tcPr>
          <w:p w:rsidR="00F0537B" w:rsidRPr="00A96C22" w:rsidRDefault="00F0537B">
            <w:pPr>
              <w:overflowPunct w:val="0"/>
              <w:autoSpaceDE w:val="0"/>
              <w:autoSpaceDN w:val="0"/>
              <w:snapToGrid w:val="0"/>
              <w:spacing w:line="360" w:lineRule="auto"/>
              <w:jc w:val="right"/>
              <w:rPr>
                <w:rFonts w:ascii="宋体" w:hAnsi="宋体" w:cs="Arial"/>
                <w:color w:val="000000"/>
                <w:sz w:val="24"/>
                <w:szCs w:val="24"/>
              </w:rPr>
            </w:pPr>
          </w:p>
        </w:tc>
      </w:tr>
      <w:tr w:rsidR="00493389" w:rsidRPr="00A96C22" w:rsidTr="00A96C22">
        <w:trPr>
          <w:trHeight w:val="80"/>
        </w:trPr>
        <w:tc>
          <w:tcPr>
            <w:tcW w:w="4111" w:type="dxa"/>
            <w:noWrap/>
            <w:vAlign w:val="bottom"/>
          </w:tcPr>
          <w:p w:rsidR="00493389" w:rsidRPr="00A96C22" w:rsidRDefault="00493389" w:rsidP="00493389">
            <w:pPr>
              <w:overflowPunct w:val="0"/>
              <w:autoSpaceDE w:val="0"/>
              <w:autoSpaceDN w:val="0"/>
              <w:snapToGrid w:val="0"/>
              <w:spacing w:line="360" w:lineRule="auto"/>
              <w:ind w:left="-47" w:right="-61" w:firstLine="448"/>
              <w:jc w:val="left"/>
              <w:rPr>
                <w:rFonts w:ascii="宋体" w:hAnsi="宋体" w:cs="Arial"/>
                <w:sz w:val="24"/>
                <w:szCs w:val="24"/>
              </w:rPr>
            </w:pPr>
            <w:r w:rsidRPr="00A96C22">
              <w:rPr>
                <w:rFonts w:ascii="宋体" w:hAnsi="宋体" w:cs="Arial"/>
                <w:sz w:val="24"/>
                <w:szCs w:val="24"/>
              </w:rPr>
              <w:t>1、</w:t>
            </w:r>
            <w:r w:rsidRPr="00A96C22">
              <w:rPr>
                <w:rFonts w:ascii="宋体" w:hAnsi="宋体" w:cs="Arial" w:hint="eastAsia"/>
                <w:sz w:val="24"/>
                <w:szCs w:val="24"/>
              </w:rPr>
              <w:t>银行划款手续费（注2）</w:t>
            </w:r>
          </w:p>
        </w:tc>
        <w:tc>
          <w:tcPr>
            <w:tcW w:w="4111" w:type="dxa"/>
            <w:noWrap/>
          </w:tcPr>
          <w:p w:rsidR="00493389" w:rsidRPr="00A96C22" w:rsidRDefault="00493389" w:rsidP="00493389">
            <w:pPr>
              <w:overflowPunct w:val="0"/>
              <w:autoSpaceDE w:val="0"/>
              <w:autoSpaceDN w:val="0"/>
              <w:snapToGrid w:val="0"/>
              <w:spacing w:line="360" w:lineRule="auto"/>
              <w:jc w:val="right"/>
              <w:rPr>
                <w:rFonts w:ascii="宋体" w:hAnsi="宋体" w:cs="Arial" w:hint="eastAsia"/>
                <w:color w:val="000000"/>
                <w:sz w:val="24"/>
                <w:szCs w:val="24"/>
              </w:rPr>
            </w:pPr>
            <w:r w:rsidRPr="00A96C22">
              <w:rPr>
                <w:rFonts w:ascii="宋体" w:hAnsi="宋体" w:cs="Arial"/>
                <w:color w:val="000000"/>
                <w:sz w:val="24"/>
                <w:szCs w:val="24"/>
              </w:rPr>
              <w:t>1</w:t>
            </w:r>
            <w:r w:rsidR="002D6559" w:rsidRPr="00A96C22">
              <w:rPr>
                <w:rFonts w:ascii="宋体" w:hAnsi="宋体" w:cs="Arial" w:hint="eastAsia"/>
                <w:color w:val="000000"/>
                <w:sz w:val="24"/>
                <w:szCs w:val="24"/>
              </w:rPr>
              <w:t>,</w:t>
            </w:r>
            <w:r w:rsidRPr="00A96C22">
              <w:rPr>
                <w:rFonts w:ascii="宋体" w:hAnsi="宋体" w:cs="Arial"/>
                <w:color w:val="000000"/>
                <w:sz w:val="24"/>
                <w:szCs w:val="24"/>
              </w:rPr>
              <w:t>344.50</w:t>
            </w:r>
          </w:p>
        </w:tc>
      </w:tr>
      <w:tr w:rsidR="00493389" w:rsidRPr="00A96C22" w:rsidTr="00A96C22">
        <w:trPr>
          <w:trHeight w:val="80"/>
        </w:trPr>
        <w:tc>
          <w:tcPr>
            <w:tcW w:w="4111" w:type="dxa"/>
            <w:noWrap/>
            <w:vAlign w:val="bottom"/>
          </w:tcPr>
          <w:p w:rsidR="00493389" w:rsidRPr="00A96C22" w:rsidRDefault="00493389" w:rsidP="00493389">
            <w:pPr>
              <w:overflowPunct w:val="0"/>
              <w:autoSpaceDE w:val="0"/>
              <w:autoSpaceDN w:val="0"/>
              <w:snapToGrid w:val="0"/>
              <w:spacing w:line="360" w:lineRule="auto"/>
              <w:ind w:left="-47" w:right="-61" w:firstLine="448"/>
              <w:jc w:val="left"/>
              <w:rPr>
                <w:rFonts w:ascii="宋体" w:hAnsi="宋体" w:cs="Arial"/>
                <w:sz w:val="24"/>
                <w:szCs w:val="24"/>
              </w:rPr>
            </w:pPr>
            <w:r w:rsidRPr="00A96C22">
              <w:rPr>
                <w:rFonts w:ascii="宋体" w:hAnsi="宋体" w:cs="Arial"/>
                <w:sz w:val="24"/>
                <w:szCs w:val="24"/>
              </w:rPr>
              <w:t>清算费用小计</w:t>
            </w:r>
          </w:p>
        </w:tc>
        <w:tc>
          <w:tcPr>
            <w:tcW w:w="4111" w:type="dxa"/>
            <w:noWrap/>
          </w:tcPr>
          <w:p w:rsidR="00493389" w:rsidRPr="00A96C22" w:rsidRDefault="00493389" w:rsidP="00493389">
            <w:pPr>
              <w:overflowPunct w:val="0"/>
              <w:autoSpaceDE w:val="0"/>
              <w:autoSpaceDN w:val="0"/>
              <w:snapToGrid w:val="0"/>
              <w:spacing w:line="360" w:lineRule="auto"/>
              <w:jc w:val="right"/>
              <w:rPr>
                <w:rFonts w:ascii="宋体" w:hAnsi="宋体" w:cs="Arial" w:hint="eastAsia"/>
                <w:color w:val="000000"/>
                <w:sz w:val="24"/>
                <w:szCs w:val="24"/>
              </w:rPr>
            </w:pPr>
            <w:r w:rsidRPr="00A96C22">
              <w:rPr>
                <w:rFonts w:ascii="宋体" w:hAnsi="宋体" w:cs="Arial"/>
                <w:color w:val="000000"/>
                <w:sz w:val="24"/>
                <w:szCs w:val="24"/>
              </w:rPr>
              <w:t>1</w:t>
            </w:r>
            <w:r w:rsidR="002D6559" w:rsidRPr="00A96C22">
              <w:rPr>
                <w:rFonts w:ascii="宋体" w:hAnsi="宋体" w:cs="Arial" w:hint="eastAsia"/>
                <w:color w:val="000000"/>
                <w:sz w:val="24"/>
                <w:szCs w:val="24"/>
              </w:rPr>
              <w:t>,</w:t>
            </w:r>
            <w:r w:rsidRPr="00A96C22">
              <w:rPr>
                <w:rFonts w:ascii="宋体" w:hAnsi="宋体" w:cs="Arial"/>
                <w:color w:val="000000"/>
                <w:sz w:val="24"/>
                <w:szCs w:val="24"/>
              </w:rPr>
              <w:t>344.50</w:t>
            </w:r>
          </w:p>
        </w:tc>
      </w:tr>
      <w:tr w:rsidR="00493389" w:rsidRPr="00A96C22" w:rsidTr="00A96C22">
        <w:trPr>
          <w:trHeight w:val="80"/>
        </w:trPr>
        <w:tc>
          <w:tcPr>
            <w:tcW w:w="4111" w:type="dxa"/>
            <w:noWrap/>
            <w:vAlign w:val="bottom"/>
          </w:tcPr>
          <w:p w:rsidR="00493389" w:rsidRPr="00A96C22" w:rsidRDefault="00493389" w:rsidP="00493389">
            <w:pPr>
              <w:overflowPunct w:val="0"/>
              <w:autoSpaceDE w:val="0"/>
              <w:autoSpaceDN w:val="0"/>
              <w:snapToGrid w:val="0"/>
              <w:spacing w:line="360" w:lineRule="auto"/>
              <w:ind w:left="-47" w:right="-61"/>
              <w:jc w:val="left"/>
              <w:rPr>
                <w:rFonts w:ascii="宋体" w:hAnsi="宋体" w:cs="Arial"/>
                <w:sz w:val="24"/>
                <w:szCs w:val="24"/>
              </w:rPr>
            </w:pPr>
            <w:r w:rsidRPr="00A96C22">
              <w:rPr>
                <w:rFonts w:ascii="宋体" w:hAnsi="宋体" w:cs="Arial"/>
                <w:sz w:val="24"/>
                <w:szCs w:val="24"/>
              </w:rPr>
              <w:t>三、清算净收益</w:t>
            </w:r>
          </w:p>
        </w:tc>
        <w:tc>
          <w:tcPr>
            <w:tcW w:w="4111" w:type="dxa"/>
            <w:noWrap/>
          </w:tcPr>
          <w:p w:rsidR="00493389" w:rsidRPr="00A96C22" w:rsidRDefault="00493389" w:rsidP="00493389">
            <w:pPr>
              <w:overflowPunct w:val="0"/>
              <w:autoSpaceDE w:val="0"/>
              <w:autoSpaceDN w:val="0"/>
              <w:snapToGrid w:val="0"/>
              <w:spacing w:line="360" w:lineRule="auto"/>
              <w:jc w:val="right"/>
              <w:rPr>
                <w:rFonts w:ascii="宋体" w:hAnsi="宋体" w:cs="Arial" w:hint="eastAsia"/>
                <w:color w:val="000000"/>
                <w:sz w:val="24"/>
                <w:szCs w:val="24"/>
              </w:rPr>
            </w:pPr>
            <w:r w:rsidRPr="00A96C22">
              <w:rPr>
                <w:rFonts w:ascii="宋体" w:hAnsi="宋体" w:cs="Arial"/>
                <w:color w:val="000000"/>
                <w:sz w:val="24"/>
                <w:szCs w:val="24"/>
              </w:rPr>
              <w:t>33,965.84</w:t>
            </w:r>
          </w:p>
        </w:tc>
      </w:tr>
    </w:tbl>
    <w:p w:rsidR="00F0537B" w:rsidRPr="00A96C22" w:rsidRDefault="00F0537B">
      <w:pPr>
        <w:overflowPunct w:val="0"/>
        <w:autoSpaceDE w:val="0"/>
        <w:autoSpaceDN w:val="0"/>
        <w:snapToGrid w:val="0"/>
        <w:spacing w:line="360" w:lineRule="auto"/>
        <w:rPr>
          <w:rFonts w:ascii="宋体" w:hAnsi="宋体" w:cs="Arial"/>
          <w:kern w:val="0"/>
          <w:sz w:val="24"/>
          <w:szCs w:val="24"/>
        </w:rPr>
      </w:pPr>
      <w:r w:rsidRPr="00A96C22">
        <w:rPr>
          <w:rFonts w:ascii="宋体" w:hAnsi="宋体" w:cs="Arial"/>
          <w:sz w:val="24"/>
          <w:szCs w:val="24"/>
        </w:rPr>
        <w:t>注</w:t>
      </w:r>
      <w:r w:rsidRPr="00A96C22">
        <w:rPr>
          <w:rFonts w:ascii="宋体" w:hAnsi="宋体" w:cs="Arial" w:hint="eastAsia"/>
          <w:sz w:val="24"/>
          <w:szCs w:val="24"/>
        </w:rPr>
        <w:t>1</w:t>
      </w:r>
      <w:r w:rsidRPr="00A96C22">
        <w:rPr>
          <w:rFonts w:ascii="宋体" w:hAnsi="宋体" w:cs="Arial"/>
          <w:kern w:val="0"/>
          <w:sz w:val="24"/>
          <w:szCs w:val="24"/>
        </w:rPr>
        <w:t>：利息收入系</w:t>
      </w:r>
      <w:r w:rsidR="001C32E4" w:rsidRPr="00A96C22">
        <w:rPr>
          <w:rFonts w:ascii="宋体" w:hAnsi="宋体" w:cs="Arial"/>
          <w:kern w:val="0"/>
          <w:sz w:val="24"/>
          <w:szCs w:val="24"/>
        </w:rPr>
        <w:t>计提</w:t>
      </w:r>
      <w:r w:rsidRPr="00A96C22">
        <w:rPr>
          <w:rFonts w:ascii="宋体" w:hAnsi="宋体" w:cs="Arial"/>
          <w:kern w:val="0"/>
          <w:sz w:val="24"/>
          <w:szCs w:val="24"/>
        </w:rPr>
        <w:t>自</w:t>
      </w:r>
      <w:r w:rsidRPr="00A96C22">
        <w:rPr>
          <w:rFonts w:ascii="宋体" w:hAnsi="宋体" w:cs="Arial" w:hint="eastAsia"/>
          <w:kern w:val="0"/>
          <w:sz w:val="24"/>
          <w:szCs w:val="24"/>
        </w:rPr>
        <w:t>2025年4月15日至</w:t>
      </w:r>
      <w:r w:rsidRPr="00A96C22">
        <w:rPr>
          <w:rFonts w:ascii="宋体" w:hAnsi="宋体" w:cs="Arial"/>
          <w:kern w:val="0"/>
          <w:sz w:val="24"/>
          <w:szCs w:val="24"/>
        </w:rPr>
        <w:t>202</w:t>
      </w:r>
      <w:r w:rsidRPr="00A96C22">
        <w:rPr>
          <w:rFonts w:ascii="宋体" w:hAnsi="宋体" w:cs="Arial" w:hint="eastAsia"/>
          <w:kern w:val="0"/>
          <w:sz w:val="24"/>
          <w:szCs w:val="24"/>
        </w:rPr>
        <w:t>5</w:t>
      </w:r>
      <w:r w:rsidRPr="00A96C22">
        <w:rPr>
          <w:rFonts w:ascii="宋体" w:hAnsi="宋体" w:cs="Arial"/>
          <w:kern w:val="0"/>
          <w:sz w:val="24"/>
          <w:szCs w:val="24"/>
        </w:rPr>
        <w:t>年</w:t>
      </w:r>
      <w:r w:rsidRPr="00A96C22">
        <w:rPr>
          <w:rFonts w:ascii="宋体" w:hAnsi="宋体" w:cs="Arial" w:hint="eastAsia"/>
          <w:kern w:val="0"/>
          <w:sz w:val="24"/>
          <w:szCs w:val="24"/>
        </w:rPr>
        <w:t>4</w:t>
      </w:r>
      <w:r w:rsidRPr="00A96C22">
        <w:rPr>
          <w:rFonts w:ascii="宋体" w:hAnsi="宋体" w:cs="Arial"/>
          <w:kern w:val="0"/>
          <w:sz w:val="24"/>
          <w:szCs w:val="24"/>
        </w:rPr>
        <w:t>月</w:t>
      </w:r>
      <w:r w:rsidRPr="00A96C22">
        <w:rPr>
          <w:rFonts w:ascii="宋体" w:hAnsi="宋体" w:cs="Arial" w:hint="eastAsia"/>
          <w:kern w:val="0"/>
          <w:sz w:val="24"/>
          <w:szCs w:val="24"/>
        </w:rPr>
        <w:t>16</w:t>
      </w:r>
      <w:r w:rsidRPr="00A96C22">
        <w:rPr>
          <w:rFonts w:ascii="宋体" w:hAnsi="宋体" w:cs="Arial"/>
          <w:kern w:val="0"/>
          <w:sz w:val="24"/>
          <w:szCs w:val="24"/>
        </w:rPr>
        <w:t>日</w:t>
      </w:r>
      <w:r w:rsidRPr="00A96C22">
        <w:rPr>
          <w:rFonts w:ascii="宋体" w:hAnsi="宋体" w:cs="Arial" w:hint="eastAsia"/>
          <w:kern w:val="0"/>
          <w:sz w:val="24"/>
          <w:szCs w:val="24"/>
        </w:rPr>
        <w:t>止清算期间的银行存款利息和结算备付金利息。</w:t>
      </w:r>
    </w:p>
    <w:p w:rsidR="00523B01" w:rsidRDefault="00613623">
      <w:pPr>
        <w:overflowPunct w:val="0"/>
        <w:autoSpaceDE w:val="0"/>
        <w:autoSpaceDN w:val="0"/>
        <w:snapToGrid w:val="0"/>
        <w:spacing w:line="360" w:lineRule="auto"/>
        <w:rPr>
          <w:rFonts w:ascii="宋体" w:hAnsi="宋体" w:cs="Arial"/>
          <w:sz w:val="24"/>
          <w:szCs w:val="24"/>
        </w:rPr>
      </w:pPr>
      <w:r w:rsidRPr="00A96C22">
        <w:rPr>
          <w:rFonts w:ascii="宋体" w:hAnsi="宋体" w:cs="Arial"/>
          <w:sz w:val="24"/>
          <w:szCs w:val="24"/>
        </w:rPr>
        <w:t>注</w:t>
      </w:r>
      <w:r w:rsidR="00523B01">
        <w:rPr>
          <w:rFonts w:ascii="宋体" w:hAnsi="宋体" w:cs="Arial" w:hint="eastAsia"/>
          <w:sz w:val="24"/>
          <w:szCs w:val="24"/>
        </w:rPr>
        <w:t>2</w:t>
      </w:r>
      <w:r w:rsidRPr="00A96C22">
        <w:rPr>
          <w:rFonts w:ascii="宋体" w:hAnsi="宋体" w:cs="Arial"/>
          <w:sz w:val="24"/>
          <w:szCs w:val="24"/>
        </w:rPr>
        <w:t>：银行划款手续费系自</w:t>
      </w:r>
      <w:r w:rsidRPr="00A96C22">
        <w:rPr>
          <w:rFonts w:ascii="宋体" w:hAnsi="宋体" w:cs="Arial" w:hint="eastAsia"/>
          <w:sz w:val="24"/>
          <w:szCs w:val="24"/>
        </w:rPr>
        <w:t>2</w:t>
      </w:r>
      <w:r w:rsidRPr="00A96C22">
        <w:rPr>
          <w:rFonts w:ascii="宋体" w:hAnsi="宋体" w:cs="Arial"/>
          <w:sz w:val="24"/>
          <w:szCs w:val="24"/>
        </w:rPr>
        <w:t>025年</w:t>
      </w:r>
      <w:r w:rsidRPr="00A96C22">
        <w:rPr>
          <w:rFonts w:ascii="宋体" w:hAnsi="宋体" w:cs="Arial" w:hint="eastAsia"/>
          <w:sz w:val="24"/>
          <w:szCs w:val="24"/>
        </w:rPr>
        <w:t>4月</w:t>
      </w:r>
      <w:r w:rsidR="002D6559" w:rsidRPr="00A96C22">
        <w:rPr>
          <w:rFonts w:ascii="宋体" w:hAnsi="宋体" w:cs="Arial" w:hint="eastAsia"/>
          <w:sz w:val="24"/>
          <w:szCs w:val="24"/>
        </w:rPr>
        <w:t>1</w:t>
      </w:r>
      <w:r w:rsidR="00523B01">
        <w:rPr>
          <w:rFonts w:ascii="宋体" w:hAnsi="宋体" w:cs="Arial"/>
          <w:sz w:val="24"/>
          <w:szCs w:val="24"/>
        </w:rPr>
        <w:t>5</w:t>
      </w:r>
      <w:r w:rsidRPr="00A96C22">
        <w:rPr>
          <w:rFonts w:ascii="宋体" w:hAnsi="宋体" w:cs="Arial" w:hint="eastAsia"/>
          <w:sz w:val="24"/>
          <w:szCs w:val="24"/>
        </w:rPr>
        <w:t>日至</w:t>
      </w:r>
      <w:r w:rsidR="00523B01">
        <w:rPr>
          <w:rFonts w:ascii="宋体" w:hAnsi="宋体" w:cs="Arial" w:hint="eastAsia"/>
          <w:sz w:val="24"/>
          <w:szCs w:val="24"/>
        </w:rPr>
        <w:t>2</w:t>
      </w:r>
      <w:r w:rsidR="00523B01">
        <w:rPr>
          <w:rFonts w:ascii="宋体" w:hAnsi="宋体" w:cs="Arial"/>
          <w:sz w:val="24"/>
          <w:szCs w:val="24"/>
        </w:rPr>
        <w:t>025年</w:t>
      </w:r>
      <w:r w:rsidRPr="00A96C22">
        <w:rPr>
          <w:rFonts w:ascii="宋体" w:hAnsi="宋体" w:cs="Arial" w:hint="eastAsia"/>
          <w:sz w:val="24"/>
          <w:szCs w:val="24"/>
        </w:rPr>
        <w:t>4月</w:t>
      </w:r>
      <w:r w:rsidR="00523B01" w:rsidRPr="00A96C22">
        <w:rPr>
          <w:rFonts w:ascii="宋体" w:hAnsi="宋体" w:cs="Arial" w:hint="eastAsia"/>
          <w:sz w:val="24"/>
          <w:szCs w:val="24"/>
        </w:rPr>
        <w:t>1</w:t>
      </w:r>
      <w:r w:rsidR="00523B01">
        <w:rPr>
          <w:rFonts w:ascii="宋体" w:hAnsi="宋体" w:cs="Arial"/>
          <w:sz w:val="24"/>
          <w:szCs w:val="24"/>
        </w:rPr>
        <w:t>6</w:t>
      </w:r>
      <w:r w:rsidR="000640E5" w:rsidRPr="00A96C22">
        <w:rPr>
          <w:rFonts w:ascii="宋体" w:hAnsi="宋体" w:cs="Arial"/>
          <w:sz w:val="24"/>
          <w:szCs w:val="24"/>
        </w:rPr>
        <w:t>日</w:t>
      </w:r>
      <w:r w:rsidR="00523B01">
        <w:rPr>
          <w:rFonts w:ascii="宋体" w:hAnsi="宋体" w:cs="Arial" w:hint="eastAsia"/>
          <w:sz w:val="24"/>
          <w:szCs w:val="24"/>
        </w:rPr>
        <w:t>止</w:t>
      </w:r>
      <w:r w:rsidR="004340E3">
        <w:rPr>
          <w:rFonts w:ascii="宋体" w:hAnsi="宋体" w:cs="Arial" w:hint="eastAsia"/>
          <w:sz w:val="24"/>
          <w:szCs w:val="24"/>
        </w:rPr>
        <w:t>清算</w:t>
      </w:r>
      <w:r w:rsidR="00523B01">
        <w:rPr>
          <w:rFonts w:ascii="宋体" w:hAnsi="宋体" w:cs="Arial" w:hint="eastAsia"/>
          <w:sz w:val="24"/>
          <w:szCs w:val="24"/>
        </w:rPr>
        <w:t>期间的划款手续费。</w:t>
      </w:r>
    </w:p>
    <w:p w:rsidR="00F0537B" w:rsidRPr="00A96C22" w:rsidRDefault="00F0537B">
      <w:pPr>
        <w:overflowPunct w:val="0"/>
        <w:autoSpaceDE w:val="0"/>
        <w:autoSpaceDN w:val="0"/>
        <w:snapToGrid w:val="0"/>
        <w:spacing w:line="360" w:lineRule="auto"/>
        <w:rPr>
          <w:rFonts w:ascii="宋体" w:hAnsi="宋体" w:cs="Arial"/>
          <w:sz w:val="24"/>
          <w:szCs w:val="24"/>
        </w:rPr>
      </w:pPr>
      <w:r w:rsidRPr="00A96C22">
        <w:rPr>
          <w:rFonts w:ascii="宋体" w:hAnsi="宋体" w:cs="Arial"/>
          <w:sz w:val="24"/>
          <w:szCs w:val="24"/>
        </w:rPr>
        <w:t>4</w:t>
      </w:r>
      <w:r w:rsidRPr="00A96C22">
        <w:rPr>
          <w:rFonts w:ascii="宋体" w:hAnsi="宋体" w:cs="Arial" w:hint="eastAsia"/>
          <w:sz w:val="24"/>
          <w:szCs w:val="24"/>
        </w:rPr>
        <w:t>、</w:t>
      </w:r>
      <w:r w:rsidRPr="00A96C22">
        <w:rPr>
          <w:rFonts w:ascii="宋体" w:hAnsi="宋体" w:cs="Arial"/>
          <w:sz w:val="24"/>
          <w:szCs w:val="24"/>
        </w:rPr>
        <w:t>资产处置及负债清偿后的剩余资产分配情况</w:t>
      </w:r>
    </w:p>
    <w:p w:rsidR="00F0537B" w:rsidRPr="00A96C22" w:rsidRDefault="00F0537B">
      <w:pPr>
        <w:overflowPunct w:val="0"/>
        <w:autoSpaceDE w:val="0"/>
        <w:autoSpaceDN w:val="0"/>
        <w:snapToGrid w:val="0"/>
        <w:spacing w:line="360" w:lineRule="auto"/>
        <w:ind w:left="6480"/>
        <w:rPr>
          <w:rFonts w:ascii="宋体" w:hAnsi="宋体" w:cs="Arial"/>
          <w:b/>
          <w:sz w:val="24"/>
          <w:szCs w:val="24"/>
        </w:rPr>
      </w:pPr>
      <w:r w:rsidRPr="00A96C22">
        <w:rPr>
          <w:rFonts w:ascii="宋体" w:hAnsi="宋体" w:cs="Arial"/>
          <w:sz w:val="24"/>
          <w:szCs w:val="24"/>
        </w:rPr>
        <w:t>单位：人民币元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7"/>
        <w:gridCol w:w="2335"/>
      </w:tblGrid>
      <w:tr w:rsidR="00F0537B" w:rsidRPr="00A96C22">
        <w:tc>
          <w:tcPr>
            <w:tcW w:w="5887" w:type="dxa"/>
          </w:tcPr>
          <w:p w:rsidR="00F0537B" w:rsidRPr="00A96C22" w:rsidRDefault="00F0537B">
            <w:pPr>
              <w:overflowPunct w:val="0"/>
              <w:autoSpaceDE w:val="0"/>
              <w:autoSpaceDN w:val="0"/>
              <w:snapToGrid w:val="0"/>
              <w:spacing w:line="360" w:lineRule="auto"/>
              <w:jc w:val="left"/>
              <w:rPr>
                <w:rFonts w:ascii="宋体" w:hAnsi="宋体" w:cs="Arial"/>
                <w:sz w:val="24"/>
                <w:szCs w:val="24"/>
              </w:rPr>
            </w:pPr>
            <w:r w:rsidRPr="00A96C22">
              <w:rPr>
                <w:rFonts w:ascii="宋体" w:hAnsi="宋体" w:cs="Arial"/>
                <w:sz w:val="24"/>
                <w:szCs w:val="24"/>
              </w:rPr>
              <w:t>项目</w:t>
            </w:r>
          </w:p>
        </w:tc>
        <w:tc>
          <w:tcPr>
            <w:tcW w:w="2335" w:type="dxa"/>
            <w:vAlign w:val="center"/>
          </w:tcPr>
          <w:p w:rsidR="00F0537B" w:rsidRPr="00A96C22" w:rsidRDefault="00F0537B">
            <w:pPr>
              <w:overflowPunct w:val="0"/>
              <w:autoSpaceDE w:val="0"/>
              <w:autoSpaceDN w:val="0"/>
              <w:snapToGrid w:val="0"/>
              <w:spacing w:line="360" w:lineRule="auto"/>
              <w:jc w:val="right"/>
              <w:rPr>
                <w:rFonts w:ascii="宋体" w:hAnsi="宋体" w:cs="Arial"/>
                <w:color w:val="000000"/>
                <w:kern w:val="0"/>
                <w:sz w:val="24"/>
                <w:szCs w:val="24"/>
              </w:rPr>
            </w:pPr>
            <w:r w:rsidRPr="00A96C22">
              <w:rPr>
                <w:rFonts w:ascii="宋体" w:hAnsi="宋体" w:cs="Arial" w:hint="eastAsia"/>
                <w:color w:val="000000"/>
                <w:kern w:val="0"/>
                <w:sz w:val="24"/>
                <w:szCs w:val="24"/>
              </w:rPr>
              <w:t>金额</w:t>
            </w:r>
          </w:p>
        </w:tc>
      </w:tr>
      <w:tr w:rsidR="00F0537B" w:rsidRPr="00A96C22">
        <w:tc>
          <w:tcPr>
            <w:tcW w:w="5887" w:type="dxa"/>
          </w:tcPr>
          <w:p w:rsidR="00F0537B" w:rsidRPr="00A96C22" w:rsidRDefault="00F0537B">
            <w:pPr>
              <w:overflowPunct w:val="0"/>
              <w:autoSpaceDE w:val="0"/>
              <w:autoSpaceDN w:val="0"/>
              <w:snapToGrid w:val="0"/>
              <w:spacing w:line="360" w:lineRule="auto"/>
              <w:rPr>
                <w:rFonts w:ascii="宋体" w:hAnsi="宋体" w:cs="Arial"/>
                <w:sz w:val="24"/>
                <w:szCs w:val="24"/>
              </w:rPr>
            </w:pPr>
            <w:r w:rsidRPr="00A96C22">
              <w:rPr>
                <w:rFonts w:ascii="宋体" w:hAnsi="宋体" w:cs="Arial"/>
                <w:sz w:val="24"/>
                <w:szCs w:val="24"/>
              </w:rPr>
              <w:t>一、最后运作日202</w:t>
            </w:r>
            <w:r w:rsidRPr="00A96C22">
              <w:rPr>
                <w:rFonts w:ascii="宋体" w:hAnsi="宋体" w:cs="Arial" w:hint="eastAsia"/>
                <w:sz w:val="24"/>
                <w:szCs w:val="24"/>
              </w:rPr>
              <w:t>5</w:t>
            </w:r>
            <w:r w:rsidRPr="00A96C22">
              <w:rPr>
                <w:rFonts w:ascii="宋体" w:hAnsi="宋体" w:cs="Arial"/>
                <w:sz w:val="24"/>
                <w:szCs w:val="24"/>
              </w:rPr>
              <w:t>年</w:t>
            </w:r>
            <w:r w:rsidRPr="00A96C22">
              <w:rPr>
                <w:rFonts w:ascii="宋体" w:hAnsi="宋体" w:cs="Arial" w:hint="eastAsia"/>
                <w:sz w:val="24"/>
                <w:szCs w:val="24"/>
              </w:rPr>
              <w:t>4</w:t>
            </w:r>
            <w:r w:rsidRPr="00A96C22">
              <w:rPr>
                <w:rFonts w:ascii="宋体" w:hAnsi="宋体" w:cs="Arial"/>
                <w:sz w:val="24"/>
                <w:szCs w:val="24"/>
              </w:rPr>
              <w:t>月</w:t>
            </w:r>
            <w:r w:rsidRPr="00A96C22">
              <w:rPr>
                <w:rFonts w:ascii="宋体" w:hAnsi="宋体" w:cs="Arial" w:hint="eastAsia"/>
                <w:sz w:val="24"/>
                <w:szCs w:val="24"/>
              </w:rPr>
              <w:t>14</w:t>
            </w:r>
            <w:r w:rsidRPr="00A96C22">
              <w:rPr>
                <w:rFonts w:ascii="宋体" w:hAnsi="宋体" w:cs="Arial"/>
                <w:sz w:val="24"/>
                <w:szCs w:val="24"/>
              </w:rPr>
              <w:t>日基金净资产</w:t>
            </w:r>
          </w:p>
        </w:tc>
        <w:tc>
          <w:tcPr>
            <w:tcW w:w="2335" w:type="dxa"/>
          </w:tcPr>
          <w:p w:rsidR="00F0537B" w:rsidRPr="00A96C22" w:rsidRDefault="00F0537B">
            <w:pPr>
              <w:jc w:val="right"/>
              <w:rPr>
                <w:rFonts w:ascii="宋体" w:hAnsi="宋体" w:cs="Arial"/>
                <w:kern w:val="0"/>
                <w:sz w:val="24"/>
                <w:szCs w:val="24"/>
              </w:rPr>
            </w:pPr>
            <w:r w:rsidRPr="00A96C22">
              <w:rPr>
                <w:rFonts w:ascii="宋体" w:hAnsi="宋体" w:cs="Arial" w:hint="eastAsia"/>
                <w:kern w:val="0"/>
                <w:sz w:val="24"/>
                <w:szCs w:val="24"/>
              </w:rPr>
              <w:t>882,966,314.05</w:t>
            </w:r>
          </w:p>
        </w:tc>
      </w:tr>
      <w:tr w:rsidR="009328D5" w:rsidRPr="00A96C22" w:rsidTr="00A96C22">
        <w:tc>
          <w:tcPr>
            <w:tcW w:w="5887" w:type="dxa"/>
          </w:tcPr>
          <w:p w:rsidR="009328D5" w:rsidRPr="00A96C22" w:rsidRDefault="009328D5" w:rsidP="009328D5">
            <w:pPr>
              <w:overflowPunct w:val="0"/>
              <w:autoSpaceDE w:val="0"/>
              <w:autoSpaceDN w:val="0"/>
              <w:snapToGrid w:val="0"/>
              <w:spacing w:line="360" w:lineRule="auto"/>
              <w:rPr>
                <w:rFonts w:ascii="宋体" w:hAnsi="宋体" w:cs="Arial"/>
                <w:sz w:val="24"/>
                <w:szCs w:val="24"/>
              </w:rPr>
            </w:pPr>
            <w:r w:rsidRPr="00A96C22">
              <w:rPr>
                <w:rFonts w:ascii="宋体" w:hAnsi="宋体" w:cs="Arial"/>
                <w:sz w:val="24"/>
                <w:szCs w:val="24"/>
              </w:rPr>
              <w:t>加：清算期间净收益</w:t>
            </w:r>
          </w:p>
        </w:tc>
        <w:tc>
          <w:tcPr>
            <w:tcW w:w="2335" w:type="dxa"/>
          </w:tcPr>
          <w:p w:rsidR="009328D5" w:rsidRPr="00A96C22" w:rsidRDefault="009328D5" w:rsidP="00A96C22">
            <w:pPr>
              <w:jc w:val="right"/>
              <w:rPr>
                <w:rFonts w:ascii="宋体" w:hAnsi="宋体" w:cs="Arial"/>
                <w:kern w:val="0"/>
                <w:sz w:val="24"/>
                <w:szCs w:val="24"/>
              </w:rPr>
            </w:pPr>
            <w:r w:rsidRPr="00A96C22">
              <w:rPr>
                <w:rFonts w:ascii="宋体" w:hAnsi="宋体" w:cs="Arial"/>
                <w:kern w:val="0"/>
                <w:sz w:val="24"/>
                <w:szCs w:val="24"/>
              </w:rPr>
              <w:t>33,965.84</w:t>
            </w:r>
          </w:p>
        </w:tc>
      </w:tr>
      <w:tr w:rsidR="00F971A8" w:rsidRPr="00A96C22" w:rsidTr="00A96C22">
        <w:tc>
          <w:tcPr>
            <w:tcW w:w="5887" w:type="dxa"/>
          </w:tcPr>
          <w:p w:rsidR="00F971A8" w:rsidRPr="00F971A8" w:rsidRDefault="00F971A8" w:rsidP="001A393F">
            <w:pPr>
              <w:overflowPunct w:val="0"/>
              <w:autoSpaceDE w:val="0"/>
              <w:autoSpaceDN w:val="0"/>
              <w:snapToGrid w:val="0"/>
              <w:spacing w:line="360" w:lineRule="auto"/>
              <w:rPr>
                <w:rFonts w:ascii="宋体" w:hAnsi="宋体" w:cs="Arial"/>
                <w:sz w:val="24"/>
                <w:szCs w:val="24"/>
              </w:rPr>
            </w:pPr>
            <w:r w:rsidRPr="00F971A8">
              <w:rPr>
                <w:rFonts w:ascii="宋体" w:hAnsi="宋体" w:cs="Arial" w:hint="eastAsia"/>
                <w:sz w:val="24"/>
                <w:szCs w:val="24"/>
              </w:rPr>
              <w:t>减：清算期间基金赎回产生的基金净值变动数</w:t>
            </w:r>
            <w:r>
              <w:rPr>
                <w:rFonts w:ascii="宋体" w:hAnsi="宋体" w:cs="Arial" w:hint="eastAsia"/>
                <w:sz w:val="24"/>
                <w:szCs w:val="24"/>
              </w:rPr>
              <w:t>（注</w:t>
            </w:r>
            <w:r w:rsidR="001A393F">
              <w:rPr>
                <w:rFonts w:ascii="宋体" w:hAnsi="宋体" w:cs="Arial" w:hint="eastAsia"/>
                <w:sz w:val="24"/>
                <w:szCs w:val="24"/>
              </w:rPr>
              <w:t>1</w:t>
            </w:r>
            <w:r>
              <w:rPr>
                <w:rFonts w:ascii="宋体" w:hAnsi="宋体" w:cs="Arial" w:hint="eastAsia"/>
                <w:sz w:val="24"/>
                <w:szCs w:val="24"/>
              </w:rPr>
              <w:t>）</w:t>
            </w:r>
          </w:p>
        </w:tc>
        <w:tc>
          <w:tcPr>
            <w:tcW w:w="2335" w:type="dxa"/>
          </w:tcPr>
          <w:p w:rsidR="00F971A8" w:rsidRPr="00F971A8" w:rsidRDefault="00F971A8" w:rsidP="00A96C22">
            <w:pPr>
              <w:jc w:val="right"/>
              <w:rPr>
                <w:rFonts w:ascii="宋体" w:hAnsi="宋体" w:cs="Arial"/>
                <w:kern w:val="0"/>
                <w:sz w:val="24"/>
                <w:szCs w:val="24"/>
              </w:rPr>
            </w:pPr>
            <w:r w:rsidRPr="00A96C22">
              <w:rPr>
                <w:rFonts w:ascii="宋体" w:hAnsi="宋体" w:cs="Arial"/>
                <w:kern w:val="0"/>
                <w:sz w:val="24"/>
                <w:szCs w:val="24"/>
              </w:rPr>
              <w:t>883,000,279.89</w:t>
            </w:r>
          </w:p>
        </w:tc>
      </w:tr>
      <w:tr w:rsidR="009328D5" w:rsidRPr="00A96C22" w:rsidTr="00A96C22">
        <w:trPr>
          <w:trHeight w:val="101"/>
        </w:trPr>
        <w:tc>
          <w:tcPr>
            <w:tcW w:w="5887" w:type="dxa"/>
          </w:tcPr>
          <w:p w:rsidR="009328D5" w:rsidRPr="00A96C22" w:rsidRDefault="009328D5" w:rsidP="009328D5">
            <w:pPr>
              <w:overflowPunct w:val="0"/>
              <w:autoSpaceDE w:val="0"/>
              <w:autoSpaceDN w:val="0"/>
              <w:snapToGrid w:val="0"/>
              <w:spacing w:line="360" w:lineRule="auto"/>
              <w:rPr>
                <w:rFonts w:ascii="宋体" w:hAnsi="宋体" w:cs="Arial"/>
                <w:sz w:val="24"/>
                <w:szCs w:val="24"/>
              </w:rPr>
            </w:pPr>
            <w:r w:rsidRPr="00A96C22">
              <w:rPr>
                <w:rFonts w:ascii="宋体" w:hAnsi="宋体" w:cs="Arial"/>
                <w:sz w:val="24"/>
                <w:szCs w:val="24"/>
              </w:rPr>
              <w:t>二、20</w:t>
            </w:r>
            <w:r w:rsidRPr="00A96C22">
              <w:rPr>
                <w:rFonts w:ascii="宋体" w:hAnsi="宋体" w:cs="Arial" w:hint="eastAsia"/>
                <w:sz w:val="24"/>
                <w:szCs w:val="24"/>
              </w:rPr>
              <w:t>25</w:t>
            </w:r>
            <w:r w:rsidRPr="00A96C22">
              <w:rPr>
                <w:rFonts w:ascii="宋体" w:hAnsi="宋体" w:cs="Arial"/>
                <w:sz w:val="24"/>
                <w:szCs w:val="24"/>
              </w:rPr>
              <w:t>年</w:t>
            </w:r>
            <w:r w:rsidRPr="00A96C22">
              <w:rPr>
                <w:rFonts w:ascii="宋体" w:hAnsi="宋体" w:cs="Arial" w:hint="eastAsia"/>
                <w:sz w:val="24"/>
                <w:szCs w:val="24"/>
              </w:rPr>
              <w:t>4</w:t>
            </w:r>
            <w:r w:rsidRPr="00A96C22">
              <w:rPr>
                <w:rFonts w:ascii="宋体" w:hAnsi="宋体" w:cs="Arial"/>
                <w:sz w:val="24"/>
                <w:szCs w:val="24"/>
              </w:rPr>
              <w:t>月</w:t>
            </w:r>
            <w:r w:rsidRPr="00A96C22">
              <w:rPr>
                <w:rFonts w:ascii="宋体" w:hAnsi="宋体" w:cs="Arial" w:hint="eastAsia"/>
                <w:sz w:val="24"/>
                <w:szCs w:val="24"/>
              </w:rPr>
              <w:t>16</w:t>
            </w:r>
            <w:r w:rsidRPr="00A96C22">
              <w:rPr>
                <w:rFonts w:ascii="宋体" w:hAnsi="宋体" w:cs="Arial"/>
                <w:sz w:val="24"/>
                <w:szCs w:val="24"/>
              </w:rPr>
              <w:t>日基金净资产</w:t>
            </w:r>
          </w:p>
        </w:tc>
        <w:tc>
          <w:tcPr>
            <w:tcW w:w="2335" w:type="dxa"/>
          </w:tcPr>
          <w:p w:rsidR="009328D5" w:rsidRPr="00A96C22" w:rsidRDefault="00F971A8" w:rsidP="00A96C22">
            <w:pPr>
              <w:jc w:val="right"/>
              <w:rPr>
                <w:rFonts w:ascii="宋体" w:hAnsi="宋体" w:cs="Arial" w:hint="eastAsia"/>
                <w:kern w:val="0"/>
                <w:sz w:val="24"/>
                <w:szCs w:val="24"/>
              </w:rPr>
            </w:pPr>
            <w:r>
              <w:rPr>
                <w:rFonts w:ascii="宋体" w:hAnsi="宋体" w:cs="Arial"/>
                <w:kern w:val="0"/>
                <w:sz w:val="24"/>
                <w:szCs w:val="24"/>
              </w:rPr>
              <w:t>0</w:t>
            </w:r>
            <w:r w:rsidR="003B538A">
              <w:rPr>
                <w:rFonts w:ascii="宋体" w:hAnsi="宋体" w:cs="Arial"/>
                <w:kern w:val="0"/>
                <w:sz w:val="24"/>
                <w:szCs w:val="24"/>
              </w:rPr>
              <w:t>.00</w:t>
            </w:r>
          </w:p>
        </w:tc>
      </w:tr>
    </w:tbl>
    <w:p w:rsidR="00F0537B" w:rsidRPr="00A96C22" w:rsidRDefault="00F971A8">
      <w:pPr>
        <w:overflowPunct w:val="0"/>
        <w:autoSpaceDE w:val="0"/>
        <w:autoSpaceDN w:val="0"/>
        <w:snapToGrid w:val="0"/>
        <w:spacing w:line="360" w:lineRule="auto"/>
        <w:ind w:firstLineChars="200" w:firstLine="480"/>
        <w:rPr>
          <w:rFonts w:ascii="宋体" w:hAnsi="宋体" w:cs="Arial"/>
          <w:sz w:val="24"/>
          <w:szCs w:val="24"/>
        </w:rPr>
      </w:pPr>
      <w:bookmarkStart w:id="4" w:name="_Hlk16256690"/>
      <w:r>
        <w:rPr>
          <w:rFonts w:ascii="宋体" w:hAnsi="宋体" w:cs="Arial"/>
          <w:sz w:val="24"/>
          <w:szCs w:val="24"/>
        </w:rPr>
        <w:t>注</w:t>
      </w:r>
      <w:r w:rsidR="001A393F">
        <w:rPr>
          <w:rFonts w:ascii="宋体" w:hAnsi="宋体" w:cs="Arial" w:hint="eastAsia"/>
          <w:sz w:val="24"/>
          <w:szCs w:val="24"/>
        </w:rPr>
        <w:t>1</w:t>
      </w:r>
      <w:r>
        <w:rPr>
          <w:rFonts w:ascii="宋体" w:hAnsi="宋体" w:cs="Arial" w:hint="eastAsia"/>
          <w:sz w:val="24"/>
          <w:szCs w:val="24"/>
        </w:rPr>
        <w:t>：</w:t>
      </w:r>
      <w:r w:rsidRPr="00D052B8">
        <w:rPr>
          <w:rFonts w:ascii="宋体" w:hAnsi="宋体" w:cs="Arial" w:hint="eastAsia"/>
          <w:kern w:val="0"/>
          <w:sz w:val="24"/>
          <w:szCs w:val="24"/>
        </w:rPr>
        <w:t>清算期间基金赎回产生的基金净值变动数为</w:t>
      </w:r>
      <w:r w:rsidRPr="00D052B8">
        <w:rPr>
          <w:rFonts w:ascii="宋体" w:hAnsi="宋体" w:cs="Arial"/>
          <w:kern w:val="0"/>
          <w:sz w:val="24"/>
          <w:szCs w:val="24"/>
        </w:rPr>
        <w:t>2025</w:t>
      </w:r>
      <w:r w:rsidRPr="00D052B8">
        <w:rPr>
          <w:rFonts w:ascii="宋体" w:hAnsi="宋体" w:cs="Arial" w:hint="eastAsia"/>
          <w:kern w:val="0"/>
          <w:sz w:val="24"/>
          <w:szCs w:val="24"/>
        </w:rPr>
        <w:t>年</w:t>
      </w:r>
      <w:r w:rsidRPr="00D052B8">
        <w:rPr>
          <w:rFonts w:ascii="宋体" w:hAnsi="宋体" w:cs="Arial"/>
          <w:kern w:val="0"/>
          <w:sz w:val="24"/>
          <w:szCs w:val="24"/>
        </w:rPr>
        <w:t>4</w:t>
      </w:r>
      <w:r w:rsidRPr="00D052B8">
        <w:rPr>
          <w:rFonts w:ascii="宋体" w:hAnsi="宋体" w:cs="Arial" w:hint="eastAsia"/>
          <w:kern w:val="0"/>
          <w:sz w:val="24"/>
          <w:szCs w:val="24"/>
        </w:rPr>
        <w:t>月</w:t>
      </w:r>
      <w:r w:rsidRPr="00D052B8">
        <w:rPr>
          <w:rFonts w:ascii="宋体" w:hAnsi="宋体" w:cs="Arial"/>
          <w:kern w:val="0"/>
          <w:sz w:val="24"/>
          <w:szCs w:val="24"/>
        </w:rPr>
        <w:t>15</w:t>
      </w:r>
      <w:r w:rsidRPr="00D052B8">
        <w:rPr>
          <w:rFonts w:ascii="宋体" w:hAnsi="宋体" w:cs="Arial" w:hint="eastAsia"/>
          <w:kern w:val="0"/>
          <w:sz w:val="24"/>
          <w:szCs w:val="24"/>
        </w:rPr>
        <w:t>日赎回确认产生的基金净值变动数。</w:t>
      </w:r>
    </w:p>
    <w:p w:rsidR="00F0537B" w:rsidRPr="0078460F" w:rsidRDefault="00F0537B" w:rsidP="0078460F">
      <w:pPr>
        <w:overflowPunct w:val="0"/>
        <w:autoSpaceDE w:val="0"/>
        <w:autoSpaceDN w:val="0"/>
        <w:snapToGrid w:val="0"/>
        <w:spacing w:line="360" w:lineRule="auto"/>
        <w:ind w:firstLineChars="200" w:firstLine="480"/>
        <w:rPr>
          <w:rFonts w:ascii="宋体" w:hAnsi="宋体" w:cs="Arial"/>
          <w:sz w:val="24"/>
          <w:szCs w:val="24"/>
        </w:rPr>
      </w:pPr>
      <w:r w:rsidRPr="00A96C22">
        <w:rPr>
          <w:rFonts w:ascii="宋体" w:hAnsi="宋体" w:cs="Arial" w:hint="eastAsia"/>
          <w:sz w:val="24"/>
          <w:szCs w:val="24"/>
        </w:rPr>
        <w:t>根据本基金的基金合同约定，依据基金财产清算的分配方案，将基金财产清算后的全部剩余资产扣除基金财产清算费用、交纳所欠税</w:t>
      </w:r>
      <w:r w:rsidR="0071446E">
        <w:rPr>
          <w:rFonts w:ascii="宋体" w:hAnsi="宋体" w:cs="Arial" w:hint="eastAsia"/>
          <w:sz w:val="24"/>
          <w:szCs w:val="24"/>
        </w:rPr>
        <w:t>款并清偿基金债务后，按基金份额持有人持有的基金份额比例进行分配。</w:t>
      </w:r>
      <w:bookmarkEnd w:id="4"/>
      <w:r w:rsidRPr="0078460F">
        <w:rPr>
          <w:rFonts w:ascii="宋体" w:hAnsi="宋体" w:cs="Arial" w:hint="eastAsia"/>
          <w:sz w:val="24"/>
          <w:szCs w:val="24"/>
        </w:rPr>
        <w:t>其中剩余未变现的资产为人民币865,692.88元，包括</w:t>
      </w:r>
      <w:r w:rsidR="00EB536E" w:rsidRPr="0078460F">
        <w:rPr>
          <w:rFonts w:ascii="宋体" w:hAnsi="宋体" w:cs="Arial" w:hint="eastAsia"/>
          <w:sz w:val="24"/>
          <w:szCs w:val="24"/>
        </w:rPr>
        <w:t>应</w:t>
      </w:r>
      <w:r w:rsidR="00EB536E">
        <w:rPr>
          <w:rFonts w:ascii="宋体" w:hAnsi="宋体" w:cs="Arial" w:hint="eastAsia"/>
          <w:sz w:val="24"/>
          <w:szCs w:val="24"/>
        </w:rPr>
        <w:t>计</w:t>
      </w:r>
      <w:r w:rsidRPr="0078460F">
        <w:rPr>
          <w:rFonts w:ascii="宋体" w:hAnsi="宋体" w:cs="Arial" w:hint="eastAsia"/>
          <w:sz w:val="24"/>
          <w:szCs w:val="24"/>
        </w:rPr>
        <w:t>银行存款利息人民币54,794.94元、</w:t>
      </w:r>
      <w:r w:rsidR="001C32E4">
        <w:rPr>
          <w:rFonts w:ascii="宋体" w:hAnsi="宋体" w:cs="Arial" w:hint="eastAsia"/>
          <w:sz w:val="24"/>
          <w:szCs w:val="24"/>
        </w:rPr>
        <w:t>结算</w:t>
      </w:r>
      <w:r w:rsidRPr="0078460F">
        <w:rPr>
          <w:rFonts w:ascii="宋体" w:hAnsi="宋体" w:cs="Arial" w:hint="eastAsia"/>
          <w:sz w:val="24"/>
          <w:szCs w:val="24"/>
        </w:rPr>
        <w:t>备付金810,373.01元、应</w:t>
      </w:r>
      <w:r w:rsidR="00EB536E">
        <w:rPr>
          <w:rFonts w:ascii="宋体" w:hAnsi="宋体" w:cs="Arial" w:hint="eastAsia"/>
          <w:sz w:val="24"/>
          <w:szCs w:val="24"/>
        </w:rPr>
        <w:t>计</w:t>
      </w:r>
      <w:r w:rsidR="001C32E4">
        <w:rPr>
          <w:rFonts w:ascii="宋体" w:hAnsi="宋体" w:cs="Arial" w:hint="eastAsia"/>
          <w:sz w:val="24"/>
          <w:szCs w:val="24"/>
        </w:rPr>
        <w:t>结算</w:t>
      </w:r>
      <w:r w:rsidRPr="0078460F">
        <w:rPr>
          <w:rFonts w:ascii="宋体" w:hAnsi="宋体" w:cs="Arial" w:hint="eastAsia"/>
          <w:sz w:val="24"/>
          <w:szCs w:val="24"/>
        </w:rPr>
        <w:t>备付金利息人民币524.93元</w:t>
      </w:r>
      <w:r w:rsidR="00EB536E">
        <w:rPr>
          <w:rFonts w:ascii="宋体" w:hAnsi="宋体" w:cs="Arial" w:hint="eastAsia"/>
          <w:sz w:val="24"/>
          <w:szCs w:val="24"/>
        </w:rPr>
        <w:t>。</w:t>
      </w:r>
      <w:r w:rsidR="00EB536E" w:rsidRPr="00CB3EFD">
        <w:rPr>
          <w:rFonts w:ascii="宋体" w:hAnsi="宋体" w:cs="Arial" w:hint="eastAsia"/>
          <w:sz w:val="24"/>
          <w:szCs w:val="24"/>
        </w:rPr>
        <w:t>为保护基金份额持有人利益，加快清盘速度，</w:t>
      </w:r>
      <w:r w:rsidR="001C32E4">
        <w:rPr>
          <w:rFonts w:ascii="宋体" w:hAnsi="宋体" w:cs="Arial"/>
          <w:sz w:val="24"/>
          <w:szCs w:val="24"/>
        </w:rPr>
        <w:t>上述款项</w:t>
      </w:r>
      <w:r w:rsidRPr="0078460F">
        <w:rPr>
          <w:rFonts w:ascii="宋体" w:hAnsi="宋体" w:cs="Arial" w:hint="eastAsia"/>
          <w:sz w:val="24"/>
          <w:szCs w:val="24"/>
        </w:rPr>
        <w:t>将由基金管理人信达澳亚基金管理有限公司以自有资金在支付清算款之日进行垫付。</w:t>
      </w:r>
    </w:p>
    <w:p w:rsidR="002933AF" w:rsidRPr="00A96C22" w:rsidRDefault="002933AF" w:rsidP="002933AF">
      <w:pPr>
        <w:pStyle w:val="Default"/>
        <w:spacing w:line="360" w:lineRule="auto"/>
        <w:ind w:firstLineChars="200" w:firstLine="480"/>
        <w:rPr>
          <w:rFonts w:ascii="新宋体" w:eastAsia="新宋体" w:hAnsi="新宋体"/>
        </w:rPr>
      </w:pPr>
      <w:r w:rsidRPr="00A96C22">
        <w:rPr>
          <w:rFonts w:ascii="新宋体" w:eastAsia="新宋体" w:hAnsi="新宋体" w:hint="eastAsia"/>
        </w:rPr>
        <w:t>自202</w:t>
      </w:r>
      <w:r w:rsidRPr="00A96C22">
        <w:rPr>
          <w:rFonts w:ascii="新宋体" w:eastAsia="新宋体" w:hAnsi="新宋体"/>
        </w:rPr>
        <w:t>5</w:t>
      </w:r>
      <w:r w:rsidRPr="00A96C22">
        <w:rPr>
          <w:rFonts w:ascii="新宋体" w:eastAsia="新宋体" w:hAnsi="新宋体" w:hint="eastAsia"/>
        </w:rPr>
        <w:t>年</w:t>
      </w:r>
      <w:r w:rsidRPr="00A96C22">
        <w:rPr>
          <w:rFonts w:ascii="新宋体" w:eastAsia="新宋体" w:hAnsi="新宋体"/>
        </w:rPr>
        <w:t>4</w:t>
      </w:r>
      <w:r w:rsidRPr="00A96C22">
        <w:rPr>
          <w:rFonts w:ascii="新宋体" w:eastAsia="新宋体" w:hAnsi="新宋体" w:hint="eastAsia"/>
        </w:rPr>
        <w:t>月</w:t>
      </w:r>
      <w:r w:rsidRPr="00A96C22">
        <w:rPr>
          <w:rFonts w:ascii="新宋体" w:eastAsia="新宋体" w:hAnsi="新宋体"/>
        </w:rPr>
        <w:t>16</w:t>
      </w:r>
      <w:r w:rsidRPr="00A96C22">
        <w:rPr>
          <w:rFonts w:ascii="新宋体" w:eastAsia="新宋体" w:hAnsi="新宋体" w:hint="eastAsia"/>
        </w:rPr>
        <w:t>日至清算款划出日前一日的归属于持有人的银行存款孳生的利息归份额持有人所有。基金管理人信达澳亚基金管理有限公司垫付的银行存款自资金到账日起至托管户销户为止孳生的利息归基金管理人所有，在相关账户销户后向基金管理人支付垫付资金及其孳生的利息。</w:t>
      </w:r>
    </w:p>
    <w:p w:rsidR="001C32E4" w:rsidRPr="00A96C22" w:rsidRDefault="001C32E4">
      <w:pPr>
        <w:spacing w:line="360" w:lineRule="auto"/>
        <w:ind w:firstLineChars="200" w:firstLine="480"/>
        <w:rPr>
          <w:rFonts w:ascii="新宋体" w:eastAsia="新宋体" w:hAnsi="新宋体" w:cs="宋体" w:hint="eastAsia"/>
          <w:color w:val="000000"/>
          <w:kern w:val="0"/>
          <w:sz w:val="24"/>
          <w:szCs w:val="24"/>
        </w:rPr>
      </w:pPr>
    </w:p>
    <w:p w:rsidR="00F0537B" w:rsidRPr="00A96C22" w:rsidRDefault="00F0537B">
      <w:pPr>
        <w:overflowPunct w:val="0"/>
        <w:autoSpaceDE w:val="0"/>
        <w:autoSpaceDN w:val="0"/>
        <w:snapToGrid w:val="0"/>
        <w:spacing w:line="360" w:lineRule="auto"/>
        <w:ind w:firstLineChars="200" w:firstLine="480"/>
        <w:rPr>
          <w:rFonts w:ascii="宋体" w:hAnsi="宋体" w:cs="Arial"/>
          <w:sz w:val="24"/>
          <w:szCs w:val="24"/>
        </w:rPr>
      </w:pPr>
      <w:r w:rsidRPr="00A96C22">
        <w:rPr>
          <w:rFonts w:ascii="宋体" w:hAnsi="宋体" w:cs="Arial" w:hint="eastAsia"/>
          <w:sz w:val="24"/>
          <w:szCs w:val="24"/>
        </w:rPr>
        <w:t>5、基金财产清算报告的告知安排</w:t>
      </w:r>
    </w:p>
    <w:p w:rsidR="00F0537B" w:rsidRPr="00A96C22" w:rsidRDefault="00F0537B">
      <w:pPr>
        <w:overflowPunct w:val="0"/>
        <w:autoSpaceDE w:val="0"/>
        <w:autoSpaceDN w:val="0"/>
        <w:snapToGrid w:val="0"/>
        <w:spacing w:line="360" w:lineRule="auto"/>
        <w:ind w:firstLineChars="200" w:firstLine="480"/>
        <w:rPr>
          <w:rFonts w:ascii="宋体" w:hAnsi="宋体" w:cs="Arial"/>
          <w:sz w:val="24"/>
          <w:szCs w:val="24"/>
        </w:rPr>
      </w:pPr>
      <w:r w:rsidRPr="00A96C22">
        <w:rPr>
          <w:rFonts w:ascii="宋体" w:hAnsi="宋体" w:cs="Arial" w:hint="eastAsia"/>
          <w:sz w:val="24"/>
          <w:szCs w:val="24"/>
        </w:rPr>
        <w:t>本清算报告已经基金托管人复核，在经会计师事务所审计、律师事务所出具法律意见书后，报中国证监会备案后向基金份额持有人公告。</w:t>
      </w:r>
    </w:p>
    <w:p w:rsidR="00F0537B" w:rsidRPr="00A96C22" w:rsidRDefault="00F0537B">
      <w:pPr>
        <w:overflowPunct w:val="0"/>
        <w:autoSpaceDE w:val="0"/>
        <w:autoSpaceDN w:val="0"/>
        <w:snapToGrid w:val="0"/>
        <w:spacing w:line="360" w:lineRule="auto"/>
        <w:ind w:firstLineChars="200" w:firstLine="480"/>
        <w:rPr>
          <w:rFonts w:ascii="宋体" w:hAnsi="宋体" w:cs="Arial" w:hint="eastAsia"/>
          <w:sz w:val="24"/>
          <w:szCs w:val="24"/>
        </w:rPr>
      </w:pPr>
    </w:p>
    <w:p w:rsidR="00F0537B" w:rsidRPr="00A96C22" w:rsidRDefault="00F0537B" w:rsidP="002D6559">
      <w:pPr>
        <w:spacing w:line="360" w:lineRule="auto"/>
        <w:ind w:firstLineChars="200" w:firstLine="482"/>
        <w:jc w:val="center"/>
        <w:outlineLvl w:val="0"/>
        <w:rPr>
          <w:rFonts w:ascii="新宋体" w:eastAsia="新宋体" w:hAnsi="新宋体"/>
          <w:b/>
          <w:sz w:val="24"/>
          <w:szCs w:val="24"/>
        </w:rPr>
      </w:pPr>
      <w:r w:rsidRPr="00A96C22">
        <w:rPr>
          <w:rFonts w:ascii="新宋体" w:eastAsia="新宋体" w:hAnsi="新宋体" w:hint="eastAsia"/>
          <w:b/>
          <w:sz w:val="24"/>
          <w:szCs w:val="24"/>
        </w:rPr>
        <w:t>六、备查文件</w:t>
      </w:r>
    </w:p>
    <w:p w:rsidR="00F0537B" w:rsidRPr="00A96C22" w:rsidRDefault="00F0537B">
      <w:pPr>
        <w:autoSpaceDE w:val="0"/>
        <w:autoSpaceDN w:val="0"/>
        <w:adjustRightInd w:val="0"/>
        <w:spacing w:line="360" w:lineRule="auto"/>
        <w:ind w:firstLineChars="200" w:firstLine="480"/>
        <w:jc w:val="left"/>
        <w:rPr>
          <w:rFonts w:ascii="新宋体" w:eastAsia="新宋体" w:hAnsi="新宋体" w:cs="宋体"/>
          <w:color w:val="000000"/>
          <w:kern w:val="0"/>
          <w:sz w:val="24"/>
          <w:szCs w:val="24"/>
        </w:rPr>
      </w:pPr>
      <w:r w:rsidRPr="00A96C22">
        <w:rPr>
          <w:rFonts w:ascii="新宋体" w:eastAsia="新宋体" w:hAnsi="新宋体" w:cs="宋体"/>
          <w:color w:val="000000"/>
          <w:kern w:val="0"/>
          <w:sz w:val="24"/>
          <w:szCs w:val="24"/>
        </w:rPr>
        <w:t>1</w:t>
      </w:r>
      <w:r w:rsidRPr="00A96C22">
        <w:rPr>
          <w:rFonts w:ascii="新宋体" w:eastAsia="新宋体" w:hAnsi="新宋体" w:cs="宋体" w:hint="eastAsia"/>
          <w:color w:val="000000"/>
          <w:kern w:val="0"/>
          <w:sz w:val="24"/>
          <w:szCs w:val="24"/>
        </w:rPr>
        <w:t>、备查文件目录</w:t>
      </w:r>
    </w:p>
    <w:p w:rsidR="00F0537B" w:rsidRPr="00A96C22" w:rsidRDefault="00F0537B">
      <w:pPr>
        <w:autoSpaceDE w:val="0"/>
        <w:autoSpaceDN w:val="0"/>
        <w:adjustRightInd w:val="0"/>
        <w:spacing w:line="360" w:lineRule="auto"/>
        <w:ind w:firstLineChars="100" w:firstLine="240"/>
        <w:jc w:val="left"/>
        <w:rPr>
          <w:rFonts w:ascii="新宋体" w:eastAsia="新宋体" w:hAnsi="新宋体" w:cs="宋体"/>
          <w:color w:val="000000"/>
          <w:kern w:val="0"/>
          <w:sz w:val="24"/>
          <w:szCs w:val="24"/>
        </w:rPr>
      </w:pPr>
      <w:r w:rsidRPr="00A96C22">
        <w:rPr>
          <w:rFonts w:ascii="新宋体" w:eastAsia="新宋体" w:hAnsi="新宋体" w:cs="宋体" w:hint="eastAsia"/>
          <w:color w:val="000000"/>
          <w:kern w:val="0"/>
          <w:sz w:val="24"/>
          <w:szCs w:val="24"/>
        </w:rPr>
        <w:t>（</w:t>
      </w:r>
      <w:r w:rsidRPr="00A96C22">
        <w:rPr>
          <w:rFonts w:ascii="新宋体" w:eastAsia="新宋体" w:hAnsi="新宋体" w:cs="宋体"/>
          <w:color w:val="000000"/>
          <w:kern w:val="0"/>
          <w:sz w:val="24"/>
          <w:szCs w:val="24"/>
        </w:rPr>
        <w:t>1</w:t>
      </w:r>
      <w:r w:rsidRPr="00A96C22">
        <w:rPr>
          <w:rFonts w:ascii="新宋体" w:eastAsia="新宋体" w:hAnsi="新宋体" w:cs="宋体" w:hint="eastAsia"/>
          <w:color w:val="000000"/>
          <w:kern w:val="0"/>
          <w:sz w:val="24"/>
          <w:szCs w:val="24"/>
        </w:rPr>
        <w:t>）《信澳汇鑫两年封闭式债券型证券投资基金清算审计报告》</w:t>
      </w:r>
    </w:p>
    <w:p w:rsidR="00F0537B" w:rsidRPr="00A96C22" w:rsidRDefault="00F0537B">
      <w:pPr>
        <w:autoSpaceDE w:val="0"/>
        <w:autoSpaceDN w:val="0"/>
        <w:adjustRightInd w:val="0"/>
        <w:spacing w:line="360" w:lineRule="auto"/>
        <w:ind w:firstLineChars="100" w:firstLine="240"/>
        <w:jc w:val="left"/>
        <w:rPr>
          <w:rFonts w:ascii="新宋体" w:eastAsia="新宋体" w:hAnsi="新宋体" w:cs="宋体"/>
          <w:color w:val="000000"/>
          <w:kern w:val="0"/>
          <w:sz w:val="24"/>
          <w:szCs w:val="24"/>
        </w:rPr>
      </w:pPr>
      <w:r w:rsidRPr="00A96C22">
        <w:rPr>
          <w:rFonts w:ascii="新宋体" w:eastAsia="新宋体" w:hAnsi="新宋体" w:cs="宋体" w:hint="eastAsia"/>
          <w:color w:val="000000"/>
          <w:kern w:val="0"/>
          <w:sz w:val="24"/>
          <w:szCs w:val="24"/>
        </w:rPr>
        <w:t>（</w:t>
      </w:r>
      <w:r w:rsidRPr="00A96C22">
        <w:rPr>
          <w:rFonts w:ascii="新宋体" w:eastAsia="新宋体" w:hAnsi="新宋体" w:cs="宋体"/>
          <w:color w:val="000000"/>
          <w:kern w:val="0"/>
          <w:sz w:val="24"/>
          <w:szCs w:val="24"/>
        </w:rPr>
        <w:t>2</w:t>
      </w:r>
      <w:r w:rsidRPr="00A96C22">
        <w:rPr>
          <w:rFonts w:ascii="新宋体" w:eastAsia="新宋体" w:hAnsi="新宋体" w:cs="宋体" w:hint="eastAsia"/>
          <w:color w:val="000000"/>
          <w:kern w:val="0"/>
          <w:sz w:val="24"/>
          <w:szCs w:val="24"/>
        </w:rPr>
        <w:t>）《</w:t>
      </w:r>
      <w:bookmarkStart w:id="5" w:name="_Hlk89263383"/>
      <w:r w:rsidRPr="00A96C22">
        <w:rPr>
          <w:rFonts w:ascii="新宋体" w:eastAsia="新宋体" w:hAnsi="新宋体" w:cs="宋体" w:hint="eastAsia"/>
          <w:color w:val="000000"/>
          <w:kern w:val="0"/>
          <w:sz w:val="24"/>
          <w:szCs w:val="24"/>
        </w:rPr>
        <w:t>关于信澳汇鑫两年封闭式债券型证券投资基金清算事宜之法律意见</w:t>
      </w:r>
      <w:bookmarkEnd w:id="5"/>
      <w:r w:rsidRPr="00A96C22">
        <w:rPr>
          <w:rFonts w:ascii="新宋体" w:eastAsia="新宋体" w:hAnsi="新宋体" w:cs="宋体" w:hint="eastAsia"/>
          <w:color w:val="000000"/>
          <w:kern w:val="0"/>
          <w:sz w:val="24"/>
          <w:szCs w:val="24"/>
        </w:rPr>
        <w:t>》</w:t>
      </w:r>
    </w:p>
    <w:p w:rsidR="00F0537B" w:rsidRPr="00A96C22" w:rsidRDefault="00F0537B">
      <w:pPr>
        <w:autoSpaceDE w:val="0"/>
        <w:autoSpaceDN w:val="0"/>
        <w:adjustRightInd w:val="0"/>
        <w:spacing w:line="360" w:lineRule="auto"/>
        <w:ind w:firstLineChars="200" w:firstLine="480"/>
        <w:jc w:val="left"/>
        <w:rPr>
          <w:rFonts w:ascii="新宋体" w:eastAsia="新宋体" w:hAnsi="新宋体" w:cs="宋体"/>
          <w:color w:val="000000"/>
          <w:kern w:val="0"/>
          <w:sz w:val="24"/>
          <w:szCs w:val="24"/>
        </w:rPr>
      </w:pPr>
      <w:r w:rsidRPr="00A96C22">
        <w:rPr>
          <w:rFonts w:ascii="新宋体" w:eastAsia="新宋体" w:hAnsi="新宋体" w:cs="宋体"/>
          <w:color w:val="000000"/>
          <w:kern w:val="0"/>
          <w:sz w:val="24"/>
          <w:szCs w:val="24"/>
        </w:rPr>
        <w:t>2</w:t>
      </w:r>
      <w:r w:rsidRPr="00A96C22">
        <w:rPr>
          <w:rFonts w:ascii="新宋体" w:eastAsia="新宋体" w:hAnsi="新宋体" w:cs="宋体" w:hint="eastAsia"/>
          <w:color w:val="000000"/>
          <w:kern w:val="0"/>
          <w:sz w:val="24"/>
          <w:szCs w:val="24"/>
        </w:rPr>
        <w:t>、存放地点</w:t>
      </w:r>
    </w:p>
    <w:p w:rsidR="00F0537B" w:rsidRPr="00A96C22" w:rsidRDefault="00F0537B">
      <w:pPr>
        <w:autoSpaceDE w:val="0"/>
        <w:autoSpaceDN w:val="0"/>
        <w:adjustRightInd w:val="0"/>
        <w:spacing w:line="360" w:lineRule="auto"/>
        <w:ind w:firstLineChars="200" w:firstLine="480"/>
        <w:jc w:val="left"/>
        <w:rPr>
          <w:rFonts w:ascii="新宋体" w:eastAsia="新宋体" w:hAnsi="新宋体" w:cs="宋体"/>
          <w:color w:val="000000"/>
          <w:kern w:val="0"/>
          <w:sz w:val="24"/>
          <w:szCs w:val="24"/>
        </w:rPr>
      </w:pPr>
      <w:r w:rsidRPr="00A96C22">
        <w:rPr>
          <w:rFonts w:ascii="新宋体" w:eastAsia="新宋体" w:hAnsi="新宋体" w:cs="宋体" w:hint="eastAsia"/>
          <w:color w:val="000000"/>
          <w:kern w:val="0"/>
          <w:sz w:val="24"/>
          <w:szCs w:val="24"/>
        </w:rPr>
        <w:t>基金管理人的办公场所。</w:t>
      </w:r>
    </w:p>
    <w:p w:rsidR="00F0537B" w:rsidRPr="00A96C22" w:rsidRDefault="00F0537B">
      <w:pPr>
        <w:autoSpaceDE w:val="0"/>
        <w:autoSpaceDN w:val="0"/>
        <w:adjustRightInd w:val="0"/>
        <w:spacing w:line="360" w:lineRule="auto"/>
        <w:ind w:firstLineChars="200" w:firstLine="480"/>
        <w:jc w:val="left"/>
        <w:rPr>
          <w:rFonts w:ascii="新宋体" w:eastAsia="新宋体" w:hAnsi="新宋体" w:cs="宋体"/>
          <w:color w:val="000000"/>
          <w:kern w:val="0"/>
          <w:sz w:val="24"/>
          <w:szCs w:val="24"/>
        </w:rPr>
      </w:pPr>
      <w:r w:rsidRPr="00A96C22">
        <w:rPr>
          <w:rFonts w:ascii="新宋体" w:eastAsia="新宋体" w:hAnsi="新宋体" w:cs="宋体"/>
          <w:color w:val="000000"/>
          <w:kern w:val="0"/>
          <w:sz w:val="24"/>
          <w:szCs w:val="24"/>
        </w:rPr>
        <w:t>3</w:t>
      </w:r>
      <w:r w:rsidRPr="00A96C22">
        <w:rPr>
          <w:rFonts w:ascii="新宋体" w:eastAsia="新宋体" w:hAnsi="新宋体" w:cs="宋体" w:hint="eastAsia"/>
          <w:color w:val="000000"/>
          <w:kern w:val="0"/>
          <w:sz w:val="24"/>
          <w:szCs w:val="24"/>
        </w:rPr>
        <w:t>、查阅方式</w:t>
      </w:r>
    </w:p>
    <w:p w:rsidR="00F0537B" w:rsidRPr="00A96C22" w:rsidRDefault="00F0537B">
      <w:pPr>
        <w:spacing w:line="360" w:lineRule="auto"/>
        <w:ind w:firstLineChars="200" w:firstLine="480"/>
        <w:rPr>
          <w:rFonts w:ascii="新宋体" w:eastAsia="新宋体" w:hAnsi="新宋体"/>
          <w:sz w:val="24"/>
          <w:szCs w:val="24"/>
        </w:rPr>
      </w:pPr>
      <w:r w:rsidRPr="00A96C22">
        <w:rPr>
          <w:rFonts w:ascii="新宋体" w:eastAsia="新宋体" w:hAnsi="新宋体" w:cs="宋体" w:hint="eastAsia"/>
          <w:color w:val="000000"/>
          <w:kern w:val="0"/>
          <w:sz w:val="24"/>
          <w:szCs w:val="24"/>
        </w:rPr>
        <w:t>投资者可在营业时间免费查阅。</w:t>
      </w:r>
    </w:p>
    <w:p w:rsidR="00F0537B" w:rsidRPr="00A96C22" w:rsidRDefault="00F0537B">
      <w:pPr>
        <w:autoSpaceDE w:val="0"/>
        <w:autoSpaceDN w:val="0"/>
        <w:adjustRightInd w:val="0"/>
        <w:spacing w:line="360" w:lineRule="auto"/>
        <w:ind w:firstLineChars="200" w:firstLine="480"/>
        <w:jc w:val="left"/>
        <w:rPr>
          <w:rFonts w:ascii="新宋体" w:eastAsia="新宋体" w:hAnsi="新宋体" w:cs="宋体"/>
          <w:color w:val="000000"/>
          <w:kern w:val="0"/>
          <w:sz w:val="24"/>
          <w:szCs w:val="24"/>
        </w:rPr>
      </w:pPr>
    </w:p>
    <w:p w:rsidR="00F0537B" w:rsidRPr="00A96C22" w:rsidRDefault="00F0537B">
      <w:pPr>
        <w:spacing w:line="360" w:lineRule="auto"/>
        <w:ind w:firstLineChars="200" w:firstLine="480"/>
        <w:rPr>
          <w:rFonts w:ascii="新宋体" w:eastAsia="新宋体" w:hAnsi="新宋体"/>
          <w:sz w:val="24"/>
          <w:szCs w:val="24"/>
        </w:rPr>
      </w:pPr>
    </w:p>
    <w:p w:rsidR="00F0537B" w:rsidRPr="00A96C22" w:rsidRDefault="00F0537B">
      <w:pPr>
        <w:spacing w:line="360" w:lineRule="auto"/>
        <w:ind w:firstLineChars="200" w:firstLine="480"/>
        <w:rPr>
          <w:rFonts w:ascii="新宋体" w:eastAsia="新宋体" w:hAnsi="新宋体"/>
          <w:sz w:val="24"/>
          <w:szCs w:val="24"/>
        </w:rPr>
      </w:pPr>
    </w:p>
    <w:p w:rsidR="00F0537B" w:rsidRPr="00A96C22" w:rsidRDefault="00F0537B">
      <w:pPr>
        <w:spacing w:line="360" w:lineRule="auto"/>
        <w:ind w:firstLineChars="200" w:firstLine="480"/>
        <w:jc w:val="right"/>
        <w:rPr>
          <w:rFonts w:ascii="新宋体" w:eastAsia="新宋体" w:hAnsi="新宋体"/>
          <w:sz w:val="24"/>
          <w:szCs w:val="24"/>
        </w:rPr>
      </w:pPr>
      <w:r w:rsidRPr="00A96C22">
        <w:rPr>
          <w:rFonts w:ascii="新宋体" w:eastAsia="新宋体" w:hAnsi="新宋体" w:cs="宋体" w:hint="eastAsia"/>
          <w:color w:val="000000"/>
          <w:kern w:val="0"/>
          <w:sz w:val="24"/>
          <w:szCs w:val="24"/>
        </w:rPr>
        <w:t>信澳汇鑫两年封闭式债券型证券投资基金</w:t>
      </w:r>
      <w:r w:rsidRPr="00A96C22">
        <w:rPr>
          <w:rFonts w:ascii="新宋体" w:eastAsia="新宋体" w:hAnsi="新宋体" w:hint="eastAsia"/>
          <w:sz w:val="24"/>
          <w:szCs w:val="24"/>
        </w:rPr>
        <w:t>财产清算小组</w:t>
      </w:r>
    </w:p>
    <w:p w:rsidR="00F0537B" w:rsidRDefault="00F0537B">
      <w:pPr>
        <w:spacing w:line="360" w:lineRule="auto"/>
        <w:ind w:firstLineChars="200" w:firstLine="480"/>
        <w:jc w:val="right"/>
        <w:rPr>
          <w:rFonts w:ascii="新宋体" w:eastAsia="新宋体" w:hAnsi="新宋体"/>
          <w:sz w:val="24"/>
          <w:szCs w:val="24"/>
        </w:rPr>
      </w:pPr>
      <w:r w:rsidRPr="00A96C22">
        <w:rPr>
          <w:rFonts w:ascii="新宋体" w:eastAsia="新宋体" w:hAnsi="新宋体"/>
          <w:sz w:val="24"/>
          <w:szCs w:val="24"/>
        </w:rPr>
        <w:t>202</w:t>
      </w:r>
      <w:r w:rsidRPr="00A96C22">
        <w:rPr>
          <w:rFonts w:ascii="新宋体" w:eastAsia="新宋体" w:hAnsi="新宋体" w:hint="eastAsia"/>
          <w:sz w:val="24"/>
          <w:szCs w:val="24"/>
        </w:rPr>
        <w:t>5年4月16日</w:t>
      </w:r>
    </w:p>
    <w:sectPr w:rsidR="00F0537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97" w:rsidRDefault="002A7D97" w:rsidP="002D6559">
      <w:r>
        <w:separator/>
      </w:r>
    </w:p>
  </w:endnote>
  <w:endnote w:type="continuationSeparator" w:id="0">
    <w:p w:rsidR="002A7D97" w:rsidRDefault="002A7D97" w:rsidP="002D6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97" w:rsidRDefault="002A7D97" w:rsidP="002D6559">
      <w:r>
        <w:separator/>
      </w:r>
    </w:p>
  </w:footnote>
  <w:footnote w:type="continuationSeparator" w:id="0">
    <w:p w:rsidR="002A7D97" w:rsidRDefault="002A7D97" w:rsidP="002D6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73B81"/>
    <w:multiLevelType w:val="multilevel"/>
    <w:tmpl w:val="51F73B8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doNotTrackMoves/>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6E38"/>
    <w:rsid w:val="000056B4"/>
    <w:rsid w:val="00006F68"/>
    <w:rsid w:val="0002249A"/>
    <w:rsid w:val="00063B60"/>
    <w:rsid w:val="000640E5"/>
    <w:rsid w:val="00070CC1"/>
    <w:rsid w:val="000764D7"/>
    <w:rsid w:val="00090271"/>
    <w:rsid w:val="00093FE3"/>
    <w:rsid w:val="000C2F97"/>
    <w:rsid w:val="000C462B"/>
    <w:rsid w:val="000C5553"/>
    <w:rsid w:val="000D0088"/>
    <w:rsid w:val="000D4722"/>
    <w:rsid w:val="000D5D70"/>
    <w:rsid w:val="00102110"/>
    <w:rsid w:val="00103D04"/>
    <w:rsid w:val="00114EAD"/>
    <w:rsid w:val="001256ED"/>
    <w:rsid w:val="00126E38"/>
    <w:rsid w:val="0013123E"/>
    <w:rsid w:val="00132075"/>
    <w:rsid w:val="001610E8"/>
    <w:rsid w:val="00186D49"/>
    <w:rsid w:val="00194C39"/>
    <w:rsid w:val="001A393F"/>
    <w:rsid w:val="001B7CE0"/>
    <w:rsid w:val="001C19D3"/>
    <w:rsid w:val="001C32E4"/>
    <w:rsid w:val="001C4B98"/>
    <w:rsid w:val="001D04F3"/>
    <w:rsid w:val="001D4688"/>
    <w:rsid w:val="001E1E07"/>
    <w:rsid w:val="001F3B39"/>
    <w:rsid w:val="002421B6"/>
    <w:rsid w:val="00263749"/>
    <w:rsid w:val="0028067A"/>
    <w:rsid w:val="002933AF"/>
    <w:rsid w:val="002954AA"/>
    <w:rsid w:val="002A7D97"/>
    <w:rsid w:val="002D6559"/>
    <w:rsid w:val="002E7E62"/>
    <w:rsid w:val="002F32E1"/>
    <w:rsid w:val="003158FF"/>
    <w:rsid w:val="003236A4"/>
    <w:rsid w:val="003252CF"/>
    <w:rsid w:val="00326E9E"/>
    <w:rsid w:val="00336079"/>
    <w:rsid w:val="00347811"/>
    <w:rsid w:val="00350011"/>
    <w:rsid w:val="00361D31"/>
    <w:rsid w:val="00366126"/>
    <w:rsid w:val="003670B0"/>
    <w:rsid w:val="0037159C"/>
    <w:rsid w:val="00373A62"/>
    <w:rsid w:val="00384B7D"/>
    <w:rsid w:val="003A378C"/>
    <w:rsid w:val="003B4884"/>
    <w:rsid w:val="003B538A"/>
    <w:rsid w:val="003F73D5"/>
    <w:rsid w:val="00417B89"/>
    <w:rsid w:val="0042176B"/>
    <w:rsid w:val="004340E3"/>
    <w:rsid w:val="00442E4F"/>
    <w:rsid w:val="004768C8"/>
    <w:rsid w:val="00486DE2"/>
    <w:rsid w:val="00493389"/>
    <w:rsid w:val="0049576A"/>
    <w:rsid w:val="00496CDD"/>
    <w:rsid w:val="004C62F7"/>
    <w:rsid w:val="004E0BA3"/>
    <w:rsid w:val="004F21C3"/>
    <w:rsid w:val="00523B01"/>
    <w:rsid w:val="00535113"/>
    <w:rsid w:val="00537205"/>
    <w:rsid w:val="00540A08"/>
    <w:rsid w:val="00541B3A"/>
    <w:rsid w:val="00541E8B"/>
    <w:rsid w:val="00551D44"/>
    <w:rsid w:val="0056680E"/>
    <w:rsid w:val="005744F0"/>
    <w:rsid w:val="005830B2"/>
    <w:rsid w:val="005B2685"/>
    <w:rsid w:val="005B3DD3"/>
    <w:rsid w:val="005C0D10"/>
    <w:rsid w:val="005C336F"/>
    <w:rsid w:val="005E2DF4"/>
    <w:rsid w:val="005E3CA6"/>
    <w:rsid w:val="005F44E2"/>
    <w:rsid w:val="005F66F3"/>
    <w:rsid w:val="00613623"/>
    <w:rsid w:val="00622D2E"/>
    <w:rsid w:val="00627E1A"/>
    <w:rsid w:val="00632329"/>
    <w:rsid w:val="0063765F"/>
    <w:rsid w:val="00645C5A"/>
    <w:rsid w:val="0065644C"/>
    <w:rsid w:val="00672B76"/>
    <w:rsid w:val="00672B99"/>
    <w:rsid w:val="00672CC3"/>
    <w:rsid w:val="0069359B"/>
    <w:rsid w:val="006944AC"/>
    <w:rsid w:val="006A3B8E"/>
    <w:rsid w:val="006E37FC"/>
    <w:rsid w:val="00703EDE"/>
    <w:rsid w:val="00712F73"/>
    <w:rsid w:val="0071446E"/>
    <w:rsid w:val="00715364"/>
    <w:rsid w:val="007174EA"/>
    <w:rsid w:val="00721290"/>
    <w:rsid w:val="00723172"/>
    <w:rsid w:val="0072403B"/>
    <w:rsid w:val="00724DE0"/>
    <w:rsid w:val="00741240"/>
    <w:rsid w:val="00746C2C"/>
    <w:rsid w:val="0075302C"/>
    <w:rsid w:val="007671F1"/>
    <w:rsid w:val="00781A66"/>
    <w:rsid w:val="0078460F"/>
    <w:rsid w:val="0079000A"/>
    <w:rsid w:val="00790412"/>
    <w:rsid w:val="007B11FF"/>
    <w:rsid w:val="007C304B"/>
    <w:rsid w:val="007D3A67"/>
    <w:rsid w:val="007D42C7"/>
    <w:rsid w:val="007F4C5B"/>
    <w:rsid w:val="007F6853"/>
    <w:rsid w:val="008028F6"/>
    <w:rsid w:val="008043DE"/>
    <w:rsid w:val="008155B3"/>
    <w:rsid w:val="00830A4A"/>
    <w:rsid w:val="00834C92"/>
    <w:rsid w:val="00837938"/>
    <w:rsid w:val="00841DB6"/>
    <w:rsid w:val="00844E30"/>
    <w:rsid w:val="00846635"/>
    <w:rsid w:val="00850494"/>
    <w:rsid w:val="00850C04"/>
    <w:rsid w:val="00871CDF"/>
    <w:rsid w:val="00873DDD"/>
    <w:rsid w:val="00874BF6"/>
    <w:rsid w:val="00887DF3"/>
    <w:rsid w:val="008A0863"/>
    <w:rsid w:val="008A229F"/>
    <w:rsid w:val="008A3CE6"/>
    <w:rsid w:val="008B5979"/>
    <w:rsid w:val="008C52C6"/>
    <w:rsid w:val="008C6E80"/>
    <w:rsid w:val="008D0245"/>
    <w:rsid w:val="008E1D19"/>
    <w:rsid w:val="008E77B7"/>
    <w:rsid w:val="008F7754"/>
    <w:rsid w:val="00902A50"/>
    <w:rsid w:val="00922787"/>
    <w:rsid w:val="00923919"/>
    <w:rsid w:val="009328D5"/>
    <w:rsid w:val="00937718"/>
    <w:rsid w:val="00965DC6"/>
    <w:rsid w:val="00991F37"/>
    <w:rsid w:val="00994D1C"/>
    <w:rsid w:val="009A7EAF"/>
    <w:rsid w:val="009C083F"/>
    <w:rsid w:val="009C2287"/>
    <w:rsid w:val="009C48DA"/>
    <w:rsid w:val="009D39EB"/>
    <w:rsid w:val="009E582C"/>
    <w:rsid w:val="009E6CA9"/>
    <w:rsid w:val="00A11794"/>
    <w:rsid w:val="00A141D7"/>
    <w:rsid w:val="00A30825"/>
    <w:rsid w:val="00A4747C"/>
    <w:rsid w:val="00A50335"/>
    <w:rsid w:val="00A5371A"/>
    <w:rsid w:val="00A71F4B"/>
    <w:rsid w:val="00A84465"/>
    <w:rsid w:val="00A85AAC"/>
    <w:rsid w:val="00A93A95"/>
    <w:rsid w:val="00A9598C"/>
    <w:rsid w:val="00A96C22"/>
    <w:rsid w:val="00AA1E39"/>
    <w:rsid w:val="00AA22CB"/>
    <w:rsid w:val="00AC2891"/>
    <w:rsid w:val="00AE076B"/>
    <w:rsid w:val="00B03D8C"/>
    <w:rsid w:val="00B12C3E"/>
    <w:rsid w:val="00B31290"/>
    <w:rsid w:val="00B34609"/>
    <w:rsid w:val="00B3548E"/>
    <w:rsid w:val="00B35554"/>
    <w:rsid w:val="00B43FC2"/>
    <w:rsid w:val="00B54701"/>
    <w:rsid w:val="00B82F9B"/>
    <w:rsid w:val="00B92677"/>
    <w:rsid w:val="00BB0021"/>
    <w:rsid w:val="00BD04B0"/>
    <w:rsid w:val="00BD390A"/>
    <w:rsid w:val="00BE0341"/>
    <w:rsid w:val="00BE1960"/>
    <w:rsid w:val="00BE3529"/>
    <w:rsid w:val="00C124C1"/>
    <w:rsid w:val="00C45CC4"/>
    <w:rsid w:val="00C46F2D"/>
    <w:rsid w:val="00C5692B"/>
    <w:rsid w:val="00C57AEA"/>
    <w:rsid w:val="00C63246"/>
    <w:rsid w:val="00C66268"/>
    <w:rsid w:val="00C70477"/>
    <w:rsid w:val="00C81065"/>
    <w:rsid w:val="00C82181"/>
    <w:rsid w:val="00C85C07"/>
    <w:rsid w:val="00C921E4"/>
    <w:rsid w:val="00C92AF5"/>
    <w:rsid w:val="00CA4D05"/>
    <w:rsid w:val="00CB3EFD"/>
    <w:rsid w:val="00CC1813"/>
    <w:rsid w:val="00CE31EA"/>
    <w:rsid w:val="00CF0894"/>
    <w:rsid w:val="00CF5909"/>
    <w:rsid w:val="00D02A24"/>
    <w:rsid w:val="00D052B8"/>
    <w:rsid w:val="00D340BB"/>
    <w:rsid w:val="00D45EA5"/>
    <w:rsid w:val="00D5686B"/>
    <w:rsid w:val="00D62B81"/>
    <w:rsid w:val="00DA7E70"/>
    <w:rsid w:val="00DB2613"/>
    <w:rsid w:val="00DC6575"/>
    <w:rsid w:val="00DE4FA9"/>
    <w:rsid w:val="00DF3811"/>
    <w:rsid w:val="00E01154"/>
    <w:rsid w:val="00E10196"/>
    <w:rsid w:val="00E30172"/>
    <w:rsid w:val="00E33C36"/>
    <w:rsid w:val="00E3726A"/>
    <w:rsid w:val="00E52793"/>
    <w:rsid w:val="00E62ECD"/>
    <w:rsid w:val="00E74906"/>
    <w:rsid w:val="00E778AE"/>
    <w:rsid w:val="00E8552B"/>
    <w:rsid w:val="00EB536E"/>
    <w:rsid w:val="00EC32C7"/>
    <w:rsid w:val="00EC5033"/>
    <w:rsid w:val="00ED2BB1"/>
    <w:rsid w:val="00ED58DA"/>
    <w:rsid w:val="00ED7348"/>
    <w:rsid w:val="00EE23BC"/>
    <w:rsid w:val="00F01805"/>
    <w:rsid w:val="00F0537B"/>
    <w:rsid w:val="00F10284"/>
    <w:rsid w:val="00F16A10"/>
    <w:rsid w:val="00F32868"/>
    <w:rsid w:val="00F40DE5"/>
    <w:rsid w:val="00F77218"/>
    <w:rsid w:val="00F85636"/>
    <w:rsid w:val="00F971A8"/>
    <w:rsid w:val="00FA1468"/>
    <w:rsid w:val="00FD2617"/>
    <w:rsid w:val="00FE0054"/>
    <w:rsid w:val="00FE0F47"/>
    <w:rsid w:val="00FE62C7"/>
    <w:rsid w:val="00FF2BB7"/>
    <w:rsid w:val="1690781F"/>
    <w:rsid w:val="198D0CBC"/>
    <w:rsid w:val="1A3D3083"/>
    <w:rsid w:val="1C3D4F73"/>
    <w:rsid w:val="327F52DC"/>
    <w:rsid w:val="375B4865"/>
    <w:rsid w:val="4B6630EB"/>
    <w:rsid w:val="4FDA7C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style>
  <w:style w:type="paragraph" w:styleId="a5">
    <w:name w:val="Balloon Text"/>
    <w:basedOn w:val="a"/>
    <w:link w:val="a6"/>
    <w:uiPriority w:val="99"/>
    <w:unhideWhenUsed/>
    <w:rPr>
      <w:kern w:val="0"/>
      <w:sz w:val="18"/>
      <w:szCs w:val="18"/>
      <w:lang/>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lang/>
    </w:rPr>
  </w:style>
  <w:style w:type="character" w:customStyle="1" w:styleId="a8">
    <w:name w:val="页脚 字符"/>
    <w:link w:val="a7"/>
    <w:uiPriority w:val="99"/>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lang/>
    </w:rPr>
  </w:style>
  <w:style w:type="character" w:customStyle="1" w:styleId="aa">
    <w:name w:val="页眉 字符"/>
    <w:link w:val="a9"/>
    <w:uiPriority w:val="99"/>
    <w:rPr>
      <w:sz w:val="18"/>
      <w:szCs w:val="18"/>
    </w:rPr>
  </w:style>
  <w:style w:type="paragraph" w:styleId="ab">
    <w:name w:val="Normal (Web)"/>
    <w:basedOn w:val="a"/>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kern w:val="0"/>
      <w:sz w:val="20"/>
      <w:szCs w:val="20"/>
      <w:lang/>
    </w:rPr>
  </w:style>
  <w:style w:type="character" w:customStyle="1" w:styleId="ad">
    <w:name w:val="批注主题 字符"/>
    <w:link w:val="ac"/>
    <w:uiPriority w:val="99"/>
    <w:semiHidden/>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f0">
    <w:name w:val="List Paragraph"/>
    <w:basedOn w:val="a"/>
    <w:uiPriority w:val="34"/>
    <w:qFormat/>
    <w:pPr>
      <w:ind w:firstLineChars="200" w:firstLine="420"/>
    </w:pPr>
  </w:style>
  <w:style w:type="paragraph" w:customStyle="1" w:styleId="Style30">
    <w:name w:val="_Style 30"/>
    <w:basedOn w:val="a"/>
    <w:next w:val="af0"/>
    <w:uiPriority w:val="34"/>
    <w:qFormat/>
    <w:pPr>
      <w:ind w:firstLineChars="200" w:firstLine="420"/>
    </w:pPr>
    <w:rPr>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f1">
    <w:name w:val="Revision"/>
    <w:uiPriority w:val="99"/>
    <w:semiHidden/>
    <w:rPr>
      <w:kern w:val="2"/>
      <w:sz w:val="21"/>
      <w:szCs w:val="22"/>
    </w:rPr>
  </w:style>
  <w:style w:type="paragraph" w:styleId="af2">
    <w:name w:val="Document Map"/>
    <w:basedOn w:val="a"/>
    <w:link w:val="Char"/>
    <w:uiPriority w:val="99"/>
    <w:semiHidden/>
    <w:unhideWhenUsed/>
    <w:rsid w:val="002D6559"/>
    <w:rPr>
      <w:rFonts w:ascii="宋体"/>
      <w:sz w:val="18"/>
      <w:szCs w:val="18"/>
      <w:lang/>
    </w:rPr>
  </w:style>
  <w:style w:type="character" w:customStyle="1" w:styleId="Char">
    <w:name w:val="文档结构图 Char"/>
    <w:link w:val="af2"/>
    <w:uiPriority w:val="99"/>
    <w:semiHidden/>
    <w:rsid w:val="002D6559"/>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527379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AC78-549B-46B5-816B-24F8208D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Office Word</Application>
  <DocSecurity>4</DocSecurity>
  <Lines>33</Lines>
  <Paragraphs>9</Paragraphs>
  <ScaleCrop>false</ScaleCrop>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徐川</dc:creator>
  <cp:keywords/>
  <dc:description/>
  <cp:lastModifiedBy>ZHONGM</cp:lastModifiedBy>
  <cp:revision>2</cp:revision>
  <cp:lastPrinted>2021-12-10T07:45:00Z</cp:lastPrinted>
  <dcterms:created xsi:type="dcterms:W3CDTF">2025-04-23T16:01:00Z</dcterms:created>
  <dcterms:modified xsi:type="dcterms:W3CDTF">2025-04-23T16:01:00Z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eyJoZGlkIjoiOTNlZmE1N2JmOTY3Y2Y0YzIwOWY5NWE1NDYzYjExNjkiLCJ1c2VySWQiOiI3NTA3MjI5NzQifQ==</vt:lpwstr>
  </property>
  <property fmtid="{D5CDD505-2E9C-101B-9397-08002B2CF9AE}" pid="3" name="KSOProductBuildVer">
    <vt:lpwstr>2052-12.1.0.20784</vt:lpwstr>
  </property>
  <property fmtid="{D5CDD505-2E9C-101B-9397-08002B2CF9AE}" pid="4" name="ICV">
    <vt:lpwstr>3C65CA581F0C47C788AD34EBA3D0B19F_12</vt:lpwstr>
  </property>
</Properties>
</file>