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EC" w:rsidRDefault="004646CB" w:rsidP="004646CB">
      <w:pPr>
        <w:jc w:val="center"/>
        <w:rPr>
          <w:rFonts w:ascii="宋体" w:eastAsia="宋体" w:hAnsi="宋体"/>
          <w:sz w:val="28"/>
          <w:szCs w:val="36"/>
        </w:rPr>
      </w:pPr>
      <w:r w:rsidRPr="004646CB">
        <w:rPr>
          <w:rFonts w:ascii="宋体" w:eastAsia="宋体" w:hAnsi="宋体" w:hint="eastAsia"/>
          <w:sz w:val="32"/>
          <w:szCs w:val="36"/>
        </w:rPr>
        <w:t>关于</w:t>
      </w:r>
      <w:r w:rsidR="00301481">
        <w:rPr>
          <w:rFonts w:ascii="宋体" w:eastAsia="宋体" w:hAnsi="宋体" w:hint="eastAsia"/>
          <w:sz w:val="32"/>
          <w:szCs w:val="36"/>
        </w:rPr>
        <w:t>西藏东财中证A500交易型开放式指数证券投资基金联接基金</w:t>
      </w:r>
      <w:r w:rsidR="00EA5F41">
        <w:rPr>
          <w:rFonts w:ascii="宋体" w:eastAsia="宋体" w:hAnsi="宋体" w:hint="eastAsia"/>
          <w:sz w:val="32"/>
          <w:szCs w:val="36"/>
        </w:rPr>
        <w:t>延长</w:t>
      </w:r>
      <w:r w:rsidRPr="004646CB">
        <w:rPr>
          <w:rFonts w:ascii="宋体" w:eastAsia="宋体" w:hAnsi="宋体" w:hint="eastAsia"/>
          <w:sz w:val="32"/>
          <w:szCs w:val="36"/>
        </w:rPr>
        <w:t>募集期的公告</w:t>
      </w:r>
    </w:p>
    <w:p w:rsidR="004646CB" w:rsidRDefault="004646CB" w:rsidP="004646CB">
      <w:pPr>
        <w:pStyle w:val="Default"/>
      </w:pPr>
    </w:p>
    <w:p w:rsidR="004646CB" w:rsidRPr="004646CB" w:rsidRDefault="00301481" w:rsidP="004646CB">
      <w:pPr>
        <w:pStyle w:val="Default"/>
        <w:spacing w:line="360" w:lineRule="auto"/>
        <w:ind w:firstLineChars="200" w:firstLine="480"/>
        <w:jc w:val="both"/>
        <w:rPr>
          <w:rFonts w:hAnsi="宋体"/>
        </w:rPr>
      </w:pPr>
      <w:r>
        <w:rPr>
          <w:rFonts w:hAnsi="宋体" w:hint="eastAsia"/>
        </w:rPr>
        <w:t>西藏东财中证A500交易型开放式指数证券投资基金联接基金</w:t>
      </w:r>
      <w:r w:rsidR="004646CB" w:rsidRPr="004646CB">
        <w:rPr>
          <w:rFonts w:hAnsi="宋体" w:hint="eastAsia"/>
        </w:rPr>
        <w:t>（</w:t>
      </w:r>
      <w:r w:rsidR="00EA5F41">
        <w:rPr>
          <w:rFonts w:hAnsi="宋体" w:hint="eastAsia"/>
        </w:rPr>
        <w:t>A类基金份额：</w:t>
      </w:r>
      <w:r w:rsidR="00EA5F41" w:rsidRPr="00301481">
        <w:rPr>
          <w:rFonts w:hAnsi="宋体" w:hint="eastAsia"/>
        </w:rPr>
        <w:t>东财中证</w:t>
      </w:r>
      <w:r w:rsidR="00EA5F41" w:rsidRPr="00301481">
        <w:rPr>
          <w:rFonts w:hAnsi="宋体"/>
        </w:rPr>
        <w:t>A500ETF联接</w:t>
      </w:r>
      <w:r w:rsidR="00EA5F41">
        <w:rPr>
          <w:rFonts w:hAnsi="宋体" w:hint="eastAsia"/>
        </w:rPr>
        <w:t>A，代码：</w:t>
      </w:r>
      <w:r w:rsidR="00EA5F41" w:rsidRPr="00301481">
        <w:rPr>
          <w:rFonts w:hAnsi="宋体"/>
        </w:rPr>
        <w:t>02386</w:t>
      </w:r>
      <w:r w:rsidR="00EA5F41">
        <w:rPr>
          <w:rFonts w:hAnsi="宋体"/>
        </w:rPr>
        <w:t>3</w:t>
      </w:r>
      <w:r w:rsidR="00EA5F41">
        <w:rPr>
          <w:rFonts w:hAnsi="宋体" w:hint="eastAsia"/>
        </w:rPr>
        <w:t>；C类基金份额：</w:t>
      </w:r>
      <w:r w:rsidR="00EA5F41" w:rsidRPr="00301481">
        <w:rPr>
          <w:rFonts w:hAnsi="宋体" w:hint="eastAsia"/>
        </w:rPr>
        <w:t>东财中证</w:t>
      </w:r>
      <w:r w:rsidR="00EA5F41" w:rsidRPr="00301481">
        <w:rPr>
          <w:rFonts w:hAnsi="宋体"/>
        </w:rPr>
        <w:t>A500ETF联接</w:t>
      </w:r>
      <w:r w:rsidR="00EA5F41">
        <w:rPr>
          <w:rFonts w:hAnsi="宋体" w:hint="eastAsia"/>
        </w:rPr>
        <w:t>C，代码：</w:t>
      </w:r>
      <w:r w:rsidR="00EA5F41" w:rsidRPr="00301481">
        <w:rPr>
          <w:rFonts w:hAnsi="宋体"/>
        </w:rPr>
        <w:t>02386</w:t>
      </w:r>
      <w:r w:rsidR="00EA5F41">
        <w:rPr>
          <w:rFonts w:hAnsi="宋体"/>
        </w:rPr>
        <w:t>4</w:t>
      </w:r>
      <w:r w:rsidR="007F301A" w:rsidRPr="007F301A">
        <w:rPr>
          <w:rFonts w:hAnsi="宋体"/>
        </w:rPr>
        <w:t>；</w:t>
      </w:r>
      <w:r w:rsidR="004646CB" w:rsidRPr="004646CB">
        <w:rPr>
          <w:rFonts w:hAnsi="宋体" w:hint="eastAsia"/>
        </w:rPr>
        <w:t>以下简称</w:t>
      </w:r>
      <w:r w:rsidR="004646CB" w:rsidRPr="004646CB">
        <w:rPr>
          <w:rFonts w:hAnsi="宋体"/>
        </w:rPr>
        <w:t>“</w:t>
      </w:r>
      <w:r w:rsidR="004646CB" w:rsidRPr="004646CB">
        <w:rPr>
          <w:rFonts w:hAnsi="宋体" w:hint="eastAsia"/>
        </w:rPr>
        <w:t>本基金</w:t>
      </w:r>
      <w:r w:rsidR="004646CB" w:rsidRPr="004646CB">
        <w:rPr>
          <w:rFonts w:hAnsi="宋体"/>
        </w:rPr>
        <w:t>”</w:t>
      </w:r>
      <w:r w:rsidR="004646CB" w:rsidRPr="004646CB">
        <w:rPr>
          <w:rFonts w:hAnsi="宋体" w:hint="eastAsia"/>
        </w:rPr>
        <w:t>）经中国证券监督管理委员会证监许可</w:t>
      </w:r>
      <w:r w:rsidR="00EB3B04" w:rsidRPr="003C25B6">
        <w:rPr>
          <w:rFonts w:hAnsi="宋体" w:hint="eastAsia"/>
        </w:rPr>
        <w:t>〔</w:t>
      </w:r>
      <w:r w:rsidRPr="004646CB">
        <w:rPr>
          <w:rFonts w:hAnsi="宋体"/>
        </w:rPr>
        <w:t>202</w:t>
      </w:r>
      <w:r>
        <w:rPr>
          <w:rFonts w:hAnsi="宋体"/>
        </w:rPr>
        <w:t>5</w:t>
      </w:r>
      <w:r w:rsidR="00EB3B04" w:rsidRPr="003C25B6">
        <w:rPr>
          <w:rFonts w:hAnsi="宋体" w:hint="eastAsia"/>
        </w:rPr>
        <w:t>〕</w:t>
      </w:r>
      <w:r>
        <w:rPr>
          <w:rFonts w:hAnsi="宋体"/>
        </w:rPr>
        <w:t>553</w:t>
      </w:r>
      <w:r w:rsidR="004646CB" w:rsidRPr="004646CB">
        <w:rPr>
          <w:rFonts w:hAnsi="宋体" w:hint="eastAsia"/>
        </w:rPr>
        <w:t>号文准予注册，于</w:t>
      </w:r>
      <w:r w:rsidRPr="00301481">
        <w:rPr>
          <w:rFonts w:hAnsi="宋体"/>
        </w:rPr>
        <w:t>2025年4月11日</w:t>
      </w:r>
      <w:r w:rsidR="004646CB" w:rsidRPr="004646CB">
        <w:rPr>
          <w:rFonts w:hAnsi="宋体" w:hint="eastAsia"/>
        </w:rPr>
        <w:t>开始募集，原定认购截止日为</w:t>
      </w:r>
      <w:r w:rsidRPr="00301481">
        <w:rPr>
          <w:rFonts w:hAnsi="宋体"/>
        </w:rPr>
        <w:t>2025年4月24日</w:t>
      </w:r>
      <w:r w:rsidR="004646CB" w:rsidRPr="004646CB">
        <w:rPr>
          <w:rFonts w:hAnsi="宋体" w:hint="eastAsia"/>
        </w:rPr>
        <w:t>。</w:t>
      </w:r>
    </w:p>
    <w:p w:rsidR="004646CB" w:rsidRPr="004646CB" w:rsidRDefault="004646CB" w:rsidP="004646CB">
      <w:pPr>
        <w:pStyle w:val="Default"/>
        <w:spacing w:line="360" w:lineRule="auto"/>
        <w:ind w:firstLineChars="200" w:firstLine="480"/>
        <w:jc w:val="both"/>
        <w:rPr>
          <w:rFonts w:asciiTheme="minorEastAsia" w:eastAsiaTheme="minorEastAsia" w:hAnsiTheme="minorEastAsia"/>
        </w:rPr>
      </w:pPr>
      <w:r w:rsidRPr="004646CB">
        <w:rPr>
          <w:rFonts w:hAnsi="宋体" w:hint="eastAsia"/>
        </w:rPr>
        <w:t>为充分满足投资者的投资需求，根据《中华人民共和国证券投资基金法》、《公开募集证券投资基金运作管理办法》以及《</w:t>
      </w:r>
      <w:r w:rsidR="00301481">
        <w:rPr>
          <w:rFonts w:hAnsi="宋体" w:hint="eastAsia"/>
        </w:rPr>
        <w:t>西藏东财中证A500交易型开放式指数证券投资基金联接基金</w:t>
      </w:r>
      <w:r w:rsidRPr="004646CB">
        <w:rPr>
          <w:rFonts w:hAnsi="宋体" w:hint="eastAsia"/>
        </w:rPr>
        <w:t>基金合同》、《</w:t>
      </w:r>
      <w:r w:rsidR="00301481">
        <w:rPr>
          <w:rFonts w:hAnsi="宋体" w:hint="eastAsia"/>
        </w:rPr>
        <w:t>西藏东财中证A500交易型开放式指数证券投资基金联接基金</w:t>
      </w:r>
      <w:r w:rsidRPr="004646CB">
        <w:rPr>
          <w:rFonts w:hAnsi="宋体" w:hint="eastAsia"/>
        </w:rPr>
        <w:t>招募说明书》的有关规定，经本基金管理人西藏东财基金管理有限公司与本基金托管人</w:t>
      </w:r>
      <w:r w:rsidR="007C7ACE" w:rsidRPr="007C7ACE">
        <w:rPr>
          <w:rFonts w:hAnsi="宋体" w:hint="eastAsia"/>
        </w:rPr>
        <w:t>国信证券股份有限公司</w:t>
      </w:r>
      <w:r w:rsidRPr="004646CB">
        <w:rPr>
          <w:rFonts w:hAnsi="宋体" w:hint="eastAsia"/>
        </w:rPr>
        <w:t>协商，决定将本基金募集期延长至</w:t>
      </w:r>
      <w:r w:rsidR="00174E0B" w:rsidRPr="004646CB">
        <w:rPr>
          <w:rFonts w:hAnsi="宋体"/>
        </w:rPr>
        <w:t>202</w:t>
      </w:r>
      <w:r w:rsidR="00174E0B">
        <w:rPr>
          <w:rFonts w:hAnsi="宋体"/>
        </w:rPr>
        <w:t>5</w:t>
      </w:r>
      <w:r w:rsidRPr="004646CB">
        <w:rPr>
          <w:rFonts w:hAnsi="宋体" w:hint="eastAsia"/>
        </w:rPr>
        <w:t>年</w:t>
      </w:r>
      <w:r w:rsidR="005656E9">
        <w:rPr>
          <w:rFonts w:hAnsi="宋体"/>
        </w:rPr>
        <w:t>5</w:t>
      </w:r>
      <w:r w:rsidRPr="004646CB">
        <w:rPr>
          <w:rFonts w:hAnsi="宋体" w:hint="eastAsia"/>
        </w:rPr>
        <w:t>月</w:t>
      </w:r>
      <w:r w:rsidR="00DD30DE">
        <w:rPr>
          <w:rFonts w:hAnsi="宋体"/>
        </w:rPr>
        <w:t>15</w:t>
      </w:r>
      <w:r w:rsidRPr="004646CB">
        <w:rPr>
          <w:rFonts w:hAnsi="宋体" w:hint="eastAsia"/>
        </w:rPr>
        <w:t>日。</w:t>
      </w:r>
    </w:p>
    <w:p w:rsidR="004646CB" w:rsidRDefault="004646CB" w:rsidP="004646CB">
      <w:pPr>
        <w:pStyle w:val="Default"/>
        <w:spacing w:line="360" w:lineRule="auto"/>
        <w:ind w:firstLineChars="200" w:firstLine="480"/>
        <w:jc w:val="both"/>
        <w:rPr>
          <w:rFonts w:hAnsi="宋体"/>
        </w:rPr>
      </w:pPr>
      <w:r w:rsidRPr="004646CB">
        <w:rPr>
          <w:rFonts w:hAnsi="宋体" w:hint="eastAsia"/>
        </w:rPr>
        <w:t>投资者欲了解本基金的详细情况，请阅读本基金的招募说明书、产品资料概要及基金份额发售公告等。投资者也可通过本公司客服电话：</w:t>
      </w:r>
      <w:r w:rsidRPr="004646CB">
        <w:rPr>
          <w:rFonts w:hAnsi="宋体"/>
        </w:rPr>
        <w:t>400-9210-107</w:t>
      </w:r>
      <w:r w:rsidRPr="004646CB">
        <w:rPr>
          <w:rFonts w:hAnsi="宋体" w:hint="eastAsia"/>
        </w:rPr>
        <w:t>，或登陆本公司网站（</w:t>
      </w:r>
      <w:r w:rsidRPr="004646CB">
        <w:rPr>
          <w:rFonts w:hAnsi="宋体"/>
        </w:rPr>
        <w:t>www.dongcaijijin.com</w:t>
      </w:r>
      <w:r w:rsidRPr="004646CB">
        <w:rPr>
          <w:rFonts w:hAnsi="宋体" w:hint="eastAsia"/>
        </w:rPr>
        <w:t>）获取相关信息。</w:t>
      </w:r>
    </w:p>
    <w:p w:rsidR="000C04B3" w:rsidRDefault="000C04B3" w:rsidP="004646CB">
      <w:pPr>
        <w:pStyle w:val="Default"/>
        <w:spacing w:line="360" w:lineRule="auto"/>
        <w:ind w:firstLineChars="200" w:firstLine="480"/>
        <w:jc w:val="both"/>
        <w:rPr>
          <w:rFonts w:hAnsi="宋体"/>
        </w:rPr>
      </w:pPr>
    </w:p>
    <w:p w:rsidR="00E75141" w:rsidRDefault="000C04B3" w:rsidP="004646CB">
      <w:pPr>
        <w:pStyle w:val="Default"/>
        <w:spacing w:line="360" w:lineRule="auto"/>
        <w:ind w:firstLineChars="200" w:firstLine="480"/>
        <w:jc w:val="both"/>
        <w:rPr>
          <w:rFonts w:hAnsi="宋体"/>
        </w:rPr>
      </w:pPr>
      <w:r w:rsidRPr="000C04B3">
        <w:rPr>
          <w:rFonts w:hAnsi="宋体"/>
        </w:rPr>
        <w:t>风险提示：</w:t>
      </w:r>
      <w:r w:rsidRPr="00697C24">
        <w:rPr>
          <w:rFonts w:hAnsi="宋体"/>
        </w:rPr>
        <w:t>基金管理人承诺以诚实信用、勤勉尽责的原则管理和运用基金资产，但并不保证基金一定盈利，也不保证最低收益。</w:t>
      </w:r>
    </w:p>
    <w:p w:rsidR="00E75141" w:rsidRDefault="000C04B3" w:rsidP="004646CB">
      <w:pPr>
        <w:pStyle w:val="Default"/>
        <w:spacing w:line="360" w:lineRule="auto"/>
        <w:ind w:firstLineChars="200" w:firstLine="480"/>
        <w:jc w:val="both"/>
        <w:rPr>
          <w:rFonts w:hAnsi="宋体"/>
        </w:rPr>
      </w:pPr>
      <w:r w:rsidRPr="00697C24">
        <w:rPr>
          <w:rFonts w:hAnsi="宋体"/>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w:t>
      </w:r>
      <w:bookmarkStart w:id="0" w:name="_GoBack"/>
      <w:bookmarkEnd w:id="0"/>
      <w:r w:rsidRPr="00697C24">
        <w:rPr>
          <w:rFonts w:hAnsi="宋体"/>
        </w:rPr>
        <w:t>保证。</w:t>
      </w:r>
      <w:r w:rsidR="00D2639E" w:rsidRPr="00D2639E">
        <w:rPr>
          <w:rFonts w:hAnsi="宋体" w:hint="eastAsia"/>
        </w:rPr>
        <w:t>指数历史业绩不预示指数未来表现，也不代表本基金的未来业绩表现。</w:t>
      </w:r>
      <w:r w:rsidRPr="00697C24">
        <w:rPr>
          <w:rFonts w:hAnsi="宋体"/>
        </w:rPr>
        <w:t>我国基金运作时间较短，不能反映证券市场发展的所有阶段。基金投资人在做出投资决策后，基金运营状况与基金净值波动变化引致的投资风险由投资人自行负担。</w:t>
      </w:r>
    </w:p>
    <w:p w:rsidR="000C04B3" w:rsidRDefault="000C04B3" w:rsidP="004646CB">
      <w:pPr>
        <w:pStyle w:val="Default"/>
        <w:spacing w:line="360" w:lineRule="auto"/>
        <w:ind w:firstLineChars="200" w:firstLine="480"/>
        <w:jc w:val="both"/>
      </w:pPr>
      <w:r w:rsidRPr="00697C24">
        <w:rPr>
          <w:rFonts w:hAnsi="宋体"/>
        </w:rPr>
        <w:t>基金投资人在做出投资决策前，请务必详细阅读该基金相关的《基金合同》、《招募说明书》、《基金产品资料概要》及其更新等法律文件，全面了解该基金</w:t>
      </w:r>
      <w:r w:rsidRPr="00697C24">
        <w:rPr>
          <w:rFonts w:hAnsi="宋体"/>
        </w:rPr>
        <w:lastRenderedPageBreak/>
        <w:t>的具体情况、风险评级及特有风险。请务必了解投资者适当性管理相关规定，提</w:t>
      </w:r>
      <w:r w:rsidRPr="00697C24">
        <w:t>前进行风险承受能力测评，在了解基金收益与风险特征的前提下选择与自身风险承受能力相匹配的基金产品进行投资。如基金</w:t>
      </w:r>
      <w:r>
        <w:t>投资人开立基金账户时提供的相关信息发生重要变化，可能影响风险承受能力评价结果，请及时告知基金销售机构并更新风险承受能力测评结果。</w:t>
      </w:r>
    </w:p>
    <w:p w:rsidR="000C04B3" w:rsidRDefault="000C04B3" w:rsidP="004646CB">
      <w:pPr>
        <w:pStyle w:val="Default"/>
        <w:spacing w:line="360" w:lineRule="auto"/>
        <w:ind w:firstLineChars="200" w:firstLine="480"/>
        <w:jc w:val="both"/>
      </w:pPr>
      <w:r>
        <w:t>特此公告。</w:t>
      </w:r>
    </w:p>
    <w:p w:rsidR="00171751" w:rsidRDefault="00171751" w:rsidP="004646CB">
      <w:pPr>
        <w:pStyle w:val="Default"/>
        <w:spacing w:line="360" w:lineRule="auto"/>
        <w:ind w:firstLineChars="200" w:firstLine="480"/>
        <w:jc w:val="both"/>
      </w:pPr>
    </w:p>
    <w:p w:rsidR="000C04B3" w:rsidRDefault="000C04B3" w:rsidP="004646CB">
      <w:pPr>
        <w:pStyle w:val="Default"/>
        <w:spacing w:line="360" w:lineRule="auto"/>
        <w:ind w:firstLineChars="200" w:firstLine="480"/>
        <w:jc w:val="both"/>
      </w:pPr>
    </w:p>
    <w:p w:rsidR="000C04B3" w:rsidRDefault="000C04B3">
      <w:pPr>
        <w:pStyle w:val="Default"/>
        <w:spacing w:line="360" w:lineRule="auto"/>
        <w:ind w:firstLineChars="200" w:firstLine="480"/>
        <w:jc w:val="right"/>
      </w:pPr>
      <w:r>
        <w:t xml:space="preserve">西藏东财基金管理有限公司 </w:t>
      </w:r>
    </w:p>
    <w:p w:rsidR="000C04B3" w:rsidRPr="004646CB" w:rsidRDefault="00F31CE9" w:rsidP="00B970C0">
      <w:pPr>
        <w:pStyle w:val="Default"/>
        <w:spacing w:line="360" w:lineRule="auto"/>
        <w:ind w:firstLineChars="200" w:firstLine="480"/>
        <w:jc w:val="right"/>
        <w:rPr>
          <w:rFonts w:hAnsi="宋体"/>
        </w:rPr>
      </w:pPr>
      <w:r>
        <w:t>2025</w:t>
      </w:r>
      <w:r w:rsidR="000C04B3">
        <w:t>年</w:t>
      </w:r>
      <w:r>
        <w:t>4</w:t>
      </w:r>
      <w:r w:rsidR="000C04B3">
        <w:t>月</w:t>
      </w:r>
      <w:r w:rsidR="002722F9">
        <w:t>2</w:t>
      </w:r>
      <w:r w:rsidR="00154B2F">
        <w:t>3</w:t>
      </w:r>
      <w:r w:rsidR="000C04B3">
        <w:t>日</w:t>
      </w:r>
    </w:p>
    <w:sectPr w:rsidR="000C04B3" w:rsidRPr="004646CB" w:rsidSect="002C57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907" w:rsidRDefault="009D4907" w:rsidP="009D4907">
      <w:r>
        <w:separator/>
      </w:r>
    </w:p>
  </w:endnote>
  <w:endnote w:type="continuationSeparator" w:id="0">
    <w:p w:rsidR="009D4907" w:rsidRDefault="009D4907" w:rsidP="009D490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907" w:rsidRDefault="009D4907" w:rsidP="009D4907">
      <w:r>
        <w:separator/>
      </w:r>
    </w:p>
  </w:footnote>
  <w:footnote w:type="continuationSeparator" w:id="0">
    <w:p w:rsidR="009D4907" w:rsidRDefault="009D4907" w:rsidP="009D4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691C"/>
    <w:rsid w:val="000354B0"/>
    <w:rsid w:val="00072628"/>
    <w:rsid w:val="00086DF8"/>
    <w:rsid w:val="000C04B3"/>
    <w:rsid w:val="000F5121"/>
    <w:rsid w:val="00154B2F"/>
    <w:rsid w:val="001563C2"/>
    <w:rsid w:val="00171751"/>
    <w:rsid w:val="00174E0B"/>
    <w:rsid w:val="00177BB8"/>
    <w:rsid w:val="002020D5"/>
    <w:rsid w:val="002722F9"/>
    <w:rsid w:val="00285B3A"/>
    <w:rsid w:val="002C5764"/>
    <w:rsid w:val="00301481"/>
    <w:rsid w:val="00380874"/>
    <w:rsid w:val="004646CB"/>
    <w:rsid w:val="00524178"/>
    <w:rsid w:val="005656E9"/>
    <w:rsid w:val="00644D63"/>
    <w:rsid w:val="00655A29"/>
    <w:rsid w:val="0065691C"/>
    <w:rsid w:val="00697C24"/>
    <w:rsid w:val="006A0760"/>
    <w:rsid w:val="006C0C40"/>
    <w:rsid w:val="007C7ACE"/>
    <w:rsid w:val="007F301A"/>
    <w:rsid w:val="009D4907"/>
    <w:rsid w:val="00B00ABA"/>
    <w:rsid w:val="00B970C0"/>
    <w:rsid w:val="00CF1B9E"/>
    <w:rsid w:val="00D2639E"/>
    <w:rsid w:val="00DB2344"/>
    <w:rsid w:val="00DD30DE"/>
    <w:rsid w:val="00E75141"/>
    <w:rsid w:val="00EA5F41"/>
    <w:rsid w:val="00EB3B04"/>
    <w:rsid w:val="00F31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46C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9D4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907"/>
    <w:rPr>
      <w:sz w:val="18"/>
      <w:szCs w:val="18"/>
    </w:rPr>
  </w:style>
  <w:style w:type="paragraph" w:styleId="a4">
    <w:name w:val="footer"/>
    <w:basedOn w:val="a"/>
    <w:link w:val="Char0"/>
    <w:uiPriority w:val="99"/>
    <w:unhideWhenUsed/>
    <w:rsid w:val="009D4907"/>
    <w:pPr>
      <w:tabs>
        <w:tab w:val="center" w:pos="4153"/>
        <w:tab w:val="right" w:pos="8306"/>
      </w:tabs>
      <w:snapToGrid w:val="0"/>
      <w:jc w:val="left"/>
    </w:pPr>
    <w:rPr>
      <w:sz w:val="18"/>
      <w:szCs w:val="18"/>
    </w:rPr>
  </w:style>
  <w:style w:type="character" w:customStyle="1" w:styleId="Char0">
    <w:name w:val="页脚 Char"/>
    <w:basedOn w:val="a0"/>
    <w:link w:val="a4"/>
    <w:uiPriority w:val="99"/>
    <w:rsid w:val="009D4907"/>
    <w:rPr>
      <w:sz w:val="18"/>
      <w:szCs w:val="18"/>
    </w:rPr>
  </w:style>
  <w:style w:type="character" w:styleId="a5">
    <w:name w:val="annotation reference"/>
    <w:basedOn w:val="a0"/>
    <w:uiPriority w:val="99"/>
    <w:semiHidden/>
    <w:unhideWhenUsed/>
    <w:rsid w:val="00380874"/>
    <w:rPr>
      <w:sz w:val="21"/>
      <w:szCs w:val="21"/>
    </w:rPr>
  </w:style>
  <w:style w:type="paragraph" w:styleId="a6">
    <w:name w:val="annotation text"/>
    <w:basedOn w:val="a"/>
    <w:link w:val="Char1"/>
    <w:uiPriority w:val="99"/>
    <w:semiHidden/>
    <w:unhideWhenUsed/>
    <w:rsid w:val="00380874"/>
    <w:pPr>
      <w:jc w:val="left"/>
    </w:pPr>
  </w:style>
  <w:style w:type="character" w:customStyle="1" w:styleId="Char1">
    <w:name w:val="批注文字 Char"/>
    <w:basedOn w:val="a0"/>
    <w:link w:val="a6"/>
    <w:uiPriority w:val="99"/>
    <w:semiHidden/>
    <w:rsid w:val="00380874"/>
  </w:style>
  <w:style w:type="paragraph" w:styleId="a7">
    <w:name w:val="annotation subject"/>
    <w:basedOn w:val="a6"/>
    <w:next w:val="a6"/>
    <w:link w:val="Char2"/>
    <w:uiPriority w:val="99"/>
    <w:semiHidden/>
    <w:unhideWhenUsed/>
    <w:rsid w:val="00380874"/>
    <w:rPr>
      <w:b/>
      <w:bCs/>
    </w:rPr>
  </w:style>
  <w:style w:type="character" w:customStyle="1" w:styleId="Char2">
    <w:name w:val="批注主题 Char"/>
    <w:basedOn w:val="Char1"/>
    <w:link w:val="a7"/>
    <w:uiPriority w:val="99"/>
    <w:semiHidden/>
    <w:rsid w:val="00380874"/>
    <w:rPr>
      <w:b/>
      <w:bCs/>
    </w:rPr>
  </w:style>
  <w:style w:type="paragraph" w:styleId="a8">
    <w:name w:val="Balloon Text"/>
    <w:basedOn w:val="a"/>
    <w:link w:val="Char3"/>
    <w:uiPriority w:val="99"/>
    <w:semiHidden/>
    <w:unhideWhenUsed/>
    <w:rsid w:val="00380874"/>
    <w:rPr>
      <w:sz w:val="18"/>
      <w:szCs w:val="18"/>
    </w:rPr>
  </w:style>
  <w:style w:type="character" w:customStyle="1" w:styleId="Char3">
    <w:name w:val="批注框文本 Char"/>
    <w:basedOn w:val="a0"/>
    <w:link w:val="a8"/>
    <w:uiPriority w:val="99"/>
    <w:semiHidden/>
    <w:rsid w:val="0038087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4</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李小雨</dc:creator>
  <cp:keywords/>
  <dc:description/>
  <cp:lastModifiedBy>ZHONGM</cp:lastModifiedBy>
  <cp:revision>2</cp:revision>
  <dcterms:created xsi:type="dcterms:W3CDTF">2025-04-22T16:02:00Z</dcterms:created>
  <dcterms:modified xsi:type="dcterms:W3CDTF">2025-04-22T16:02:00Z</dcterms:modified>
</cp:coreProperties>
</file>