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AB2" w:rsidRDefault="00D92AB2" w:rsidP="00D92AB2">
      <w:pPr>
        <w:spacing w:line="360" w:lineRule="auto"/>
        <w:jc w:val="center"/>
        <w:rPr>
          <w:b/>
          <w:bCs/>
          <w:color w:val="000000"/>
          <w:sz w:val="30"/>
          <w:szCs w:val="30"/>
        </w:rPr>
      </w:pPr>
      <w:bookmarkStart w:id="0" w:name="_Toc249760023"/>
      <w:r w:rsidRPr="00D92AB2">
        <w:rPr>
          <w:rFonts w:hint="eastAsia"/>
          <w:b/>
          <w:bCs/>
          <w:color w:val="000000"/>
          <w:sz w:val="30"/>
          <w:szCs w:val="30"/>
        </w:rPr>
        <w:t>惠升和荣</w:t>
      </w:r>
      <w:r w:rsidRPr="00D92AB2">
        <w:rPr>
          <w:rFonts w:hint="eastAsia"/>
          <w:b/>
          <w:bCs/>
          <w:color w:val="000000"/>
          <w:sz w:val="30"/>
          <w:szCs w:val="30"/>
        </w:rPr>
        <w:t>90</w:t>
      </w:r>
      <w:r w:rsidRPr="00D92AB2">
        <w:rPr>
          <w:rFonts w:hint="eastAsia"/>
          <w:b/>
          <w:bCs/>
          <w:color w:val="000000"/>
          <w:sz w:val="30"/>
          <w:szCs w:val="30"/>
        </w:rPr>
        <w:t>天滚动持有债券型证券投资基金</w:t>
      </w:r>
    </w:p>
    <w:p w:rsidR="002570A9" w:rsidRDefault="00D92AB2" w:rsidP="00D92AB2">
      <w:pPr>
        <w:spacing w:line="360" w:lineRule="auto"/>
        <w:jc w:val="center"/>
        <w:rPr>
          <w:b/>
          <w:bCs/>
          <w:color w:val="000000"/>
          <w:sz w:val="30"/>
          <w:szCs w:val="30"/>
        </w:rPr>
      </w:pPr>
      <w:r w:rsidRPr="00D92AB2">
        <w:rPr>
          <w:rFonts w:hint="eastAsia"/>
          <w:b/>
          <w:bCs/>
          <w:color w:val="000000"/>
          <w:sz w:val="30"/>
          <w:szCs w:val="30"/>
        </w:rPr>
        <w:t>开放日常申购、赎回、转换及定期定额投资业务的公告</w:t>
      </w:r>
    </w:p>
    <w:p w:rsidR="002570A9" w:rsidRDefault="007E0063">
      <w:pPr>
        <w:spacing w:line="360" w:lineRule="auto"/>
        <w:jc w:val="center"/>
        <w:rPr>
          <w:rFonts w:asciiTheme="minorEastAsia" w:eastAsiaTheme="minorEastAsia" w:hAnsiTheme="minorEastAsia" w:cs="Arial"/>
          <w:szCs w:val="21"/>
        </w:rPr>
      </w:pPr>
      <w:r>
        <w:rPr>
          <w:rFonts w:asciiTheme="minorEastAsia" w:eastAsiaTheme="minorEastAsia" w:hAnsiTheme="minorEastAsia" w:cs="Arial" w:hint="eastAsia"/>
          <w:szCs w:val="21"/>
        </w:rPr>
        <w:t>公告</w:t>
      </w:r>
      <w:r>
        <w:rPr>
          <w:rFonts w:asciiTheme="minorEastAsia" w:eastAsiaTheme="minorEastAsia" w:hAnsiTheme="minorEastAsia" w:cs="Arial"/>
          <w:szCs w:val="21"/>
        </w:rPr>
        <w:t>送出日期：</w:t>
      </w:r>
      <w:r w:rsidRPr="00D5052A">
        <w:rPr>
          <w:rFonts w:asciiTheme="minorEastAsia" w:eastAsiaTheme="minorEastAsia" w:hAnsiTheme="minorEastAsia" w:cs="Arial" w:hint="eastAsia"/>
          <w:szCs w:val="21"/>
        </w:rPr>
        <w:t>2</w:t>
      </w:r>
      <w:r w:rsidRPr="00D5052A">
        <w:rPr>
          <w:rFonts w:asciiTheme="minorEastAsia" w:eastAsiaTheme="minorEastAsia" w:hAnsiTheme="minorEastAsia" w:cs="Arial"/>
          <w:szCs w:val="21"/>
        </w:rPr>
        <w:t>02</w:t>
      </w:r>
      <w:r w:rsidR="00D92AB2" w:rsidRPr="00D5052A">
        <w:rPr>
          <w:rFonts w:asciiTheme="minorEastAsia" w:eastAsiaTheme="minorEastAsia" w:hAnsiTheme="minorEastAsia" w:cs="Arial" w:hint="eastAsia"/>
          <w:szCs w:val="21"/>
        </w:rPr>
        <w:t>5</w:t>
      </w:r>
      <w:r w:rsidRPr="00D5052A">
        <w:rPr>
          <w:rFonts w:asciiTheme="minorEastAsia" w:eastAsiaTheme="minorEastAsia" w:hAnsiTheme="minorEastAsia" w:cs="Arial" w:hint="eastAsia"/>
          <w:szCs w:val="21"/>
        </w:rPr>
        <w:t>年</w:t>
      </w:r>
      <w:r w:rsidR="00D92AB2" w:rsidRPr="00D5052A">
        <w:rPr>
          <w:rFonts w:asciiTheme="minorEastAsia" w:eastAsiaTheme="minorEastAsia" w:hAnsiTheme="minorEastAsia" w:cs="Arial" w:hint="eastAsia"/>
          <w:szCs w:val="21"/>
        </w:rPr>
        <w:t>4</w:t>
      </w:r>
      <w:r w:rsidRPr="00D5052A">
        <w:rPr>
          <w:rFonts w:asciiTheme="minorEastAsia" w:eastAsiaTheme="minorEastAsia" w:hAnsiTheme="minorEastAsia" w:cs="Arial" w:hint="eastAsia"/>
          <w:szCs w:val="21"/>
        </w:rPr>
        <w:t>月</w:t>
      </w:r>
      <w:r w:rsidR="00D92AB2" w:rsidRPr="00D5052A">
        <w:rPr>
          <w:rFonts w:asciiTheme="minorEastAsia" w:eastAsiaTheme="minorEastAsia" w:hAnsiTheme="minorEastAsia" w:cs="Arial" w:hint="eastAsia"/>
          <w:szCs w:val="21"/>
        </w:rPr>
        <w:t>23</w:t>
      </w:r>
      <w:r w:rsidRPr="00D5052A">
        <w:rPr>
          <w:rFonts w:asciiTheme="minorEastAsia" w:eastAsiaTheme="minorEastAsia" w:hAnsiTheme="minorEastAsia" w:cs="Arial" w:hint="eastAsia"/>
          <w:szCs w:val="21"/>
        </w:rPr>
        <w:t>日</w:t>
      </w:r>
    </w:p>
    <w:p w:rsidR="002570A9" w:rsidRDefault="002570A9">
      <w:pPr>
        <w:spacing w:line="360" w:lineRule="auto"/>
        <w:jc w:val="center"/>
        <w:rPr>
          <w:rFonts w:asciiTheme="minorEastAsia" w:eastAsiaTheme="minorEastAsia" w:hAnsiTheme="minorEastAsia" w:cs="Arial"/>
          <w:szCs w:val="21"/>
        </w:rPr>
      </w:pPr>
    </w:p>
    <w:bookmarkEnd w:id="0"/>
    <w:p w:rsidR="002570A9" w:rsidRDefault="007E0063" w:rsidP="007E0063">
      <w:pPr>
        <w:pStyle w:val="3"/>
        <w:keepNext w:val="0"/>
        <w:keepLines w:val="0"/>
        <w:spacing w:beforeLines="50" w:afterLines="50" w:line="360" w:lineRule="auto"/>
        <w:rPr>
          <w:rFonts w:asciiTheme="minorEastAsia" w:eastAsiaTheme="minorEastAsia" w:hAnsiTheme="minorEastAsia" w:cs="Arial"/>
          <w:bCs w:val="0"/>
          <w:sz w:val="21"/>
          <w:szCs w:val="21"/>
        </w:rPr>
      </w:pPr>
      <w:r>
        <w:rPr>
          <w:rFonts w:asciiTheme="minorEastAsia" w:eastAsiaTheme="minorEastAsia" w:hAnsiTheme="minorEastAsia" w:cs="Arial"/>
          <w:bCs w:val="0"/>
          <w:sz w:val="21"/>
          <w:szCs w:val="21"/>
        </w:rPr>
        <w:t>1</w:t>
      </w:r>
      <w:r>
        <w:rPr>
          <w:rFonts w:asciiTheme="minorEastAsia" w:eastAsiaTheme="minorEastAsia" w:hAnsiTheme="minorEastAsia" w:cs="Arial" w:hint="eastAsia"/>
          <w:bCs w:val="0"/>
          <w:sz w:val="21"/>
          <w:szCs w:val="21"/>
        </w:rPr>
        <w:t>、</w:t>
      </w:r>
      <w:r>
        <w:rPr>
          <w:rFonts w:asciiTheme="minorEastAsia" w:eastAsiaTheme="minorEastAsia" w:hAnsiTheme="minorEastAsia" w:cs="Arial"/>
          <w:bCs w:val="0"/>
          <w:sz w:val="21"/>
          <w:szCs w:val="21"/>
        </w:rPr>
        <w:t>公告基本信息</w:t>
      </w:r>
    </w:p>
    <w:tbl>
      <w:tblPr>
        <w:tblW w:w="8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20"/>
        <w:gridCol w:w="2519"/>
        <w:gridCol w:w="2519"/>
      </w:tblGrid>
      <w:tr w:rsidR="002570A9">
        <w:trPr>
          <w:trHeight w:val="20"/>
          <w:jc w:val="center"/>
        </w:trPr>
        <w:tc>
          <w:tcPr>
            <w:tcW w:w="3020" w:type="dxa"/>
          </w:tcPr>
          <w:p w:rsidR="002570A9" w:rsidRDefault="007E0063">
            <w:pPr>
              <w:rPr>
                <w:rFonts w:asciiTheme="minorEastAsia" w:eastAsiaTheme="minorEastAsia" w:hAnsiTheme="minorEastAsia" w:cs="Arial"/>
                <w:szCs w:val="21"/>
              </w:rPr>
            </w:pPr>
            <w:r>
              <w:rPr>
                <w:rFonts w:asciiTheme="minorEastAsia" w:eastAsiaTheme="minorEastAsia" w:hAnsiTheme="minorEastAsia" w:cs="Arial"/>
                <w:szCs w:val="21"/>
              </w:rPr>
              <w:t>基金名称</w:t>
            </w:r>
          </w:p>
        </w:tc>
        <w:tc>
          <w:tcPr>
            <w:tcW w:w="5038" w:type="dxa"/>
            <w:gridSpan w:val="2"/>
            <w:tcBorders>
              <w:bottom w:val="single" w:sz="4" w:space="0" w:color="auto"/>
            </w:tcBorders>
          </w:tcPr>
          <w:p w:rsidR="002570A9" w:rsidRDefault="00D92AB2">
            <w:pPr>
              <w:rPr>
                <w:rFonts w:asciiTheme="minorEastAsia" w:eastAsiaTheme="minorEastAsia" w:hAnsiTheme="minorEastAsia" w:cs="Arial"/>
                <w:szCs w:val="21"/>
              </w:rPr>
            </w:pPr>
            <w:bookmarkStart w:id="1" w:name="OLE_LINK1"/>
            <w:r w:rsidRPr="00D92AB2">
              <w:rPr>
                <w:rFonts w:asciiTheme="minorEastAsia" w:eastAsiaTheme="minorEastAsia" w:hAnsiTheme="minorEastAsia" w:cs="Arial" w:hint="eastAsia"/>
                <w:szCs w:val="21"/>
              </w:rPr>
              <w:t>惠升和荣90天滚动持有债券型证券投资基金</w:t>
            </w:r>
            <w:bookmarkEnd w:id="1"/>
          </w:p>
        </w:tc>
      </w:tr>
      <w:tr w:rsidR="002570A9">
        <w:trPr>
          <w:trHeight w:val="20"/>
          <w:jc w:val="center"/>
        </w:trPr>
        <w:tc>
          <w:tcPr>
            <w:tcW w:w="3020" w:type="dxa"/>
          </w:tcPr>
          <w:p w:rsidR="002570A9" w:rsidRDefault="007E0063">
            <w:pPr>
              <w:rPr>
                <w:rFonts w:asciiTheme="minorEastAsia" w:eastAsiaTheme="minorEastAsia" w:hAnsiTheme="minorEastAsia" w:cs="Arial"/>
                <w:szCs w:val="21"/>
              </w:rPr>
            </w:pPr>
            <w:r>
              <w:rPr>
                <w:rFonts w:asciiTheme="minorEastAsia" w:eastAsiaTheme="minorEastAsia" w:hAnsiTheme="minorEastAsia" w:cs="Arial"/>
                <w:szCs w:val="21"/>
              </w:rPr>
              <w:t>基金简称</w:t>
            </w:r>
          </w:p>
        </w:tc>
        <w:tc>
          <w:tcPr>
            <w:tcW w:w="5038" w:type="dxa"/>
            <w:gridSpan w:val="2"/>
            <w:tcBorders>
              <w:top w:val="single" w:sz="4" w:space="0" w:color="auto"/>
            </w:tcBorders>
          </w:tcPr>
          <w:p w:rsidR="002570A9" w:rsidRDefault="00D92AB2">
            <w:pPr>
              <w:rPr>
                <w:rFonts w:asciiTheme="minorEastAsia" w:eastAsiaTheme="minorEastAsia" w:hAnsiTheme="minorEastAsia" w:cs="Arial"/>
                <w:szCs w:val="21"/>
              </w:rPr>
            </w:pPr>
            <w:r w:rsidRPr="00D92AB2">
              <w:rPr>
                <w:rFonts w:asciiTheme="minorEastAsia" w:eastAsiaTheme="minorEastAsia" w:hAnsiTheme="minorEastAsia" w:cs="Arial" w:hint="eastAsia"/>
                <w:szCs w:val="21"/>
              </w:rPr>
              <w:t>惠升和荣90天滚动持有债券</w:t>
            </w:r>
          </w:p>
        </w:tc>
      </w:tr>
      <w:tr w:rsidR="002570A9">
        <w:trPr>
          <w:trHeight w:val="20"/>
          <w:jc w:val="center"/>
        </w:trPr>
        <w:tc>
          <w:tcPr>
            <w:tcW w:w="3020" w:type="dxa"/>
          </w:tcPr>
          <w:p w:rsidR="002570A9" w:rsidRDefault="007E0063">
            <w:pPr>
              <w:rPr>
                <w:rFonts w:asciiTheme="minorEastAsia" w:eastAsiaTheme="minorEastAsia" w:hAnsiTheme="minorEastAsia" w:cs="Arial"/>
                <w:szCs w:val="21"/>
              </w:rPr>
            </w:pPr>
            <w:r>
              <w:rPr>
                <w:rFonts w:asciiTheme="minorEastAsia" w:eastAsiaTheme="minorEastAsia" w:hAnsiTheme="minorEastAsia" w:cs="Arial"/>
                <w:szCs w:val="21"/>
              </w:rPr>
              <w:t>基金</w:t>
            </w:r>
            <w:r>
              <w:rPr>
                <w:rFonts w:asciiTheme="minorEastAsia" w:eastAsiaTheme="minorEastAsia" w:hAnsiTheme="minorEastAsia" w:cs="Arial" w:hint="eastAsia"/>
                <w:szCs w:val="21"/>
              </w:rPr>
              <w:t>主</w:t>
            </w:r>
            <w:r>
              <w:rPr>
                <w:rFonts w:asciiTheme="minorEastAsia" w:eastAsiaTheme="minorEastAsia" w:hAnsiTheme="minorEastAsia" w:cs="Arial"/>
                <w:szCs w:val="21"/>
              </w:rPr>
              <w:t>代码</w:t>
            </w:r>
          </w:p>
        </w:tc>
        <w:tc>
          <w:tcPr>
            <w:tcW w:w="5038" w:type="dxa"/>
            <w:gridSpan w:val="2"/>
          </w:tcPr>
          <w:p w:rsidR="002570A9" w:rsidRDefault="00D92AB2">
            <w:pPr>
              <w:rPr>
                <w:rFonts w:asciiTheme="minorEastAsia" w:eastAsiaTheme="minorEastAsia" w:hAnsiTheme="minorEastAsia" w:cs="Arial"/>
                <w:szCs w:val="21"/>
              </w:rPr>
            </w:pPr>
            <w:r>
              <w:rPr>
                <w:rFonts w:asciiTheme="minorEastAsia" w:eastAsiaTheme="minorEastAsia" w:hAnsiTheme="minorEastAsia" w:cs="Arial" w:hint="eastAsia"/>
                <w:szCs w:val="21"/>
              </w:rPr>
              <w:t>022313</w:t>
            </w:r>
          </w:p>
        </w:tc>
      </w:tr>
      <w:tr w:rsidR="002570A9">
        <w:trPr>
          <w:trHeight w:val="20"/>
          <w:jc w:val="center"/>
        </w:trPr>
        <w:tc>
          <w:tcPr>
            <w:tcW w:w="3020" w:type="dxa"/>
          </w:tcPr>
          <w:p w:rsidR="002570A9" w:rsidRDefault="007E0063">
            <w:pPr>
              <w:rPr>
                <w:rFonts w:asciiTheme="minorEastAsia" w:eastAsiaTheme="minorEastAsia" w:hAnsiTheme="minorEastAsia" w:cs="Arial"/>
                <w:szCs w:val="21"/>
              </w:rPr>
            </w:pPr>
            <w:r>
              <w:rPr>
                <w:rFonts w:asciiTheme="minorEastAsia" w:eastAsiaTheme="minorEastAsia" w:hAnsiTheme="minorEastAsia" w:cs="Arial"/>
                <w:szCs w:val="21"/>
              </w:rPr>
              <w:t>基金运作方式</w:t>
            </w:r>
          </w:p>
        </w:tc>
        <w:tc>
          <w:tcPr>
            <w:tcW w:w="5038" w:type="dxa"/>
            <w:gridSpan w:val="2"/>
          </w:tcPr>
          <w:p w:rsidR="002570A9" w:rsidRDefault="007E0063">
            <w:pPr>
              <w:rPr>
                <w:rFonts w:asciiTheme="minorEastAsia" w:eastAsiaTheme="minorEastAsia" w:hAnsiTheme="minorEastAsia" w:cs="Arial"/>
                <w:szCs w:val="21"/>
              </w:rPr>
            </w:pPr>
            <w:r>
              <w:rPr>
                <w:rFonts w:asciiTheme="minorEastAsia" w:eastAsiaTheme="minorEastAsia" w:hAnsiTheme="minorEastAsia" w:cs="Arial"/>
                <w:szCs w:val="21"/>
              </w:rPr>
              <w:t>契约型开放式</w:t>
            </w:r>
          </w:p>
        </w:tc>
      </w:tr>
      <w:tr w:rsidR="002570A9">
        <w:trPr>
          <w:trHeight w:val="20"/>
          <w:jc w:val="center"/>
        </w:trPr>
        <w:tc>
          <w:tcPr>
            <w:tcW w:w="3020" w:type="dxa"/>
          </w:tcPr>
          <w:p w:rsidR="002570A9" w:rsidRDefault="007E0063">
            <w:pPr>
              <w:rPr>
                <w:rFonts w:asciiTheme="minorEastAsia" w:eastAsiaTheme="minorEastAsia" w:hAnsiTheme="minorEastAsia" w:cs="Arial"/>
                <w:szCs w:val="21"/>
              </w:rPr>
            </w:pPr>
            <w:r>
              <w:rPr>
                <w:rFonts w:asciiTheme="minorEastAsia" w:eastAsiaTheme="minorEastAsia" w:hAnsiTheme="minorEastAsia" w:cs="Arial"/>
                <w:szCs w:val="21"/>
              </w:rPr>
              <w:t>基金合同生效日</w:t>
            </w:r>
          </w:p>
        </w:tc>
        <w:tc>
          <w:tcPr>
            <w:tcW w:w="5038" w:type="dxa"/>
            <w:gridSpan w:val="2"/>
          </w:tcPr>
          <w:p w:rsidR="002570A9" w:rsidRDefault="007E0063">
            <w:pPr>
              <w:rPr>
                <w:rFonts w:asciiTheme="minorEastAsia" w:eastAsiaTheme="minorEastAsia" w:hAnsiTheme="minorEastAsia" w:cs="Arial"/>
                <w:szCs w:val="21"/>
              </w:rPr>
            </w:pPr>
            <w:r>
              <w:rPr>
                <w:rFonts w:asciiTheme="minorEastAsia" w:eastAsiaTheme="minorEastAsia" w:hAnsiTheme="minorEastAsia" w:cs="Arial" w:hint="eastAsia"/>
                <w:color w:val="000000"/>
                <w:szCs w:val="21"/>
              </w:rPr>
              <w:t>20</w:t>
            </w:r>
            <w:r>
              <w:rPr>
                <w:rFonts w:asciiTheme="minorEastAsia" w:eastAsiaTheme="minorEastAsia" w:hAnsiTheme="minorEastAsia" w:cs="Arial"/>
                <w:color w:val="000000"/>
                <w:szCs w:val="21"/>
              </w:rPr>
              <w:t>2</w:t>
            </w:r>
            <w:r w:rsidR="00D92AB2">
              <w:rPr>
                <w:rFonts w:asciiTheme="minorEastAsia" w:eastAsiaTheme="minorEastAsia" w:hAnsiTheme="minorEastAsia" w:cs="Arial" w:hint="eastAsia"/>
                <w:color w:val="000000"/>
                <w:szCs w:val="21"/>
              </w:rPr>
              <w:t>5</w:t>
            </w:r>
            <w:r>
              <w:rPr>
                <w:rFonts w:asciiTheme="minorEastAsia" w:eastAsiaTheme="minorEastAsia" w:hAnsiTheme="minorEastAsia" w:cs="Arial" w:hint="eastAsia"/>
                <w:color w:val="000000"/>
                <w:szCs w:val="21"/>
              </w:rPr>
              <w:t>年</w:t>
            </w:r>
            <w:r w:rsidR="00D92AB2">
              <w:rPr>
                <w:rFonts w:asciiTheme="minorEastAsia" w:eastAsiaTheme="minorEastAsia" w:hAnsiTheme="minorEastAsia" w:cs="Arial" w:hint="eastAsia"/>
                <w:color w:val="000000"/>
                <w:szCs w:val="21"/>
              </w:rPr>
              <w:t>3</w:t>
            </w:r>
            <w:r>
              <w:rPr>
                <w:rFonts w:asciiTheme="minorEastAsia" w:eastAsiaTheme="minorEastAsia" w:hAnsiTheme="minorEastAsia" w:cs="Arial" w:hint="eastAsia"/>
                <w:color w:val="000000"/>
                <w:szCs w:val="21"/>
              </w:rPr>
              <w:t>月</w:t>
            </w:r>
            <w:r w:rsidR="00D92AB2">
              <w:rPr>
                <w:rFonts w:asciiTheme="minorEastAsia" w:eastAsiaTheme="minorEastAsia" w:hAnsiTheme="minorEastAsia" w:cs="Arial" w:hint="eastAsia"/>
                <w:color w:val="000000"/>
                <w:szCs w:val="21"/>
              </w:rPr>
              <w:t>18</w:t>
            </w:r>
            <w:r>
              <w:rPr>
                <w:rFonts w:asciiTheme="minorEastAsia" w:eastAsiaTheme="minorEastAsia" w:hAnsiTheme="minorEastAsia" w:cs="Arial" w:hint="eastAsia"/>
                <w:color w:val="000000"/>
                <w:szCs w:val="21"/>
              </w:rPr>
              <w:t>日</w:t>
            </w:r>
          </w:p>
        </w:tc>
      </w:tr>
      <w:tr w:rsidR="002570A9">
        <w:trPr>
          <w:trHeight w:val="20"/>
          <w:jc w:val="center"/>
        </w:trPr>
        <w:tc>
          <w:tcPr>
            <w:tcW w:w="3020" w:type="dxa"/>
          </w:tcPr>
          <w:p w:rsidR="002570A9" w:rsidRDefault="007E0063">
            <w:pPr>
              <w:rPr>
                <w:rFonts w:asciiTheme="minorEastAsia" w:eastAsiaTheme="minorEastAsia" w:hAnsiTheme="minorEastAsia" w:cs="Arial"/>
                <w:szCs w:val="21"/>
              </w:rPr>
            </w:pPr>
            <w:r>
              <w:rPr>
                <w:rFonts w:asciiTheme="minorEastAsia" w:eastAsiaTheme="minorEastAsia" w:hAnsiTheme="minorEastAsia" w:cs="Arial"/>
                <w:szCs w:val="21"/>
              </w:rPr>
              <w:t>基金管理人名称</w:t>
            </w:r>
          </w:p>
        </w:tc>
        <w:tc>
          <w:tcPr>
            <w:tcW w:w="5038" w:type="dxa"/>
            <w:gridSpan w:val="2"/>
          </w:tcPr>
          <w:p w:rsidR="002570A9" w:rsidRDefault="007E0063">
            <w:pPr>
              <w:rPr>
                <w:rFonts w:asciiTheme="minorEastAsia" w:eastAsiaTheme="minorEastAsia" w:hAnsiTheme="minorEastAsia" w:cs="Arial"/>
                <w:szCs w:val="21"/>
              </w:rPr>
            </w:pPr>
            <w:r>
              <w:rPr>
                <w:rFonts w:asciiTheme="minorEastAsia" w:eastAsiaTheme="minorEastAsia" w:hAnsiTheme="minorEastAsia" w:cs="Arial" w:hint="eastAsia"/>
                <w:szCs w:val="21"/>
              </w:rPr>
              <w:t>惠升</w:t>
            </w:r>
            <w:r>
              <w:rPr>
                <w:rFonts w:asciiTheme="minorEastAsia" w:eastAsiaTheme="minorEastAsia" w:hAnsiTheme="minorEastAsia" w:cs="Arial"/>
                <w:szCs w:val="21"/>
              </w:rPr>
              <w:t>基金管理有限</w:t>
            </w:r>
            <w:r>
              <w:rPr>
                <w:rFonts w:asciiTheme="minorEastAsia" w:eastAsiaTheme="minorEastAsia" w:hAnsiTheme="minorEastAsia" w:cs="Arial" w:hint="eastAsia"/>
                <w:szCs w:val="21"/>
              </w:rPr>
              <w:t>责任</w:t>
            </w:r>
            <w:r>
              <w:rPr>
                <w:rFonts w:asciiTheme="minorEastAsia" w:eastAsiaTheme="minorEastAsia" w:hAnsiTheme="minorEastAsia" w:cs="Arial"/>
                <w:szCs w:val="21"/>
              </w:rPr>
              <w:t>公司</w:t>
            </w:r>
          </w:p>
        </w:tc>
      </w:tr>
      <w:tr w:rsidR="002570A9">
        <w:trPr>
          <w:trHeight w:val="20"/>
          <w:jc w:val="center"/>
        </w:trPr>
        <w:tc>
          <w:tcPr>
            <w:tcW w:w="3020" w:type="dxa"/>
          </w:tcPr>
          <w:p w:rsidR="002570A9" w:rsidRDefault="007E0063">
            <w:pPr>
              <w:rPr>
                <w:rFonts w:asciiTheme="minorEastAsia" w:eastAsiaTheme="minorEastAsia" w:hAnsiTheme="minorEastAsia" w:cs="Arial"/>
                <w:szCs w:val="21"/>
              </w:rPr>
            </w:pPr>
            <w:r>
              <w:rPr>
                <w:rFonts w:asciiTheme="minorEastAsia" w:eastAsiaTheme="minorEastAsia" w:hAnsiTheme="minorEastAsia" w:cs="Arial"/>
                <w:szCs w:val="21"/>
              </w:rPr>
              <w:t>基金托管人名称</w:t>
            </w:r>
          </w:p>
        </w:tc>
        <w:tc>
          <w:tcPr>
            <w:tcW w:w="5038" w:type="dxa"/>
            <w:gridSpan w:val="2"/>
          </w:tcPr>
          <w:p w:rsidR="002570A9" w:rsidRDefault="00D92AB2">
            <w:pPr>
              <w:rPr>
                <w:rFonts w:asciiTheme="minorEastAsia" w:eastAsiaTheme="minorEastAsia" w:hAnsiTheme="minorEastAsia" w:cs="Arial"/>
                <w:szCs w:val="21"/>
              </w:rPr>
            </w:pPr>
            <w:r w:rsidRPr="00D92AB2">
              <w:rPr>
                <w:rFonts w:asciiTheme="minorEastAsia" w:eastAsiaTheme="minorEastAsia" w:hAnsiTheme="minorEastAsia" w:cs="Arial" w:hint="eastAsia"/>
                <w:szCs w:val="21"/>
              </w:rPr>
              <w:t>上海浦东发展银行股份有限公司</w:t>
            </w:r>
          </w:p>
        </w:tc>
      </w:tr>
      <w:tr w:rsidR="002570A9">
        <w:trPr>
          <w:trHeight w:val="20"/>
          <w:jc w:val="center"/>
        </w:trPr>
        <w:tc>
          <w:tcPr>
            <w:tcW w:w="3020" w:type="dxa"/>
          </w:tcPr>
          <w:p w:rsidR="002570A9" w:rsidRDefault="007E0063">
            <w:pPr>
              <w:rPr>
                <w:rFonts w:asciiTheme="minorEastAsia" w:eastAsiaTheme="minorEastAsia" w:hAnsiTheme="minorEastAsia" w:cs="Arial"/>
                <w:szCs w:val="21"/>
              </w:rPr>
            </w:pPr>
            <w:r>
              <w:rPr>
                <w:rFonts w:asciiTheme="minorEastAsia" w:eastAsiaTheme="minorEastAsia" w:hAnsiTheme="minorEastAsia" w:cs="Arial"/>
                <w:szCs w:val="21"/>
              </w:rPr>
              <w:t>基金注册登记机构名称</w:t>
            </w:r>
          </w:p>
        </w:tc>
        <w:tc>
          <w:tcPr>
            <w:tcW w:w="5038" w:type="dxa"/>
            <w:gridSpan w:val="2"/>
          </w:tcPr>
          <w:p w:rsidR="002570A9" w:rsidRDefault="007E0063">
            <w:pPr>
              <w:rPr>
                <w:rFonts w:asciiTheme="minorEastAsia" w:eastAsiaTheme="minorEastAsia" w:hAnsiTheme="minorEastAsia" w:cs="Arial"/>
                <w:szCs w:val="21"/>
              </w:rPr>
            </w:pPr>
            <w:r>
              <w:rPr>
                <w:rFonts w:asciiTheme="minorEastAsia" w:eastAsiaTheme="minorEastAsia" w:hAnsiTheme="minorEastAsia" w:cs="Arial" w:hint="eastAsia"/>
                <w:szCs w:val="21"/>
              </w:rPr>
              <w:t>惠升</w:t>
            </w:r>
            <w:r>
              <w:rPr>
                <w:rFonts w:asciiTheme="minorEastAsia" w:eastAsiaTheme="minorEastAsia" w:hAnsiTheme="minorEastAsia" w:cs="Arial"/>
                <w:szCs w:val="21"/>
              </w:rPr>
              <w:t>基金管理有限</w:t>
            </w:r>
            <w:r>
              <w:rPr>
                <w:rFonts w:asciiTheme="minorEastAsia" w:eastAsiaTheme="minorEastAsia" w:hAnsiTheme="minorEastAsia" w:cs="Arial" w:hint="eastAsia"/>
                <w:szCs w:val="21"/>
              </w:rPr>
              <w:t>责任</w:t>
            </w:r>
            <w:r>
              <w:rPr>
                <w:rFonts w:asciiTheme="minorEastAsia" w:eastAsiaTheme="minorEastAsia" w:hAnsiTheme="minorEastAsia" w:cs="Arial"/>
                <w:szCs w:val="21"/>
              </w:rPr>
              <w:t>公司</w:t>
            </w:r>
          </w:p>
        </w:tc>
      </w:tr>
      <w:tr w:rsidR="002570A9">
        <w:trPr>
          <w:trHeight w:val="20"/>
          <w:jc w:val="center"/>
        </w:trPr>
        <w:tc>
          <w:tcPr>
            <w:tcW w:w="3020" w:type="dxa"/>
          </w:tcPr>
          <w:p w:rsidR="002570A9" w:rsidRDefault="007E0063">
            <w:pPr>
              <w:rPr>
                <w:rFonts w:asciiTheme="minorEastAsia" w:eastAsiaTheme="minorEastAsia" w:hAnsiTheme="minorEastAsia" w:cs="Arial"/>
                <w:szCs w:val="21"/>
              </w:rPr>
            </w:pPr>
            <w:r>
              <w:rPr>
                <w:rFonts w:asciiTheme="minorEastAsia" w:eastAsiaTheme="minorEastAsia" w:hAnsiTheme="minorEastAsia" w:cs="Arial"/>
                <w:szCs w:val="21"/>
              </w:rPr>
              <w:t>公告依据</w:t>
            </w:r>
          </w:p>
        </w:tc>
        <w:tc>
          <w:tcPr>
            <w:tcW w:w="5038" w:type="dxa"/>
            <w:gridSpan w:val="2"/>
          </w:tcPr>
          <w:p w:rsidR="002570A9" w:rsidRDefault="007E0063">
            <w:pPr>
              <w:rPr>
                <w:rFonts w:asciiTheme="minorEastAsia" w:eastAsiaTheme="minorEastAsia" w:hAnsiTheme="minorEastAsia" w:cs="Arial"/>
                <w:szCs w:val="21"/>
              </w:rPr>
            </w:pPr>
            <w:r>
              <w:rPr>
                <w:rFonts w:asciiTheme="minorEastAsia" w:eastAsiaTheme="minorEastAsia" w:hAnsiTheme="minorEastAsia" w:cs="Arial" w:hint="eastAsia"/>
                <w:szCs w:val="21"/>
              </w:rPr>
              <w:t>《中华人民共和国证券投资基金法》、《公开募集证券投资基金信息披露管理办法》、《公开募集证券投资基金运作管理办法》以及</w:t>
            </w:r>
            <w:r>
              <w:rPr>
                <w:rFonts w:asciiTheme="minorEastAsia" w:eastAsiaTheme="minorEastAsia" w:hAnsiTheme="minorEastAsia" w:cs="Arial"/>
                <w:szCs w:val="21"/>
              </w:rPr>
              <w:t>《</w:t>
            </w:r>
            <w:r w:rsidR="00D92AB2" w:rsidRPr="00D92AB2">
              <w:rPr>
                <w:rFonts w:asciiTheme="minorEastAsia" w:eastAsiaTheme="minorEastAsia" w:hAnsiTheme="minorEastAsia" w:cs="Arial" w:hint="eastAsia"/>
                <w:szCs w:val="21"/>
              </w:rPr>
              <w:t>惠升和荣90天滚动持有</w:t>
            </w:r>
            <w:r>
              <w:rPr>
                <w:rFonts w:asciiTheme="minorEastAsia" w:eastAsiaTheme="minorEastAsia" w:hAnsiTheme="minorEastAsia" w:cs="Arial" w:hint="eastAsia"/>
                <w:szCs w:val="21"/>
              </w:rPr>
              <w:t>债券型证券投资基金</w:t>
            </w:r>
            <w:r>
              <w:rPr>
                <w:rFonts w:asciiTheme="minorEastAsia" w:eastAsiaTheme="minorEastAsia" w:hAnsiTheme="minorEastAsia" w:cs="Arial"/>
                <w:szCs w:val="21"/>
              </w:rPr>
              <w:t>基金合同》、《</w:t>
            </w:r>
            <w:r w:rsidR="00D92AB2" w:rsidRPr="00D92AB2">
              <w:rPr>
                <w:rFonts w:asciiTheme="minorEastAsia" w:eastAsiaTheme="minorEastAsia" w:hAnsiTheme="minorEastAsia" w:cs="Arial" w:hint="eastAsia"/>
                <w:szCs w:val="21"/>
              </w:rPr>
              <w:t>惠升和荣90天滚动持有</w:t>
            </w:r>
            <w:r>
              <w:rPr>
                <w:rFonts w:asciiTheme="minorEastAsia" w:eastAsiaTheme="minorEastAsia" w:hAnsiTheme="minorEastAsia" w:cs="Arial" w:hint="eastAsia"/>
                <w:szCs w:val="21"/>
              </w:rPr>
              <w:t>债券型证券投资基金</w:t>
            </w:r>
            <w:r>
              <w:rPr>
                <w:rFonts w:asciiTheme="minorEastAsia" w:eastAsiaTheme="minorEastAsia" w:hAnsiTheme="minorEastAsia" w:cs="Arial"/>
                <w:szCs w:val="21"/>
              </w:rPr>
              <w:t>招募说明书》等</w:t>
            </w:r>
          </w:p>
        </w:tc>
      </w:tr>
      <w:tr w:rsidR="002570A9">
        <w:trPr>
          <w:trHeight w:val="20"/>
          <w:jc w:val="center"/>
        </w:trPr>
        <w:tc>
          <w:tcPr>
            <w:tcW w:w="3020" w:type="dxa"/>
          </w:tcPr>
          <w:p w:rsidR="002570A9" w:rsidRDefault="007E0063">
            <w:pPr>
              <w:rPr>
                <w:rFonts w:asciiTheme="minorEastAsia" w:eastAsiaTheme="minorEastAsia" w:hAnsiTheme="minorEastAsia" w:cs="Arial"/>
                <w:szCs w:val="21"/>
              </w:rPr>
            </w:pPr>
            <w:r>
              <w:rPr>
                <w:rFonts w:asciiTheme="minorEastAsia" w:eastAsiaTheme="minorEastAsia" w:hAnsiTheme="minorEastAsia" w:cs="Arial"/>
                <w:szCs w:val="21"/>
              </w:rPr>
              <w:t>申购起始日</w:t>
            </w:r>
          </w:p>
        </w:tc>
        <w:tc>
          <w:tcPr>
            <w:tcW w:w="5038" w:type="dxa"/>
            <w:gridSpan w:val="2"/>
          </w:tcPr>
          <w:p w:rsidR="002570A9" w:rsidRPr="00D5052A" w:rsidRDefault="007E0063">
            <w:pPr>
              <w:rPr>
                <w:rFonts w:asciiTheme="minorEastAsia" w:eastAsiaTheme="minorEastAsia" w:hAnsiTheme="minorEastAsia" w:cs="Arial"/>
                <w:szCs w:val="21"/>
              </w:rPr>
            </w:pPr>
            <w:r w:rsidRPr="00D5052A">
              <w:rPr>
                <w:rFonts w:asciiTheme="minorEastAsia" w:eastAsiaTheme="minorEastAsia" w:hAnsiTheme="minorEastAsia" w:cs="Arial" w:hint="eastAsia"/>
                <w:color w:val="000000"/>
                <w:szCs w:val="21"/>
              </w:rPr>
              <w:t>20</w:t>
            </w:r>
            <w:r w:rsidRPr="00D5052A">
              <w:rPr>
                <w:rFonts w:asciiTheme="minorEastAsia" w:eastAsiaTheme="minorEastAsia" w:hAnsiTheme="minorEastAsia" w:cs="Arial"/>
                <w:color w:val="000000"/>
                <w:szCs w:val="21"/>
              </w:rPr>
              <w:t>2</w:t>
            </w:r>
            <w:r w:rsidR="00D92AB2" w:rsidRPr="00D5052A">
              <w:rPr>
                <w:rFonts w:asciiTheme="minorEastAsia" w:eastAsiaTheme="minorEastAsia" w:hAnsiTheme="minorEastAsia" w:cs="Arial" w:hint="eastAsia"/>
                <w:color w:val="000000"/>
                <w:szCs w:val="21"/>
              </w:rPr>
              <w:t>5</w:t>
            </w:r>
            <w:r w:rsidRPr="00D5052A">
              <w:rPr>
                <w:rFonts w:asciiTheme="minorEastAsia" w:eastAsiaTheme="minorEastAsia" w:hAnsiTheme="minorEastAsia" w:cs="Arial" w:hint="eastAsia"/>
                <w:color w:val="000000"/>
                <w:szCs w:val="21"/>
              </w:rPr>
              <w:t>年</w:t>
            </w:r>
            <w:r w:rsidR="00D92AB2" w:rsidRPr="00D5052A">
              <w:rPr>
                <w:rFonts w:asciiTheme="minorEastAsia" w:eastAsiaTheme="minorEastAsia" w:hAnsiTheme="minorEastAsia" w:cs="Arial" w:hint="eastAsia"/>
                <w:color w:val="000000"/>
                <w:szCs w:val="21"/>
              </w:rPr>
              <w:t>4</w:t>
            </w:r>
            <w:r w:rsidRPr="00D5052A">
              <w:rPr>
                <w:rFonts w:asciiTheme="minorEastAsia" w:eastAsiaTheme="minorEastAsia" w:hAnsiTheme="minorEastAsia" w:cs="Arial" w:hint="eastAsia"/>
                <w:color w:val="000000"/>
                <w:szCs w:val="21"/>
              </w:rPr>
              <w:t>月</w:t>
            </w:r>
            <w:r w:rsidR="00D92AB2" w:rsidRPr="00D5052A">
              <w:rPr>
                <w:rFonts w:asciiTheme="minorEastAsia" w:eastAsiaTheme="minorEastAsia" w:hAnsiTheme="minorEastAsia" w:cs="Arial" w:hint="eastAsia"/>
                <w:color w:val="000000"/>
                <w:szCs w:val="21"/>
              </w:rPr>
              <w:t>24</w:t>
            </w:r>
            <w:r w:rsidRPr="00D5052A">
              <w:rPr>
                <w:rFonts w:asciiTheme="minorEastAsia" w:eastAsiaTheme="minorEastAsia" w:hAnsiTheme="minorEastAsia" w:cs="Arial" w:hint="eastAsia"/>
                <w:color w:val="000000"/>
                <w:szCs w:val="21"/>
              </w:rPr>
              <w:t>日</w:t>
            </w:r>
          </w:p>
        </w:tc>
      </w:tr>
      <w:tr w:rsidR="002570A9">
        <w:trPr>
          <w:trHeight w:val="20"/>
          <w:jc w:val="center"/>
        </w:trPr>
        <w:tc>
          <w:tcPr>
            <w:tcW w:w="3020" w:type="dxa"/>
          </w:tcPr>
          <w:p w:rsidR="002570A9" w:rsidRDefault="007E0063">
            <w:pPr>
              <w:rPr>
                <w:rFonts w:asciiTheme="minorEastAsia" w:eastAsiaTheme="minorEastAsia" w:hAnsiTheme="minorEastAsia" w:cs="Arial"/>
                <w:szCs w:val="21"/>
              </w:rPr>
            </w:pPr>
            <w:r>
              <w:rPr>
                <w:rFonts w:asciiTheme="minorEastAsia" w:eastAsiaTheme="minorEastAsia" w:hAnsiTheme="minorEastAsia" w:cs="Arial"/>
                <w:szCs w:val="21"/>
              </w:rPr>
              <w:t>赎回起始日</w:t>
            </w:r>
          </w:p>
        </w:tc>
        <w:tc>
          <w:tcPr>
            <w:tcW w:w="5038" w:type="dxa"/>
            <w:gridSpan w:val="2"/>
          </w:tcPr>
          <w:p w:rsidR="002570A9" w:rsidRPr="00D5052A" w:rsidRDefault="007E0063">
            <w:pPr>
              <w:rPr>
                <w:rFonts w:asciiTheme="minorEastAsia" w:eastAsiaTheme="minorEastAsia" w:hAnsiTheme="minorEastAsia" w:cs="Arial"/>
                <w:szCs w:val="21"/>
              </w:rPr>
            </w:pPr>
            <w:r w:rsidRPr="00D5052A">
              <w:rPr>
                <w:rFonts w:asciiTheme="minorEastAsia" w:eastAsiaTheme="minorEastAsia" w:hAnsiTheme="minorEastAsia" w:cs="Arial" w:hint="eastAsia"/>
                <w:color w:val="000000"/>
                <w:szCs w:val="21"/>
              </w:rPr>
              <w:t>20</w:t>
            </w:r>
            <w:r w:rsidRPr="00D5052A">
              <w:rPr>
                <w:rFonts w:asciiTheme="minorEastAsia" w:eastAsiaTheme="minorEastAsia" w:hAnsiTheme="minorEastAsia" w:cs="Arial"/>
                <w:color w:val="000000"/>
                <w:szCs w:val="21"/>
              </w:rPr>
              <w:t>2</w:t>
            </w:r>
            <w:r w:rsidR="00D92AB2" w:rsidRPr="00D5052A">
              <w:rPr>
                <w:rFonts w:asciiTheme="minorEastAsia" w:eastAsiaTheme="minorEastAsia" w:hAnsiTheme="minorEastAsia" w:cs="Arial" w:hint="eastAsia"/>
                <w:color w:val="000000"/>
                <w:szCs w:val="21"/>
              </w:rPr>
              <w:t>5</w:t>
            </w:r>
            <w:r w:rsidRPr="00D5052A">
              <w:rPr>
                <w:rFonts w:asciiTheme="minorEastAsia" w:eastAsiaTheme="minorEastAsia" w:hAnsiTheme="minorEastAsia" w:cs="Arial" w:hint="eastAsia"/>
                <w:color w:val="000000"/>
                <w:szCs w:val="21"/>
              </w:rPr>
              <w:t>年</w:t>
            </w:r>
            <w:r w:rsidR="00D92AB2" w:rsidRPr="00D5052A">
              <w:rPr>
                <w:rFonts w:asciiTheme="minorEastAsia" w:eastAsiaTheme="minorEastAsia" w:hAnsiTheme="minorEastAsia" w:cs="Arial" w:hint="eastAsia"/>
                <w:color w:val="000000"/>
                <w:szCs w:val="21"/>
              </w:rPr>
              <w:t>6</w:t>
            </w:r>
            <w:r w:rsidRPr="00D5052A">
              <w:rPr>
                <w:rFonts w:asciiTheme="minorEastAsia" w:eastAsiaTheme="minorEastAsia" w:hAnsiTheme="minorEastAsia" w:cs="Arial" w:hint="eastAsia"/>
                <w:color w:val="000000"/>
                <w:szCs w:val="21"/>
              </w:rPr>
              <w:t>月</w:t>
            </w:r>
            <w:r w:rsidRPr="00D5052A">
              <w:rPr>
                <w:rFonts w:asciiTheme="minorEastAsia" w:eastAsiaTheme="minorEastAsia" w:hAnsiTheme="minorEastAsia" w:cs="Arial"/>
                <w:color w:val="000000"/>
                <w:szCs w:val="21"/>
              </w:rPr>
              <w:t>1</w:t>
            </w:r>
            <w:r w:rsidR="00D92AB2" w:rsidRPr="00D5052A">
              <w:rPr>
                <w:rFonts w:asciiTheme="minorEastAsia" w:eastAsiaTheme="minorEastAsia" w:hAnsiTheme="minorEastAsia" w:cs="Arial" w:hint="eastAsia"/>
                <w:color w:val="000000"/>
                <w:szCs w:val="21"/>
              </w:rPr>
              <w:t>6</w:t>
            </w:r>
            <w:r w:rsidRPr="00D5052A">
              <w:rPr>
                <w:rFonts w:asciiTheme="minorEastAsia" w:eastAsiaTheme="minorEastAsia" w:hAnsiTheme="minorEastAsia" w:cs="Arial" w:hint="eastAsia"/>
                <w:color w:val="000000"/>
                <w:szCs w:val="21"/>
              </w:rPr>
              <w:t>日</w:t>
            </w:r>
          </w:p>
        </w:tc>
      </w:tr>
      <w:tr w:rsidR="00D92AB2">
        <w:trPr>
          <w:trHeight w:val="20"/>
          <w:jc w:val="center"/>
        </w:trPr>
        <w:tc>
          <w:tcPr>
            <w:tcW w:w="3020" w:type="dxa"/>
          </w:tcPr>
          <w:p w:rsidR="00D92AB2" w:rsidRDefault="00D92AB2" w:rsidP="00D92AB2">
            <w:pPr>
              <w:rPr>
                <w:rFonts w:asciiTheme="minorEastAsia" w:eastAsiaTheme="minorEastAsia" w:hAnsiTheme="minorEastAsia" w:cs="Arial"/>
                <w:szCs w:val="21"/>
              </w:rPr>
            </w:pPr>
            <w:r>
              <w:rPr>
                <w:rFonts w:asciiTheme="minorEastAsia" w:eastAsiaTheme="minorEastAsia" w:hAnsiTheme="minorEastAsia" w:cs="Arial" w:hint="eastAsia"/>
                <w:szCs w:val="21"/>
              </w:rPr>
              <w:t>转换转入起始日</w:t>
            </w:r>
          </w:p>
        </w:tc>
        <w:tc>
          <w:tcPr>
            <w:tcW w:w="5038" w:type="dxa"/>
            <w:gridSpan w:val="2"/>
          </w:tcPr>
          <w:p w:rsidR="00D92AB2" w:rsidRPr="00D5052A" w:rsidRDefault="00D92AB2" w:rsidP="00D92AB2">
            <w:pPr>
              <w:rPr>
                <w:rFonts w:asciiTheme="minorEastAsia" w:eastAsiaTheme="minorEastAsia" w:hAnsiTheme="minorEastAsia" w:cs="Arial"/>
                <w:szCs w:val="21"/>
              </w:rPr>
            </w:pPr>
            <w:r w:rsidRPr="00D5052A">
              <w:rPr>
                <w:rFonts w:asciiTheme="minorEastAsia" w:eastAsiaTheme="minorEastAsia" w:hAnsiTheme="minorEastAsia" w:cs="Arial" w:hint="eastAsia"/>
                <w:color w:val="000000"/>
                <w:szCs w:val="21"/>
              </w:rPr>
              <w:t>20</w:t>
            </w:r>
            <w:r w:rsidRPr="00D5052A">
              <w:rPr>
                <w:rFonts w:asciiTheme="minorEastAsia" w:eastAsiaTheme="minorEastAsia" w:hAnsiTheme="minorEastAsia" w:cs="Arial"/>
                <w:color w:val="000000"/>
                <w:szCs w:val="21"/>
              </w:rPr>
              <w:t>2</w:t>
            </w:r>
            <w:r w:rsidRPr="00D5052A">
              <w:rPr>
                <w:rFonts w:asciiTheme="minorEastAsia" w:eastAsiaTheme="minorEastAsia" w:hAnsiTheme="minorEastAsia" w:cs="Arial" w:hint="eastAsia"/>
                <w:color w:val="000000"/>
                <w:szCs w:val="21"/>
              </w:rPr>
              <w:t>5年4月24日</w:t>
            </w:r>
          </w:p>
        </w:tc>
      </w:tr>
      <w:tr w:rsidR="00D92AB2">
        <w:trPr>
          <w:trHeight w:val="20"/>
          <w:jc w:val="center"/>
        </w:trPr>
        <w:tc>
          <w:tcPr>
            <w:tcW w:w="3020" w:type="dxa"/>
          </w:tcPr>
          <w:p w:rsidR="00D92AB2" w:rsidRDefault="00D92AB2" w:rsidP="00D92AB2">
            <w:pPr>
              <w:rPr>
                <w:rFonts w:asciiTheme="minorEastAsia" w:eastAsiaTheme="minorEastAsia" w:hAnsiTheme="minorEastAsia" w:cs="Arial"/>
                <w:szCs w:val="21"/>
              </w:rPr>
            </w:pPr>
            <w:r>
              <w:rPr>
                <w:rFonts w:asciiTheme="minorEastAsia" w:eastAsiaTheme="minorEastAsia" w:hAnsiTheme="minorEastAsia" w:cs="Arial" w:hint="eastAsia"/>
                <w:szCs w:val="21"/>
              </w:rPr>
              <w:t>转换转出起始日</w:t>
            </w:r>
          </w:p>
        </w:tc>
        <w:tc>
          <w:tcPr>
            <w:tcW w:w="5038" w:type="dxa"/>
            <w:gridSpan w:val="2"/>
          </w:tcPr>
          <w:p w:rsidR="00D92AB2" w:rsidRPr="00D5052A" w:rsidRDefault="00D92AB2" w:rsidP="00D92AB2">
            <w:pPr>
              <w:rPr>
                <w:rFonts w:asciiTheme="minorEastAsia" w:eastAsiaTheme="minorEastAsia" w:hAnsiTheme="minorEastAsia" w:cs="Arial"/>
                <w:szCs w:val="21"/>
              </w:rPr>
            </w:pPr>
            <w:r w:rsidRPr="00D5052A">
              <w:rPr>
                <w:rFonts w:asciiTheme="minorEastAsia" w:eastAsiaTheme="minorEastAsia" w:hAnsiTheme="minorEastAsia" w:cs="Arial" w:hint="eastAsia"/>
                <w:color w:val="000000"/>
                <w:szCs w:val="21"/>
              </w:rPr>
              <w:t>20</w:t>
            </w:r>
            <w:r w:rsidRPr="00D5052A">
              <w:rPr>
                <w:rFonts w:asciiTheme="minorEastAsia" w:eastAsiaTheme="minorEastAsia" w:hAnsiTheme="minorEastAsia" w:cs="Arial"/>
                <w:color w:val="000000"/>
                <w:szCs w:val="21"/>
              </w:rPr>
              <w:t>2</w:t>
            </w:r>
            <w:r w:rsidRPr="00D5052A">
              <w:rPr>
                <w:rFonts w:asciiTheme="minorEastAsia" w:eastAsiaTheme="minorEastAsia" w:hAnsiTheme="minorEastAsia" w:cs="Arial" w:hint="eastAsia"/>
                <w:color w:val="000000"/>
                <w:szCs w:val="21"/>
              </w:rPr>
              <w:t>5年6月</w:t>
            </w:r>
            <w:r w:rsidRPr="00D5052A">
              <w:rPr>
                <w:rFonts w:asciiTheme="minorEastAsia" w:eastAsiaTheme="minorEastAsia" w:hAnsiTheme="minorEastAsia" w:cs="Arial"/>
                <w:color w:val="000000"/>
                <w:szCs w:val="21"/>
              </w:rPr>
              <w:t>1</w:t>
            </w:r>
            <w:r w:rsidRPr="00D5052A">
              <w:rPr>
                <w:rFonts w:asciiTheme="minorEastAsia" w:eastAsiaTheme="minorEastAsia" w:hAnsiTheme="minorEastAsia" w:cs="Arial" w:hint="eastAsia"/>
                <w:color w:val="000000"/>
                <w:szCs w:val="21"/>
              </w:rPr>
              <w:t>6日</w:t>
            </w:r>
          </w:p>
        </w:tc>
      </w:tr>
      <w:tr w:rsidR="00D92AB2">
        <w:trPr>
          <w:trHeight w:val="20"/>
          <w:jc w:val="center"/>
        </w:trPr>
        <w:tc>
          <w:tcPr>
            <w:tcW w:w="3020" w:type="dxa"/>
          </w:tcPr>
          <w:p w:rsidR="00D92AB2" w:rsidRDefault="00D92AB2" w:rsidP="00D92AB2">
            <w:pPr>
              <w:rPr>
                <w:rFonts w:asciiTheme="minorEastAsia" w:eastAsiaTheme="minorEastAsia" w:hAnsiTheme="minorEastAsia" w:cs="Arial"/>
                <w:szCs w:val="21"/>
              </w:rPr>
            </w:pPr>
            <w:r>
              <w:rPr>
                <w:rFonts w:asciiTheme="minorEastAsia" w:eastAsiaTheme="minorEastAsia" w:hAnsiTheme="minorEastAsia" w:cs="Arial" w:hint="eastAsia"/>
                <w:szCs w:val="21"/>
              </w:rPr>
              <w:t>定期定额投资起始日</w:t>
            </w:r>
          </w:p>
        </w:tc>
        <w:tc>
          <w:tcPr>
            <w:tcW w:w="5038" w:type="dxa"/>
            <w:gridSpan w:val="2"/>
          </w:tcPr>
          <w:p w:rsidR="00D92AB2" w:rsidRPr="00D5052A" w:rsidRDefault="00D92AB2" w:rsidP="00D92AB2">
            <w:pPr>
              <w:rPr>
                <w:rFonts w:asciiTheme="minorEastAsia" w:eastAsiaTheme="minorEastAsia" w:hAnsiTheme="minorEastAsia" w:cs="Arial"/>
                <w:szCs w:val="21"/>
              </w:rPr>
            </w:pPr>
            <w:r w:rsidRPr="00D5052A">
              <w:rPr>
                <w:rFonts w:asciiTheme="minorEastAsia" w:eastAsiaTheme="minorEastAsia" w:hAnsiTheme="minorEastAsia" w:cs="Arial" w:hint="eastAsia"/>
                <w:color w:val="000000"/>
                <w:szCs w:val="21"/>
              </w:rPr>
              <w:t>20</w:t>
            </w:r>
            <w:r w:rsidRPr="00D5052A">
              <w:rPr>
                <w:rFonts w:asciiTheme="minorEastAsia" w:eastAsiaTheme="minorEastAsia" w:hAnsiTheme="minorEastAsia" w:cs="Arial"/>
                <w:color w:val="000000"/>
                <w:szCs w:val="21"/>
              </w:rPr>
              <w:t>2</w:t>
            </w:r>
            <w:r w:rsidRPr="00D5052A">
              <w:rPr>
                <w:rFonts w:asciiTheme="minorEastAsia" w:eastAsiaTheme="minorEastAsia" w:hAnsiTheme="minorEastAsia" w:cs="Arial" w:hint="eastAsia"/>
                <w:color w:val="000000"/>
                <w:szCs w:val="21"/>
              </w:rPr>
              <w:t>5年4月24日</w:t>
            </w:r>
          </w:p>
        </w:tc>
      </w:tr>
      <w:tr w:rsidR="002570A9">
        <w:trPr>
          <w:trHeight w:val="20"/>
          <w:jc w:val="center"/>
        </w:trPr>
        <w:tc>
          <w:tcPr>
            <w:tcW w:w="3020" w:type="dxa"/>
          </w:tcPr>
          <w:p w:rsidR="002570A9" w:rsidRDefault="007E0063">
            <w:pPr>
              <w:rPr>
                <w:rFonts w:asciiTheme="minorEastAsia" w:eastAsiaTheme="minorEastAsia" w:hAnsiTheme="minorEastAsia" w:cs="Arial"/>
                <w:szCs w:val="21"/>
              </w:rPr>
            </w:pPr>
            <w:r>
              <w:rPr>
                <w:rFonts w:asciiTheme="minorEastAsia" w:eastAsiaTheme="minorEastAsia" w:hAnsiTheme="minorEastAsia" w:cs="Arial" w:hint="eastAsia"/>
                <w:szCs w:val="21"/>
              </w:rPr>
              <w:t>各基金份额类别的简称</w:t>
            </w:r>
          </w:p>
        </w:tc>
        <w:tc>
          <w:tcPr>
            <w:tcW w:w="2519" w:type="dxa"/>
          </w:tcPr>
          <w:p w:rsidR="002570A9" w:rsidRDefault="00AD0442">
            <w:pPr>
              <w:rPr>
                <w:rFonts w:asciiTheme="minorEastAsia" w:eastAsiaTheme="minorEastAsia" w:hAnsiTheme="minorEastAsia" w:cs="Arial"/>
                <w:szCs w:val="21"/>
              </w:rPr>
            </w:pPr>
            <w:r w:rsidRPr="00AD0442">
              <w:rPr>
                <w:rFonts w:asciiTheme="minorEastAsia" w:eastAsiaTheme="minorEastAsia" w:hAnsiTheme="minorEastAsia" w:cs="Arial" w:hint="eastAsia"/>
                <w:szCs w:val="21"/>
              </w:rPr>
              <w:t>惠升和荣90天滚动持有债券</w:t>
            </w:r>
            <w:r>
              <w:rPr>
                <w:rFonts w:asciiTheme="minorEastAsia" w:eastAsiaTheme="minorEastAsia" w:hAnsiTheme="minorEastAsia" w:cs="Arial" w:hint="eastAsia"/>
                <w:szCs w:val="21"/>
              </w:rPr>
              <w:t>A</w:t>
            </w:r>
          </w:p>
        </w:tc>
        <w:tc>
          <w:tcPr>
            <w:tcW w:w="2519" w:type="dxa"/>
          </w:tcPr>
          <w:p w:rsidR="002570A9" w:rsidRDefault="00AD0442">
            <w:pPr>
              <w:rPr>
                <w:rFonts w:asciiTheme="minorEastAsia" w:eastAsiaTheme="minorEastAsia" w:hAnsiTheme="minorEastAsia" w:cs="Arial"/>
                <w:szCs w:val="21"/>
              </w:rPr>
            </w:pPr>
            <w:r w:rsidRPr="00AD0442">
              <w:rPr>
                <w:rFonts w:asciiTheme="minorEastAsia" w:eastAsiaTheme="minorEastAsia" w:hAnsiTheme="minorEastAsia" w:cs="Arial" w:hint="eastAsia"/>
                <w:szCs w:val="21"/>
              </w:rPr>
              <w:t>惠升和荣90天滚动持有债券</w:t>
            </w:r>
            <w:r>
              <w:rPr>
                <w:rFonts w:asciiTheme="minorEastAsia" w:eastAsiaTheme="minorEastAsia" w:hAnsiTheme="minorEastAsia" w:cs="Arial"/>
                <w:szCs w:val="21"/>
              </w:rPr>
              <w:t>C</w:t>
            </w:r>
          </w:p>
        </w:tc>
      </w:tr>
      <w:tr w:rsidR="002570A9">
        <w:trPr>
          <w:trHeight w:val="20"/>
          <w:jc w:val="center"/>
        </w:trPr>
        <w:tc>
          <w:tcPr>
            <w:tcW w:w="3020" w:type="dxa"/>
          </w:tcPr>
          <w:p w:rsidR="002570A9" w:rsidRDefault="007E0063">
            <w:pPr>
              <w:rPr>
                <w:rFonts w:asciiTheme="minorEastAsia" w:eastAsiaTheme="minorEastAsia" w:hAnsiTheme="minorEastAsia" w:cs="Arial"/>
                <w:szCs w:val="21"/>
              </w:rPr>
            </w:pPr>
            <w:r>
              <w:rPr>
                <w:rFonts w:asciiTheme="minorEastAsia" w:eastAsiaTheme="minorEastAsia" w:hAnsiTheme="minorEastAsia" w:cs="Arial" w:hint="eastAsia"/>
                <w:szCs w:val="21"/>
              </w:rPr>
              <w:t>各基金份额类别的交易代码</w:t>
            </w:r>
          </w:p>
        </w:tc>
        <w:tc>
          <w:tcPr>
            <w:tcW w:w="2519" w:type="dxa"/>
          </w:tcPr>
          <w:p w:rsidR="002570A9" w:rsidRDefault="00AD0442">
            <w:pPr>
              <w:rPr>
                <w:rFonts w:asciiTheme="minorEastAsia" w:eastAsiaTheme="minorEastAsia" w:hAnsiTheme="minorEastAsia" w:cs="Arial"/>
                <w:szCs w:val="21"/>
              </w:rPr>
            </w:pPr>
            <w:r>
              <w:rPr>
                <w:rFonts w:asciiTheme="minorEastAsia" w:eastAsiaTheme="minorEastAsia" w:hAnsiTheme="minorEastAsia" w:cs="Arial" w:hint="eastAsia"/>
                <w:szCs w:val="21"/>
              </w:rPr>
              <w:t>022313</w:t>
            </w:r>
          </w:p>
        </w:tc>
        <w:tc>
          <w:tcPr>
            <w:tcW w:w="2519" w:type="dxa"/>
          </w:tcPr>
          <w:p w:rsidR="002570A9" w:rsidRDefault="00AD0442">
            <w:pPr>
              <w:rPr>
                <w:rFonts w:asciiTheme="minorEastAsia" w:eastAsiaTheme="minorEastAsia" w:hAnsiTheme="minorEastAsia" w:cs="Arial"/>
                <w:szCs w:val="21"/>
              </w:rPr>
            </w:pPr>
            <w:r>
              <w:rPr>
                <w:rFonts w:asciiTheme="minorEastAsia" w:eastAsiaTheme="minorEastAsia" w:hAnsiTheme="minorEastAsia" w:cs="Arial" w:hint="eastAsia"/>
                <w:szCs w:val="21"/>
              </w:rPr>
              <w:t>022314</w:t>
            </w:r>
          </w:p>
        </w:tc>
      </w:tr>
      <w:tr w:rsidR="002570A9">
        <w:trPr>
          <w:trHeight w:val="20"/>
          <w:jc w:val="center"/>
        </w:trPr>
        <w:tc>
          <w:tcPr>
            <w:tcW w:w="3020" w:type="dxa"/>
          </w:tcPr>
          <w:p w:rsidR="002570A9" w:rsidRDefault="007E0063">
            <w:pPr>
              <w:rPr>
                <w:rFonts w:asciiTheme="minorEastAsia" w:eastAsiaTheme="minorEastAsia" w:hAnsiTheme="minorEastAsia" w:cs="Arial"/>
                <w:szCs w:val="21"/>
              </w:rPr>
            </w:pPr>
            <w:r>
              <w:rPr>
                <w:rFonts w:asciiTheme="minorEastAsia" w:eastAsiaTheme="minorEastAsia" w:hAnsiTheme="minorEastAsia" w:cs="Arial" w:hint="eastAsia"/>
                <w:szCs w:val="21"/>
              </w:rPr>
              <w:t>该份额类别基金是否开放申购、赎回、转换、定期定额投资业务</w:t>
            </w:r>
          </w:p>
        </w:tc>
        <w:tc>
          <w:tcPr>
            <w:tcW w:w="2519" w:type="dxa"/>
          </w:tcPr>
          <w:p w:rsidR="002570A9" w:rsidRDefault="007E0063">
            <w:pPr>
              <w:rPr>
                <w:rFonts w:asciiTheme="minorEastAsia" w:eastAsiaTheme="minorEastAsia" w:hAnsiTheme="minorEastAsia" w:cs="Arial"/>
                <w:szCs w:val="21"/>
              </w:rPr>
            </w:pPr>
            <w:r>
              <w:rPr>
                <w:rFonts w:asciiTheme="minorEastAsia" w:eastAsiaTheme="minorEastAsia" w:hAnsiTheme="minorEastAsia" w:cs="Arial" w:hint="eastAsia"/>
                <w:szCs w:val="21"/>
              </w:rPr>
              <w:t>是</w:t>
            </w:r>
          </w:p>
        </w:tc>
        <w:tc>
          <w:tcPr>
            <w:tcW w:w="2519" w:type="dxa"/>
          </w:tcPr>
          <w:p w:rsidR="002570A9" w:rsidRDefault="007E0063">
            <w:pPr>
              <w:rPr>
                <w:rFonts w:asciiTheme="minorEastAsia" w:eastAsiaTheme="minorEastAsia" w:hAnsiTheme="minorEastAsia" w:cs="Arial"/>
                <w:szCs w:val="21"/>
              </w:rPr>
            </w:pPr>
            <w:r>
              <w:rPr>
                <w:rFonts w:asciiTheme="minorEastAsia" w:eastAsiaTheme="minorEastAsia" w:hAnsiTheme="minorEastAsia" w:cs="Arial" w:hint="eastAsia"/>
                <w:szCs w:val="21"/>
              </w:rPr>
              <w:t>是</w:t>
            </w:r>
          </w:p>
        </w:tc>
      </w:tr>
    </w:tbl>
    <w:p w:rsidR="00E0057F" w:rsidRDefault="004D3F0D" w:rsidP="004D3F0D">
      <w:pPr>
        <w:pStyle w:val="21"/>
        <w:snapToGrid w:val="0"/>
        <w:spacing w:after="0" w:line="360" w:lineRule="auto"/>
        <w:ind w:firstLineChars="202" w:firstLine="424"/>
        <w:rPr>
          <w:rFonts w:ascii="Arial" w:hAnsi="宋体" w:cs="Arial"/>
          <w:szCs w:val="21"/>
        </w:rPr>
      </w:pPr>
      <w:r>
        <w:rPr>
          <w:rFonts w:ascii="Arial" w:hAnsi="宋体" w:cs="Arial" w:hint="eastAsia"/>
          <w:szCs w:val="21"/>
        </w:rPr>
        <w:t>注：</w:t>
      </w:r>
    </w:p>
    <w:p w:rsidR="004D3F0D" w:rsidRPr="004D3F0D" w:rsidRDefault="004D3F0D" w:rsidP="004D3F0D">
      <w:pPr>
        <w:pStyle w:val="21"/>
        <w:snapToGrid w:val="0"/>
        <w:spacing w:after="0" w:line="360" w:lineRule="auto"/>
        <w:ind w:firstLineChars="202" w:firstLine="424"/>
        <w:rPr>
          <w:rFonts w:ascii="Arial" w:hAnsi="宋体" w:cs="Arial"/>
          <w:szCs w:val="21"/>
        </w:rPr>
      </w:pPr>
      <w:r>
        <w:rPr>
          <w:rFonts w:ascii="Arial" w:hAnsi="宋体" w:cs="Arial" w:hint="eastAsia"/>
          <w:szCs w:val="21"/>
        </w:rPr>
        <w:t>（</w:t>
      </w:r>
      <w:r>
        <w:rPr>
          <w:rFonts w:ascii="Arial" w:hAnsi="宋体" w:cs="Arial" w:hint="eastAsia"/>
          <w:szCs w:val="21"/>
        </w:rPr>
        <w:t>1</w:t>
      </w:r>
      <w:r>
        <w:rPr>
          <w:rFonts w:ascii="Arial" w:hAnsi="宋体" w:cs="Arial" w:hint="eastAsia"/>
          <w:szCs w:val="21"/>
        </w:rPr>
        <w:t>）</w:t>
      </w:r>
      <w:r w:rsidRPr="004D3F0D">
        <w:rPr>
          <w:rFonts w:ascii="宋体" w:hAnsi="宋体" w:cs="Arial" w:hint="eastAsia"/>
          <w:szCs w:val="21"/>
        </w:rPr>
        <w:t>惠升和荣90天滚动持有债券型证券投资基金（以下简称“本基金”）</w:t>
      </w:r>
      <w:r>
        <w:rPr>
          <w:rFonts w:ascii="宋体" w:hAnsi="宋体" w:cs="Arial" w:hint="eastAsia"/>
          <w:szCs w:val="21"/>
        </w:rPr>
        <w:t>对每份基金份额设置90天的滚动运作期。</w:t>
      </w:r>
      <w:r w:rsidRPr="004D3F0D">
        <w:rPr>
          <w:rFonts w:ascii="宋体" w:hAnsi="宋体" w:cs="Arial" w:hint="eastAsia"/>
          <w:szCs w:val="21"/>
        </w:rPr>
        <w:t>对于</w:t>
      </w:r>
      <w:r w:rsidRPr="004D3F0D">
        <w:rPr>
          <w:rFonts w:ascii="Arial" w:hAnsi="宋体" w:cs="Arial" w:hint="eastAsia"/>
          <w:szCs w:val="21"/>
        </w:rPr>
        <w:t>每份基金份额，第一个运作期指基金合同生效日（对认购份额而言，下同）、基金份额申购确认日（对申购份额而言，下同）或基金份额转换转入确认日（对转换转入份额而言，下同）起（即第一个运作期起始日），至基金合同生效日、基金份额申购申请日或基金份额转换转入申请日后的</w:t>
      </w:r>
      <w:r w:rsidRPr="00241655">
        <w:rPr>
          <w:rFonts w:ascii="宋体" w:hAnsi="宋体" w:cs="Arial" w:hint="eastAsia"/>
          <w:szCs w:val="21"/>
        </w:rPr>
        <w:t>第90天（即第一个运作期到期日。如该日为非工作日，则顺延到下一工作日）止。第二个运作期指第一个运作期到期日的次一日起，至基金合同生效日、基金份额申购申请日或基金份额转换转入申请日后的第180天</w:t>
      </w:r>
      <w:r w:rsidRPr="004D3F0D">
        <w:rPr>
          <w:rFonts w:ascii="Arial" w:hAnsi="宋体" w:cs="Arial" w:hint="eastAsia"/>
          <w:szCs w:val="21"/>
        </w:rPr>
        <w:t>（即</w:t>
      </w:r>
      <w:r w:rsidRPr="004D3F0D">
        <w:rPr>
          <w:rFonts w:ascii="Arial" w:hAnsi="宋体" w:cs="Arial" w:hint="eastAsia"/>
          <w:szCs w:val="21"/>
        </w:rPr>
        <w:lastRenderedPageBreak/>
        <w:t>第二个运作期到期日。如该日为非工作日，则顺延至下一工作日）止。以此类推。</w:t>
      </w:r>
    </w:p>
    <w:p w:rsidR="004D3F0D" w:rsidRPr="004D3F0D" w:rsidRDefault="004D3F0D" w:rsidP="004D3F0D">
      <w:pPr>
        <w:pStyle w:val="21"/>
        <w:snapToGrid w:val="0"/>
        <w:spacing w:after="0" w:line="360" w:lineRule="auto"/>
        <w:ind w:firstLineChars="202" w:firstLine="424"/>
        <w:rPr>
          <w:rFonts w:ascii="Arial" w:hAnsi="宋体" w:cs="Arial"/>
          <w:szCs w:val="21"/>
        </w:rPr>
      </w:pPr>
      <w:r w:rsidRPr="004D3F0D">
        <w:rPr>
          <w:rFonts w:ascii="Arial" w:hAnsi="宋体" w:cs="Arial" w:hint="eastAsia"/>
          <w:szCs w:val="21"/>
        </w:rPr>
        <w:t>正常情况下本基金每个交易日开放申购，但对于每份基金份额，每个运作期到期日前，基金份额持有人不能提出赎回或转换转出申请，每个运作期到期日，基金份额持有人方可提出赎回或转换转出申请。</w:t>
      </w:r>
    </w:p>
    <w:p w:rsidR="004D3F0D" w:rsidRDefault="004D3F0D" w:rsidP="004D3F0D">
      <w:pPr>
        <w:pStyle w:val="21"/>
        <w:snapToGrid w:val="0"/>
        <w:spacing w:after="0" w:line="360" w:lineRule="auto"/>
        <w:ind w:firstLineChars="202" w:firstLine="424"/>
        <w:rPr>
          <w:rFonts w:ascii="Arial" w:hAnsi="宋体" w:cs="Arial"/>
          <w:szCs w:val="21"/>
        </w:rPr>
      </w:pPr>
      <w:r w:rsidRPr="004D3F0D">
        <w:rPr>
          <w:rFonts w:ascii="Arial" w:hAnsi="宋体" w:cs="Arial" w:hint="eastAsia"/>
          <w:szCs w:val="21"/>
        </w:rPr>
        <w:t>如果基金份额持有人在当期运作期到期日未申请赎回</w:t>
      </w:r>
      <w:r w:rsidRPr="004D3F0D">
        <w:rPr>
          <w:rFonts w:ascii="Arial" w:hAnsi="宋体" w:cs="Arial" w:hint="eastAsia"/>
          <w:szCs w:val="21"/>
        </w:rPr>
        <w:t>/</w:t>
      </w:r>
      <w:r w:rsidRPr="004D3F0D">
        <w:rPr>
          <w:rFonts w:ascii="Arial" w:hAnsi="宋体" w:cs="Arial" w:hint="eastAsia"/>
          <w:szCs w:val="21"/>
        </w:rPr>
        <w:t>转换转出或赎回</w:t>
      </w:r>
      <w:r w:rsidRPr="004D3F0D">
        <w:rPr>
          <w:rFonts w:ascii="Arial" w:hAnsi="宋体" w:cs="Arial" w:hint="eastAsia"/>
          <w:szCs w:val="21"/>
        </w:rPr>
        <w:t>/</w:t>
      </w:r>
      <w:r w:rsidRPr="004D3F0D">
        <w:rPr>
          <w:rFonts w:ascii="Arial" w:hAnsi="宋体" w:cs="Arial" w:hint="eastAsia"/>
          <w:szCs w:val="21"/>
        </w:rPr>
        <w:t>转换转出被确认失败，则自该运作期到期日次一日起该基金份额进入下一个运作期。</w:t>
      </w:r>
    </w:p>
    <w:p w:rsidR="00E0057F" w:rsidRPr="009342AA" w:rsidRDefault="00E0057F" w:rsidP="009342AA">
      <w:pPr>
        <w:pStyle w:val="21"/>
        <w:snapToGrid w:val="0"/>
        <w:spacing w:line="360" w:lineRule="auto"/>
        <w:ind w:firstLineChars="202" w:firstLine="424"/>
        <w:rPr>
          <w:rFonts w:ascii="宋体" w:hAnsi="宋体" w:cs="Arial"/>
          <w:szCs w:val="21"/>
        </w:rPr>
      </w:pPr>
      <w:r>
        <w:rPr>
          <w:rFonts w:ascii="Arial" w:hAnsi="宋体" w:cs="Arial" w:hint="eastAsia"/>
          <w:szCs w:val="21"/>
        </w:rPr>
        <w:t>（</w:t>
      </w:r>
      <w:r>
        <w:rPr>
          <w:rFonts w:ascii="Arial" w:hAnsi="宋体" w:cs="Arial" w:hint="eastAsia"/>
          <w:szCs w:val="21"/>
        </w:rPr>
        <w:t>2</w:t>
      </w:r>
      <w:r>
        <w:rPr>
          <w:rFonts w:ascii="Arial" w:hAnsi="宋体" w:cs="Arial" w:hint="eastAsia"/>
          <w:szCs w:val="21"/>
        </w:rPr>
        <w:t>）</w:t>
      </w:r>
      <w:r w:rsidR="009342AA" w:rsidRPr="009342AA">
        <w:rPr>
          <w:rFonts w:ascii="宋体" w:hAnsi="宋体" w:cs="Arial" w:hint="eastAsia"/>
          <w:szCs w:val="21"/>
        </w:rPr>
        <w:t>本基金于202</w:t>
      </w:r>
      <w:r w:rsidR="009342AA">
        <w:rPr>
          <w:rFonts w:ascii="宋体" w:hAnsi="宋体" w:cs="Arial" w:hint="eastAsia"/>
          <w:szCs w:val="21"/>
        </w:rPr>
        <w:t>5</w:t>
      </w:r>
      <w:r w:rsidR="009342AA" w:rsidRPr="009342AA">
        <w:rPr>
          <w:rFonts w:ascii="宋体" w:hAnsi="宋体" w:cs="Arial" w:hint="eastAsia"/>
          <w:szCs w:val="21"/>
        </w:rPr>
        <w:t>年6月</w:t>
      </w:r>
      <w:r w:rsidR="009342AA">
        <w:rPr>
          <w:rFonts w:ascii="宋体" w:hAnsi="宋体" w:cs="Arial" w:hint="eastAsia"/>
          <w:szCs w:val="21"/>
        </w:rPr>
        <w:t>16</w:t>
      </w:r>
      <w:r w:rsidR="009342AA" w:rsidRPr="009342AA">
        <w:rPr>
          <w:rFonts w:ascii="宋体" w:hAnsi="宋体" w:cs="Arial" w:hint="eastAsia"/>
          <w:szCs w:val="21"/>
        </w:rPr>
        <w:t>日起开始办理赎回、转换转出，每份基金份额在运作期到期日方可提出赎回或转换转出申请。</w:t>
      </w:r>
    </w:p>
    <w:p w:rsidR="002570A9" w:rsidRDefault="007E0063" w:rsidP="007E0063">
      <w:pPr>
        <w:pStyle w:val="3"/>
        <w:keepNext w:val="0"/>
        <w:keepLines w:val="0"/>
        <w:spacing w:beforeLines="50" w:afterLines="50" w:line="360" w:lineRule="auto"/>
        <w:rPr>
          <w:rFonts w:asciiTheme="minorEastAsia" w:eastAsiaTheme="minorEastAsia" w:hAnsiTheme="minorEastAsia" w:cs="Arial"/>
          <w:bCs w:val="0"/>
          <w:sz w:val="21"/>
          <w:szCs w:val="21"/>
        </w:rPr>
      </w:pPr>
      <w:r>
        <w:rPr>
          <w:rFonts w:asciiTheme="minorEastAsia" w:eastAsiaTheme="minorEastAsia" w:hAnsiTheme="minorEastAsia" w:cs="Arial"/>
          <w:bCs w:val="0"/>
          <w:sz w:val="21"/>
          <w:szCs w:val="21"/>
        </w:rPr>
        <w:t>2</w:t>
      </w:r>
      <w:r>
        <w:rPr>
          <w:rFonts w:asciiTheme="minorEastAsia" w:eastAsiaTheme="minorEastAsia" w:hAnsiTheme="minorEastAsia" w:cs="Arial" w:hint="eastAsia"/>
          <w:bCs w:val="0"/>
          <w:sz w:val="21"/>
          <w:szCs w:val="21"/>
        </w:rPr>
        <w:t>、日常申购、赎回、转换及定期定额投资业务的办理时间</w:t>
      </w:r>
    </w:p>
    <w:p w:rsidR="00427E53" w:rsidRPr="00427E53" w:rsidRDefault="00427E53" w:rsidP="00427E53">
      <w:pPr>
        <w:adjustRightInd w:val="0"/>
        <w:snapToGrid w:val="0"/>
        <w:spacing w:line="360" w:lineRule="auto"/>
        <w:ind w:firstLineChars="200" w:firstLine="420"/>
        <w:rPr>
          <w:rFonts w:ascii="Arial" w:hAnsi="宋体" w:cs="Arial"/>
          <w:szCs w:val="21"/>
        </w:rPr>
      </w:pPr>
      <w:r w:rsidRPr="00427E53">
        <w:rPr>
          <w:rFonts w:ascii="Arial" w:hAnsi="宋体" w:cs="Arial" w:hint="eastAsia"/>
          <w:szCs w:val="21"/>
        </w:rPr>
        <w:t>投资人在开放日办理基金份额的申购，在每个运作期到期日办理基金份额的赎回，开放日的具体办理时间为上海证券交易所、深圳证券交易所的正常交易日的交易时间，但基金管理人根据法律法规、中国证监会的要求或基金合同的规定公告暂停申购、赎回时除外。</w:t>
      </w:r>
    </w:p>
    <w:p w:rsidR="002570A9" w:rsidRDefault="00427E53" w:rsidP="00427E53">
      <w:pPr>
        <w:adjustRightInd w:val="0"/>
        <w:snapToGrid w:val="0"/>
        <w:spacing w:line="360" w:lineRule="auto"/>
        <w:ind w:firstLineChars="200" w:firstLine="420"/>
        <w:rPr>
          <w:rFonts w:ascii="Arial" w:hAnsi="宋体" w:cs="Arial"/>
          <w:szCs w:val="21"/>
        </w:rPr>
      </w:pPr>
      <w:r w:rsidRPr="00427E53">
        <w:rPr>
          <w:rFonts w:ascii="Arial" w:hAnsi="宋体" w:cs="Arial" w:hint="eastAsia"/>
          <w:szCs w:val="21"/>
        </w:rPr>
        <w:t>基金合同生效后，若出现新的证券</w:t>
      </w:r>
      <w:r w:rsidRPr="00427E53">
        <w:rPr>
          <w:rFonts w:ascii="Arial" w:hAnsi="宋体" w:cs="Arial" w:hint="eastAsia"/>
          <w:szCs w:val="21"/>
        </w:rPr>
        <w:t>/</w:t>
      </w:r>
      <w:r w:rsidRPr="00427E53">
        <w:rPr>
          <w:rFonts w:ascii="Arial" w:hAnsi="宋体" w:cs="Arial" w:hint="eastAsia"/>
          <w:szCs w:val="21"/>
        </w:rPr>
        <w:t>期货交易市场、证券</w:t>
      </w:r>
      <w:r w:rsidRPr="00427E53">
        <w:rPr>
          <w:rFonts w:ascii="Arial" w:hAnsi="宋体" w:cs="Arial" w:hint="eastAsia"/>
          <w:szCs w:val="21"/>
        </w:rPr>
        <w:t>/</w:t>
      </w:r>
      <w:r w:rsidRPr="00427E53">
        <w:rPr>
          <w:rFonts w:ascii="Arial" w:hAnsi="宋体" w:cs="Arial" w:hint="eastAsia"/>
          <w:szCs w:val="21"/>
        </w:rPr>
        <w:t>期货交易所交易时间变更或其他特殊情况，基金管理人将视情况对前述开放日及开放时间进行相应的调整，但应在实施日前依照《信息披露办法》的有关规定在规定媒介上公告。</w:t>
      </w:r>
    </w:p>
    <w:p w:rsidR="002570A9" w:rsidRDefault="00427E53">
      <w:pPr>
        <w:adjustRightInd w:val="0"/>
        <w:snapToGrid w:val="0"/>
        <w:spacing w:line="360" w:lineRule="auto"/>
        <w:ind w:firstLineChars="200" w:firstLine="420"/>
        <w:rPr>
          <w:rFonts w:ascii="Arial" w:hAnsi="宋体" w:cs="Arial"/>
          <w:szCs w:val="21"/>
        </w:rPr>
      </w:pPr>
      <w:r w:rsidRPr="00427E53">
        <w:rPr>
          <w:rFonts w:ascii="Arial" w:hAnsi="宋体" w:cs="Arial" w:hint="eastAsia"/>
          <w:szCs w:val="21"/>
        </w:rPr>
        <w:t>基金管理人不得在基金合同约定之外的日期或者时间办理基金份额的申购、赎回或者转换。投资人在基金合同约定之外的日期和时间提出申购或转换转入申请且登记机构确认接受的，其基金份额申购价格为下一开放日基金份额申购的价格。投资人在运作期到期日业务办理时间结束后或在运作期到期日之外的日期和时间提出赎回或转换转出申请的，视为无效申请</w:t>
      </w:r>
      <w:r>
        <w:rPr>
          <w:rFonts w:ascii="Arial" w:hAnsi="宋体" w:cs="Arial"/>
          <w:szCs w:val="21"/>
        </w:rPr>
        <w:t>。</w:t>
      </w:r>
    </w:p>
    <w:p w:rsidR="002570A9" w:rsidRDefault="007E0063" w:rsidP="007E0063">
      <w:pPr>
        <w:pStyle w:val="3"/>
        <w:keepNext w:val="0"/>
        <w:keepLines w:val="0"/>
        <w:spacing w:beforeLines="50" w:afterLines="50" w:line="360" w:lineRule="auto"/>
        <w:rPr>
          <w:rFonts w:asciiTheme="minorEastAsia" w:eastAsiaTheme="minorEastAsia" w:hAnsiTheme="minorEastAsia" w:cs="Arial"/>
          <w:bCs w:val="0"/>
          <w:sz w:val="21"/>
          <w:szCs w:val="21"/>
        </w:rPr>
      </w:pPr>
      <w:r>
        <w:rPr>
          <w:rFonts w:asciiTheme="minorEastAsia" w:eastAsiaTheme="minorEastAsia" w:hAnsiTheme="minorEastAsia" w:cs="Arial" w:hint="eastAsia"/>
          <w:bCs w:val="0"/>
          <w:sz w:val="21"/>
          <w:szCs w:val="21"/>
        </w:rPr>
        <w:t>3</w:t>
      </w:r>
      <w:r>
        <w:rPr>
          <w:rFonts w:asciiTheme="minorEastAsia" w:eastAsiaTheme="minorEastAsia" w:hAnsiTheme="minorEastAsia" w:cs="Arial" w:hint="eastAsia"/>
          <w:bCs w:val="0"/>
          <w:sz w:val="21"/>
          <w:szCs w:val="21"/>
        </w:rPr>
        <w:t>、</w:t>
      </w:r>
      <w:r>
        <w:rPr>
          <w:rFonts w:asciiTheme="minorEastAsia" w:eastAsiaTheme="minorEastAsia" w:hAnsiTheme="minorEastAsia" w:cs="Arial"/>
          <w:bCs w:val="0"/>
          <w:sz w:val="21"/>
          <w:szCs w:val="21"/>
        </w:rPr>
        <w:t>日常申</w:t>
      </w:r>
      <w:r>
        <w:rPr>
          <w:rFonts w:asciiTheme="minorEastAsia" w:eastAsiaTheme="minorEastAsia" w:hAnsiTheme="minorEastAsia" w:cs="Arial"/>
          <w:bCs w:val="0"/>
          <w:sz w:val="21"/>
          <w:szCs w:val="21"/>
        </w:rPr>
        <w:t>购业务</w:t>
      </w:r>
    </w:p>
    <w:p w:rsidR="002570A9" w:rsidRDefault="007E0063">
      <w:pPr>
        <w:adjustRightInd w:val="0"/>
        <w:snapToGrid w:val="0"/>
        <w:spacing w:line="360" w:lineRule="auto"/>
        <w:ind w:firstLineChars="200" w:firstLine="420"/>
        <w:rPr>
          <w:rFonts w:ascii="Arial" w:hAnsi="宋体" w:cs="Arial"/>
          <w:szCs w:val="21"/>
        </w:rPr>
      </w:pPr>
      <w:r>
        <w:rPr>
          <w:rFonts w:ascii="Arial" w:hAnsi="宋体" w:cs="Arial" w:hint="eastAsia"/>
          <w:szCs w:val="21"/>
        </w:rPr>
        <w:t>（</w:t>
      </w:r>
      <w:r>
        <w:rPr>
          <w:rFonts w:ascii="Arial" w:hAnsi="宋体" w:cs="Arial" w:hint="eastAsia"/>
          <w:szCs w:val="21"/>
        </w:rPr>
        <w:t>1</w:t>
      </w:r>
      <w:r>
        <w:rPr>
          <w:rFonts w:ascii="Arial" w:hAnsi="宋体" w:cs="Arial" w:hint="eastAsia"/>
          <w:szCs w:val="21"/>
        </w:rPr>
        <w:t>）申购金额</w:t>
      </w:r>
      <w:r>
        <w:rPr>
          <w:rFonts w:ascii="Arial" w:hAnsi="宋体" w:cs="Arial"/>
          <w:szCs w:val="21"/>
        </w:rPr>
        <w:t>限制</w:t>
      </w:r>
    </w:p>
    <w:p w:rsidR="002570A9" w:rsidRDefault="007E0063">
      <w:pPr>
        <w:adjustRightInd w:val="0"/>
        <w:snapToGrid w:val="0"/>
        <w:spacing w:line="360" w:lineRule="auto"/>
        <w:ind w:firstLineChars="200" w:firstLine="420"/>
        <w:rPr>
          <w:rFonts w:ascii="Arial" w:hAnsi="宋体" w:cs="Arial"/>
          <w:szCs w:val="21"/>
        </w:rPr>
      </w:pPr>
      <w:r>
        <w:rPr>
          <w:rFonts w:ascii="Arial" w:hAnsi="宋体" w:cs="Arial" w:hint="eastAsia"/>
          <w:szCs w:val="21"/>
        </w:rPr>
        <w:t>本基金申购的单笔最低金额为</w:t>
      </w:r>
      <w:r>
        <w:rPr>
          <w:rFonts w:ascii="Arial" w:hAnsi="宋体" w:cs="Arial" w:hint="eastAsia"/>
          <w:szCs w:val="21"/>
        </w:rPr>
        <w:t>1</w:t>
      </w:r>
      <w:r>
        <w:rPr>
          <w:rFonts w:ascii="Arial" w:hAnsi="宋体" w:cs="Arial" w:hint="eastAsia"/>
          <w:szCs w:val="21"/>
        </w:rPr>
        <w:t>元人民币（含申购费）。各销售机构在此最低金额基础之上对申购限额及交易级差有其他规定的，以各销售机构的业务规定为准。</w:t>
      </w:r>
    </w:p>
    <w:p w:rsidR="00815D77" w:rsidRDefault="00815D77">
      <w:pPr>
        <w:adjustRightInd w:val="0"/>
        <w:snapToGrid w:val="0"/>
        <w:spacing w:line="360" w:lineRule="auto"/>
        <w:ind w:firstLineChars="200" w:firstLine="420"/>
        <w:rPr>
          <w:rFonts w:ascii="Arial" w:hAnsi="宋体" w:cs="Arial"/>
          <w:szCs w:val="21"/>
        </w:rPr>
      </w:pPr>
      <w:r w:rsidRPr="00815D77">
        <w:rPr>
          <w:rFonts w:ascii="Arial" w:hAnsi="宋体" w:cs="Arial" w:hint="eastAsia"/>
          <w:szCs w:val="21"/>
        </w:rPr>
        <w:t>本基金暂不接受金融机构自营账户认购（基金管理人自有资金除外），如未来本基金接受金融机构自营账户认购或对发售对象的范围予以进一步限定，基金管理人将另行公告。</w:t>
      </w:r>
    </w:p>
    <w:p w:rsidR="00702758" w:rsidRDefault="00702758">
      <w:pPr>
        <w:adjustRightInd w:val="0"/>
        <w:snapToGrid w:val="0"/>
        <w:spacing w:line="360" w:lineRule="auto"/>
        <w:ind w:firstLineChars="200" w:firstLine="420"/>
        <w:rPr>
          <w:rFonts w:ascii="Arial" w:hAnsi="宋体" w:cs="Arial"/>
          <w:szCs w:val="21"/>
        </w:rPr>
      </w:pPr>
      <w:r w:rsidRPr="00702758">
        <w:rPr>
          <w:rFonts w:ascii="Arial" w:hAnsi="宋体" w:cs="Arial" w:hint="eastAsia"/>
          <w:szCs w:val="21"/>
        </w:rPr>
        <w:t>本基金单一投资者单日申购金额不超过</w:t>
      </w:r>
      <w:r w:rsidRPr="00702758">
        <w:rPr>
          <w:rFonts w:ascii="Arial" w:hAnsi="宋体" w:cs="Arial" w:hint="eastAsia"/>
          <w:szCs w:val="21"/>
        </w:rPr>
        <w:t>1000</w:t>
      </w:r>
      <w:r w:rsidRPr="00702758">
        <w:rPr>
          <w:rFonts w:ascii="Arial" w:hAnsi="宋体" w:cs="Arial" w:hint="eastAsia"/>
          <w:szCs w:val="21"/>
        </w:rPr>
        <w:t>万元（个人投资者、公募资产管理产品、职业年金、企业年金计划和基金管理人自有资金除外）。基金管理人可以调整单一投资者单日申购金额上限，具体规定请参见更新的招募说明书或相关公告。</w:t>
      </w:r>
    </w:p>
    <w:p w:rsidR="00815D77" w:rsidRDefault="00815D77">
      <w:pPr>
        <w:adjustRightInd w:val="0"/>
        <w:snapToGrid w:val="0"/>
        <w:spacing w:line="360" w:lineRule="auto"/>
        <w:ind w:firstLineChars="200" w:firstLine="420"/>
        <w:rPr>
          <w:rFonts w:ascii="Arial" w:hAnsi="宋体" w:cs="Arial"/>
          <w:szCs w:val="21"/>
        </w:rPr>
      </w:pPr>
      <w:r w:rsidRPr="00815D77">
        <w:rPr>
          <w:rFonts w:ascii="Arial" w:hAnsi="宋体" w:cs="Arial" w:hint="eastAsia"/>
          <w:szCs w:val="21"/>
        </w:rPr>
        <w:t>投资者可多次申购，本基金对单个投资人累计持有的基金份额不设上限，但单个投资者累计持有基金份额的比例不得达到或超过基金总份额的</w:t>
      </w:r>
      <w:r w:rsidRPr="00815D77">
        <w:rPr>
          <w:rFonts w:ascii="Arial" w:hAnsi="宋体" w:cs="Arial" w:hint="eastAsia"/>
          <w:szCs w:val="21"/>
        </w:rPr>
        <w:t>50%</w:t>
      </w:r>
      <w:r w:rsidRPr="00815D77">
        <w:rPr>
          <w:rFonts w:ascii="Arial" w:hAnsi="宋体" w:cs="Arial" w:hint="eastAsia"/>
          <w:szCs w:val="21"/>
        </w:rPr>
        <w:t>（在基金运作过程中因基金份额赎回、基金份额上市交易、基金管理人委托的登记机构技术条件不允许等基金管理人无法</w:t>
      </w:r>
      <w:r w:rsidRPr="00815D77">
        <w:rPr>
          <w:rFonts w:ascii="Arial" w:hAnsi="宋体" w:cs="Arial" w:hint="eastAsia"/>
          <w:szCs w:val="21"/>
        </w:rPr>
        <w:lastRenderedPageBreak/>
        <w:t>予以控制的情形导致被动达到或超过</w:t>
      </w:r>
      <w:r w:rsidRPr="00815D77">
        <w:rPr>
          <w:rFonts w:ascii="Arial" w:hAnsi="宋体" w:cs="Arial" w:hint="eastAsia"/>
          <w:szCs w:val="21"/>
        </w:rPr>
        <w:t>50%</w:t>
      </w:r>
      <w:r w:rsidRPr="00815D77">
        <w:rPr>
          <w:rFonts w:ascii="Arial" w:hAnsi="宋体" w:cs="Arial" w:hint="eastAsia"/>
          <w:szCs w:val="21"/>
        </w:rPr>
        <w:t>的除外）。</w:t>
      </w:r>
    </w:p>
    <w:p w:rsidR="002570A9" w:rsidRDefault="007E0063">
      <w:pPr>
        <w:adjustRightInd w:val="0"/>
        <w:snapToGrid w:val="0"/>
        <w:spacing w:line="360" w:lineRule="auto"/>
        <w:ind w:firstLineChars="200" w:firstLine="420"/>
        <w:rPr>
          <w:rFonts w:ascii="Arial" w:hAnsi="宋体" w:cs="Arial"/>
          <w:szCs w:val="21"/>
        </w:rPr>
      </w:pPr>
      <w:r>
        <w:rPr>
          <w:rFonts w:ascii="Arial" w:hAnsi="宋体" w:cs="Arial" w:hint="eastAsia"/>
          <w:szCs w:val="21"/>
        </w:rPr>
        <w:t>当接受申购申请对存量基金份额持有人利益构成潜在重大不利影响时，基金管理人应当</w:t>
      </w:r>
      <w:r>
        <w:rPr>
          <w:rFonts w:ascii="Arial" w:hAnsi="宋体" w:cs="Arial" w:hint="eastAsia"/>
          <w:szCs w:val="21"/>
        </w:rPr>
        <w:t>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rsidR="002570A9" w:rsidRDefault="007E0063">
      <w:pPr>
        <w:adjustRightInd w:val="0"/>
        <w:snapToGrid w:val="0"/>
        <w:spacing w:line="360" w:lineRule="auto"/>
        <w:ind w:firstLineChars="200" w:firstLine="420"/>
        <w:rPr>
          <w:rFonts w:ascii="Arial" w:hAnsi="宋体" w:cs="Arial"/>
          <w:szCs w:val="21"/>
        </w:rPr>
      </w:pPr>
      <w:r>
        <w:t>基金管理人可在法律法规允许的情况下</w:t>
      </w:r>
      <w:r>
        <w:rPr>
          <w:rFonts w:ascii="Arial" w:hAnsi="宋体" w:cs="Arial" w:hint="eastAsia"/>
          <w:szCs w:val="21"/>
        </w:rPr>
        <w:t>，调整上述规定申购金额的数量限制。基金管理人必须在调整前依照《信息披露办法》的有关规定在规定媒介上公告。</w:t>
      </w:r>
    </w:p>
    <w:p w:rsidR="002570A9" w:rsidRDefault="007E0063">
      <w:pPr>
        <w:adjustRightInd w:val="0"/>
        <w:snapToGrid w:val="0"/>
        <w:spacing w:line="360" w:lineRule="auto"/>
        <w:ind w:firstLineChars="200" w:firstLine="420"/>
        <w:rPr>
          <w:rFonts w:ascii="Arial" w:hAnsi="宋体" w:cs="Arial"/>
          <w:szCs w:val="21"/>
        </w:rPr>
      </w:pPr>
      <w:r>
        <w:rPr>
          <w:rFonts w:ascii="Arial" w:hAnsi="宋体" w:cs="Arial" w:hint="eastAsia"/>
          <w:szCs w:val="21"/>
        </w:rPr>
        <w:t>（</w:t>
      </w:r>
      <w:r>
        <w:rPr>
          <w:rFonts w:ascii="Arial" w:hAnsi="宋体" w:cs="Arial" w:hint="eastAsia"/>
          <w:szCs w:val="21"/>
        </w:rPr>
        <w:t>2</w:t>
      </w:r>
      <w:r>
        <w:rPr>
          <w:rFonts w:ascii="Arial" w:hAnsi="宋体" w:cs="Arial" w:hint="eastAsia"/>
          <w:szCs w:val="21"/>
        </w:rPr>
        <w:t>）申购</w:t>
      </w:r>
      <w:r>
        <w:rPr>
          <w:rFonts w:ascii="Arial" w:hAnsi="宋体" w:cs="Arial"/>
          <w:szCs w:val="21"/>
        </w:rPr>
        <w:t>费率</w:t>
      </w:r>
    </w:p>
    <w:p w:rsidR="002570A9" w:rsidRDefault="007E0063">
      <w:pPr>
        <w:adjustRightInd w:val="0"/>
        <w:snapToGrid w:val="0"/>
        <w:spacing w:line="360" w:lineRule="auto"/>
        <w:ind w:firstLineChars="200" w:firstLine="420"/>
        <w:rPr>
          <w:rFonts w:ascii="Arial" w:hAnsi="宋体" w:cs="Arial"/>
          <w:szCs w:val="21"/>
        </w:rPr>
      </w:pPr>
      <w:r>
        <w:rPr>
          <w:rFonts w:ascii="Arial" w:hAnsi="宋体" w:cs="Arial" w:hint="eastAsia"/>
          <w:szCs w:val="21"/>
        </w:rPr>
        <w:t>1</w:t>
      </w:r>
      <w:r>
        <w:rPr>
          <w:rFonts w:ascii="Arial" w:hAnsi="宋体" w:cs="Arial" w:hint="eastAsia"/>
          <w:szCs w:val="21"/>
        </w:rPr>
        <w:t>）投资者在申购</w:t>
      </w:r>
      <w:r>
        <w:rPr>
          <w:rFonts w:ascii="Arial" w:hAnsi="宋体" w:cs="Arial" w:hint="eastAsia"/>
          <w:szCs w:val="21"/>
        </w:rPr>
        <w:t>A</w:t>
      </w:r>
      <w:r>
        <w:rPr>
          <w:rFonts w:ascii="Arial" w:hAnsi="宋体" w:cs="Arial" w:hint="eastAsia"/>
          <w:szCs w:val="21"/>
        </w:rPr>
        <w:t>类基金份额时需交纳前端申购费。</w:t>
      </w:r>
    </w:p>
    <w:p w:rsidR="002570A9" w:rsidRDefault="007E0063">
      <w:pPr>
        <w:adjustRightInd w:val="0"/>
        <w:snapToGrid w:val="0"/>
        <w:spacing w:line="360" w:lineRule="auto"/>
        <w:ind w:firstLineChars="200" w:firstLine="420"/>
        <w:rPr>
          <w:rFonts w:ascii="Arial" w:hAnsi="宋体" w:cs="Arial"/>
          <w:szCs w:val="21"/>
        </w:rPr>
      </w:pPr>
      <w:r>
        <w:rPr>
          <w:rFonts w:ascii="Arial" w:hAnsi="宋体" w:cs="Arial" w:hint="eastAsia"/>
          <w:szCs w:val="21"/>
        </w:rPr>
        <w:t>A</w:t>
      </w:r>
      <w:r>
        <w:rPr>
          <w:rFonts w:ascii="Arial" w:hAnsi="宋体" w:cs="Arial" w:hint="eastAsia"/>
          <w:szCs w:val="21"/>
        </w:rPr>
        <w:t>类基金份额申购费率如下：</w:t>
      </w:r>
    </w:p>
    <w:tbl>
      <w:tblPr>
        <w:tblStyle w:val="af0"/>
        <w:tblW w:w="8359" w:type="dxa"/>
        <w:tblLook w:val="04A0"/>
      </w:tblPr>
      <w:tblGrid>
        <w:gridCol w:w="4531"/>
        <w:gridCol w:w="3828"/>
      </w:tblGrid>
      <w:tr w:rsidR="002570A9">
        <w:trPr>
          <w:trHeight w:val="550"/>
        </w:trPr>
        <w:tc>
          <w:tcPr>
            <w:tcW w:w="8359" w:type="dxa"/>
            <w:gridSpan w:val="2"/>
            <w:vAlign w:val="center"/>
          </w:tcPr>
          <w:p w:rsidR="002570A9" w:rsidRDefault="007E0063">
            <w:pPr>
              <w:adjustRightInd w:val="0"/>
              <w:snapToGrid w:val="0"/>
              <w:spacing w:line="360" w:lineRule="auto"/>
              <w:ind w:firstLineChars="200" w:firstLine="420"/>
              <w:jc w:val="center"/>
              <w:rPr>
                <w:rFonts w:ascii="Arial" w:hAnsi="宋体" w:cs="Arial"/>
                <w:szCs w:val="21"/>
              </w:rPr>
            </w:pPr>
            <w:r>
              <w:rPr>
                <w:rFonts w:ascii="Arial" w:hAnsi="宋体" w:cs="Arial" w:hint="eastAsia"/>
                <w:szCs w:val="21"/>
              </w:rPr>
              <w:t>A</w:t>
            </w:r>
            <w:r>
              <w:rPr>
                <w:rFonts w:ascii="Arial" w:hAnsi="宋体" w:cs="Arial" w:hint="eastAsia"/>
                <w:szCs w:val="21"/>
              </w:rPr>
              <w:t>类基金份额</w:t>
            </w:r>
          </w:p>
        </w:tc>
      </w:tr>
      <w:tr w:rsidR="002570A9">
        <w:trPr>
          <w:trHeight w:val="337"/>
        </w:trPr>
        <w:tc>
          <w:tcPr>
            <w:tcW w:w="4531" w:type="dxa"/>
          </w:tcPr>
          <w:p w:rsidR="002570A9" w:rsidRDefault="007E0063">
            <w:pPr>
              <w:adjustRightInd w:val="0"/>
              <w:snapToGrid w:val="0"/>
              <w:spacing w:line="360" w:lineRule="auto"/>
              <w:jc w:val="center"/>
              <w:rPr>
                <w:rFonts w:ascii="Arial" w:hAnsi="宋体" w:cs="Arial"/>
                <w:szCs w:val="21"/>
              </w:rPr>
            </w:pPr>
            <w:r>
              <w:rPr>
                <w:rFonts w:eastAsiaTheme="minorEastAsia" w:hint="eastAsia"/>
              </w:rPr>
              <w:t>申购</w:t>
            </w:r>
            <w:r>
              <w:rPr>
                <w:rFonts w:eastAsiaTheme="minorEastAsia"/>
              </w:rPr>
              <w:t>金额</w:t>
            </w:r>
          </w:p>
        </w:tc>
        <w:tc>
          <w:tcPr>
            <w:tcW w:w="3828" w:type="dxa"/>
          </w:tcPr>
          <w:p w:rsidR="002570A9" w:rsidRDefault="007E0063">
            <w:pPr>
              <w:adjustRightInd w:val="0"/>
              <w:snapToGrid w:val="0"/>
              <w:spacing w:line="360" w:lineRule="auto"/>
              <w:jc w:val="center"/>
              <w:rPr>
                <w:rFonts w:ascii="Arial" w:hAnsi="宋体" w:cs="Arial"/>
                <w:szCs w:val="21"/>
              </w:rPr>
            </w:pPr>
            <w:r>
              <w:rPr>
                <w:rFonts w:hint="eastAsia"/>
              </w:rPr>
              <w:t>申购</w:t>
            </w:r>
            <w:r>
              <w:t>费率</w:t>
            </w:r>
          </w:p>
        </w:tc>
      </w:tr>
      <w:tr w:rsidR="002570A9">
        <w:tc>
          <w:tcPr>
            <w:tcW w:w="4531" w:type="dxa"/>
          </w:tcPr>
          <w:p w:rsidR="002570A9" w:rsidRDefault="007E0063">
            <w:pPr>
              <w:adjustRightInd w:val="0"/>
              <w:snapToGrid w:val="0"/>
              <w:spacing w:line="360" w:lineRule="auto"/>
              <w:jc w:val="center"/>
              <w:rPr>
                <w:rFonts w:ascii="Arial" w:hAnsi="宋体" w:cs="Arial"/>
                <w:szCs w:val="21"/>
              </w:rPr>
            </w:pPr>
            <w:r>
              <w:rPr>
                <w:rFonts w:eastAsia="Times New Roman"/>
              </w:rPr>
              <w:t>100</w:t>
            </w:r>
            <w:r>
              <w:t>万</w:t>
            </w:r>
            <w:r>
              <w:rPr>
                <w:rFonts w:hint="eastAsia"/>
              </w:rPr>
              <w:t>元</w:t>
            </w:r>
            <w:r>
              <w:t>以下</w:t>
            </w:r>
          </w:p>
        </w:tc>
        <w:tc>
          <w:tcPr>
            <w:tcW w:w="3828" w:type="dxa"/>
          </w:tcPr>
          <w:p w:rsidR="002570A9" w:rsidRDefault="007E0063">
            <w:pPr>
              <w:adjustRightInd w:val="0"/>
              <w:snapToGrid w:val="0"/>
              <w:spacing w:line="360" w:lineRule="auto"/>
              <w:jc w:val="center"/>
              <w:rPr>
                <w:rFonts w:ascii="Arial" w:hAnsi="宋体" w:cs="Arial"/>
                <w:szCs w:val="21"/>
              </w:rPr>
            </w:pPr>
            <w:r>
              <w:t>0.</w:t>
            </w:r>
            <w:r w:rsidR="00B532A8">
              <w:rPr>
                <w:rFonts w:hint="eastAsia"/>
              </w:rPr>
              <w:t>3</w:t>
            </w:r>
            <w:r>
              <w:t>0%</w:t>
            </w:r>
          </w:p>
        </w:tc>
      </w:tr>
      <w:tr w:rsidR="002570A9">
        <w:tc>
          <w:tcPr>
            <w:tcW w:w="4531" w:type="dxa"/>
          </w:tcPr>
          <w:p w:rsidR="002570A9" w:rsidRDefault="007E0063">
            <w:pPr>
              <w:adjustRightInd w:val="0"/>
              <w:snapToGrid w:val="0"/>
              <w:spacing w:line="360" w:lineRule="auto"/>
              <w:jc w:val="center"/>
              <w:rPr>
                <w:rFonts w:ascii="Arial" w:hAnsi="宋体" w:cs="Arial"/>
                <w:szCs w:val="21"/>
              </w:rPr>
            </w:pPr>
            <w:r>
              <w:rPr>
                <w:rFonts w:hint="eastAsia"/>
              </w:rPr>
              <w:t>大于</w:t>
            </w:r>
            <w:r>
              <w:t>等于</w:t>
            </w:r>
            <w:r>
              <w:rPr>
                <w:rFonts w:hint="eastAsia"/>
              </w:rPr>
              <w:t>100</w:t>
            </w:r>
            <w:r>
              <w:rPr>
                <w:rFonts w:hint="eastAsia"/>
              </w:rPr>
              <w:t>万元</w:t>
            </w:r>
            <w:r>
              <w:t>，小于</w:t>
            </w:r>
            <w:r w:rsidR="00B532A8">
              <w:rPr>
                <w:rFonts w:hint="eastAsia"/>
              </w:rPr>
              <w:t>5</w:t>
            </w:r>
            <w:r>
              <w:rPr>
                <w:rFonts w:hint="eastAsia"/>
              </w:rPr>
              <w:t>00</w:t>
            </w:r>
            <w:r>
              <w:rPr>
                <w:rFonts w:hint="eastAsia"/>
              </w:rPr>
              <w:t>万元</w:t>
            </w:r>
          </w:p>
        </w:tc>
        <w:tc>
          <w:tcPr>
            <w:tcW w:w="3828" w:type="dxa"/>
          </w:tcPr>
          <w:p w:rsidR="002570A9" w:rsidRDefault="007E0063">
            <w:pPr>
              <w:adjustRightInd w:val="0"/>
              <w:snapToGrid w:val="0"/>
              <w:spacing w:line="360" w:lineRule="auto"/>
              <w:jc w:val="center"/>
              <w:rPr>
                <w:rFonts w:ascii="Arial" w:hAnsi="宋体" w:cs="Arial"/>
                <w:szCs w:val="21"/>
              </w:rPr>
            </w:pPr>
            <w:r>
              <w:rPr>
                <w:rFonts w:hint="eastAsia"/>
              </w:rPr>
              <w:t>0.</w:t>
            </w:r>
            <w:r w:rsidR="00B532A8">
              <w:rPr>
                <w:rFonts w:hint="eastAsia"/>
              </w:rPr>
              <w:t>1</w:t>
            </w:r>
            <w:r>
              <w:t>5%</w:t>
            </w:r>
          </w:p>
        </w:tc>
      </w:tr>
      <w:tr w:rsidR="002570A9">
        <w:tc>
          <w:tcPr>
            <w:tcW w:w="4531" w:type="dxa"/>
          </w:tcPr>
          <w:p w:rsidR="002570A9" w:rsidRDefault="007E0063">
            <w:pPr>
              <w:adjustRightInd w:val="0"/>
              <w:snapToGrid w:val="0"/>
              <w:spacing w:line="360" w:lineRule="auto"/>
              <w:jc w:val="center"/>
              <w:rPr>
                <w:rFonts w:ascii="Arial" w:hAnsi="宋体" w:cs="Arial"/>
                <w:szCs w:val="21"/>
              </w:rPr>
            </w:pPr>
            <w:r>
              <w:rPr>
                <w:rFonts w:eastAsia="Times New Roman"/>
              </w:rPr>
              <w:t>500</w:t>
            </w:r>
            <w:r>
              <w:t>万</w:t>
            </w:r>
            <w:r>
              <w:rPr>
                <w:rFonts w:hint="eastAsia"/>
              </w:rPr>
              <w:t>元</w:t>
            </w:r>
            <w:r>
              <w:t>（含）以上</w:t>
            </w:r>
          </w:p>
        </w:tc>
        <w:tc>
          <w:tcPr>
            <w:tcW w:w="3828" w:type="dxa"/>
          </w:tcPr>
          <w:p w:rsidR="002570A9" w:rsidRDefault="007E0063">
            <w:pPr>
              <w:adjustRightInd w:val="0"/>
              <w:snapToGrid w:val="0"/>
              <w:spacing w:line="360" w:lineRule="auto"/>
              <w:jc w:val="center"/>
              <w:rPr>
                <w:rFonts w:ascii="Arial" w:hAnsi="宋体" w:cs="Arial"/>
                <w:szCs w:val="21"/>
              </w:rPr>
            </w:pPr>
            <w:r>
              <w:t>每笔</w:t>
            </w:r>
            <w:r>
              <w:rPr>
                <w:rFonts w:eastAsia="Times New Roman"/>
              </w:rPr>
              <w:t>1000</w:t>
            </w:r>
            <w:r>
              <w:t>元</w:t>
            </w:r>
          </w:p>
        </w:tc>
      </w:tr>
    </w:tbl>
    <w:p w:rsidR="002570A9" w:rsidRDefault="00E517C5">
      <w:pPr>
        <w:adjustRightInd w:val="0"/>
        <w:snapToGrid w:val="0"/>
        <w:spacing w:line="360" w:lineRule="auto"/>
        <w:ind w:firstLineChars="200" w:firstLine="420"/>
        <w:rPr>
          <w:rFonts w:ascii="Arial" w:hAnsi="宋体" w:cs="Arial"/>
          <w:szCs w:val="21"/>
        </w:rPr>
      </w:pPr>
      <w:r w:rsidRPr="00E517C5">
        <w:rPr>
          <w:rFonts w:hint="eastAsia"/>
        </w:rPr>
        <w:t>A</w:t>
      </w:r>
      <w:r w:rsidRPr="00E517C5">
        <w:rPr>
          <w:rFonts w:hint="eastAsia"/>
        </w:rPr>
        <w:t>类基金份额的申购费用由申购</w:t>
      </w:r>
      <w:r w:rsidRPr="00E517C5">
        <w:rPr>
          <w:rFonts w:hint="eastAsia"/>
        </w:rPr>
        <w:t>A</w:t>
      </w:r>
      <w:r w:rsidRPr="00E517C5">
        <w:rPr>
          <w:rFonts w:hint="eastAsia"/>
        </w:rPr>
        <w:t>类基金份额的投资人承担，不列入基金财产，主要用于本基金的市场推广、销售、登记费等各项费用</w:t>
      </w:r>
      <w:r>
        <w:rPr>
          <w:rFonts w:ascii="Arial" w:hAnsi="宋体" w:cs="Arial" w:hint="eastAsia"/>
          <w:szCs w:val="21"/>
        </w:rPr>
        <w:t>。</w:t>
      </w:r>
    </w:p>
    <w:p w:rsidR="002570A9" w:rsidRDefault="007E0063">
      <w:pPr>
        <w:adjustRightInd w:val="0"/>
        <w:snapToGrid w:val="0"/>
        <w:spacing w:line="360" w:lineRule="auto"/>
        <w:ind w:firstLineChars="200" w:firstLine="420"/>
        <w:rPr>
          <w:rFonts w:ascii="Arial" w:hAnsi="宋体" w:cs="Arial"/>
          <w:szCs w:val="21"/>
        </w:rPr>
      </w:pPr>
      <w:r>
        <w:rPr>
          <w:rFonts w:ascii="Arial" w:hAnsi="宋体" w:cs="Arial" w:hint="eastAsia"/>
          <w:szCs w:val="21"/>
        </w:rPr>
        <w:t>2</w:t>
      </w:r>
      <w:r>
        <w:rPr>
          <w:rFonts w:ascii="Arial" w:hAnsi="宋体" w:cs="Arial" w:hint="eastAsia"/>
          <w:szCs w:val="21"/>
        </w:rPr>
        <w:t>）</w:t>
      </w:r>
      <w:r>
        <w:rPr>
          <w:rFonts w:hint="eastAsia"/>
        </w:rPr>
        <w:t>投资者</w:t>
      </w:r>
      <w:r>
        <w:t>申购</w:t>
      </w:r>
      <w:r>
        <w:rPr>
          <w:rFonts w:hint="eastAsia"/>
        </w:rPr>
        <w:t>C</w:t>
      </w:r>
      <w:r>
        <w:rPr>
          <w:rFonts w:hint="eastAsia"/>
        </w:rPr>
        <w:t>类</w:t>
      </w:r>
      <w:r>
        <w:t>基金份额时，申购费为</w:t>
      </w:r>
      <w:r>
        <w:rPr>
          <w:rFonts w:hint="eastAsia"/>
        </w:rPr>
        <w:t>0</w:t>
      </w:r>
      <w:r>
        <w:rPr>
          <w:rFonts w:hint="eastAsia"/>
        </w:rPr>
        <w:t>。</w:t>
      </w:r>
    </w:p>
    <w:p w:rsidR="002570A9" w:rsidRDefault="007E0063">
      <w:pPr>
        <w:adjustRightInd w:val="0"/>
        <w:snapToGrid w:val="0"/>
        <w:spacing w:line="360" w:lineRule="auto"/>
        <w:ind w:firstLineChars="200" w:firstLine="420"/>
        <w:rPr>
          <w:rFonts w:ascii="Arial" w:hAnsi="宋体" w:cs="Arial"/>
          <w:szCs w:val="21"/>
        </w:rPr>
      </w:pPr>
      <w:r>
        <w:rPr>
          <w:rFonts w:hint="eastAsia"/>
        </w:rPr>
        <w:t>3</w:t>
      </w:r>
      <w:r>
        <w:rPr>
          <w:rFonts w:hint="eastAsia"/>
        </w:rPr>
        <w:t>）</w:t>
      </w:r>
      <w:r>
        <w:t>基金管理人可以在基金合同约定的范围内调整费率或收费方式，并最迟应于新的费率或收费方式实施日前依照《信息披露办法》的有关规定在</w:t>
      </w:r>
      <w:r>
        <w:rPr>
          <w:rFonts w:hint="eastAsia"/>
        </w:rPr>
        <w:t>规定</w:t>
      </w:r>
      <w:r>
        <w:t>媒介上公告</w:t>
      </w:r>
      <w:r>
        <w:rPr>
          <w:rFonts w:ascii="Arial" w:hAnsi="宋体" w:cs="Arial" w:hint="eastAsia"/>
          <w:szCs w:val="21"/>
        </w:rPr>
        <w:t>。</w:t>
      </w:r>
    </w:p>
    <w:p w:rsidR="002570A9" w:rsidRDefault="007E0063" w:rsidP="007E0063">
      <w:pPr>
        <w:pStyle w:val="3"/>
        <w:keepNext w:val="0"/>
        <w:keepLines w:val="0"/>
        <w:spacing w:beforeLines="50" w:afterLines="50" w:line="360" w:lineRule="auto"/>
        <w:rPr>
          <w:rFonts w:asciiTheme="minorEastAsia" w:eastAsiaTheme="minorEastAsia" w:hAnsiTheme="minorEastAsia" w:cs="Arial"/>
          <w:bCs w:val="0"/>
          <w:sz w:val="21"/>
          <w:szCs w:val="21"/>
        </w:rPr>
      </w:pPr>
      <w:r>
        <w:rPr>
          <w:rFonts w:asciiTheme="minorEastAsia" w:eastAsiaTheme="minorEastAsia" w:hAnsiTheme="minorEastAsia" w:cs="Arial" w:hint="eastAsia"/>
          <w:bCs w:val="0"/>
          <w:sz w:val="21"/>
          <w:szCs w:val="21"/>
        </w:rPr>
        <w:t>4</w:t>
      </w:r>
      <w:r>
        <w:rPr>
          <w:rFonts w:asciiTheme="minorEastAsia" w:eastAsiaTheme="minorEastAsia" w:hAnsiTheme="minorEastAsia" w:cs="Arial" w:hint="eastAsia"/>
          <w:bCs w:val="0"/>
          <w:sz w:val="21"/>
          <w:szCs w:val="21"/>
        </w:rPr>
        <w:t>、</w:t>
      </w:r>
      <w:r>
        <w:rPr>
          <w:rFonts w:asciiTheme="minorEastAsia" w:eastAsiaTheme="minorEastAsia" w:hAnsiTheme="minorEastAsia" w:cs="Arial"/>
          <w:bCs w:val="0"/>
          <w:sz w:val="21"/>
          <w:szCs w:val="21"/>
        </w:rPr>
        <w:t>日常赎回业务</w:t>
      </w:r>
    </w:p>
    <w:p w:rsidR="002570A9" w:rsidRDefault="007E0063">
      <w:pPr>
        <w:adjustRightInd w:val="0"/>
        <w:snapToGrid w:val="0"/>
        <w:spacing w:line="360" w:lineRule="auto"/>
        <w:ind w:firstLineChars="200" w:firstLine="420"/>
        <w:rPr>
          <w:rFonts w:ascii="Arial" w:hAnsi="宋体" w:cs="Arial"/>
          <w:szCs w:val="21"/>
        </w:rPr>
      </w:pPr>
      <w:r>
        <w:rPr>
          <w:rFonts w:ascii="Arial" w:hAnsi="宋体" w:cs="Arial" w:hint="eastAsia"/>
          <w:szCs w:val="21"/>
        </w:rPr>
        <w:t>（</w:t>
      </w:r>
      <w:r>
        <w:rPr>
          <w:rFonts w:ascii="Arial" w:hAnsi="宋体" w:cs="Arial" w:hint="eastAsia"/>
          <w:szCs w:val="21"/>
        </w:rPr>
        <w:t>1</w:t>
      </w:r>
      <w:r>
        <w:rPr>
          <w:rFonts w:ascii="Arial" w:hAnsi="宋体" w:cs="Arial" w:hint="eastAsia"/>
          <w:szCs w:val="21"/>
        </w:rPr>
        <w:t>）</w:t>
      </w:r>
      <w:r>
        <w:rPr>
          <w:rFonts w:ascii="Arial" w:hAnsi="宋体" w:cs="Arial"/>
          <w:szCs w:val="21"/>
        </w:rPr>
        <w:t>赎回份额限制</w:t>
      </w:r>
    </w:p>
    <w:p w:rsidR="002570A9" w:rsidRDefault="007E0063">
      <w:pPr>
        <w:adjustRightInd w:val="0"/>
        <w:snapToGrid w:val="0"/>
        <w:spacing w:line="360" w:lineRule="auto"/>
        <w:ind w:firstLineChars="200" w:firstLine="420"/>
        <w:rPr>
          <w:rFonts w:ascii="Arial" w:hAnsi="宋体" w:cs="Arial"/>
          <w:szCs w:val="21"/>
        </w:rPr>
      </w:pPr>
      <w:r>
        <w:rPr>
          <w:rFonts w:ascii="Arial" w:hAnsi="宋体" w:cs="Arial" w:hint="eastAsia"/>
          <w:szCs w:val="21"/>
        </w:rPr>
        <w:t>投资者可将其全部或部分基金份额赎回。本基金按照份额进行赎回，申请赎回份额精确到小数点后两位，单笔赎回份额不得低于</w:t>
      </w:r>
      <w:r>
        <w:rPr>
          <w:rFonts w:ascii="Arial" w:hAnsi="宋体" w:cs="Arial" w:hint="eastAsia"/>
          <w:szCs w:val="21"/>
        </w:rPr>
        <w:t>1</w:t>
      </w:r>
      <w:r>
        <w:rPr>
          <w:rFonts w:ascii="Arial" w:hAnsi="宋体" w:cs="Arial" w:hint="eastAsia"/>
          <w:szCs w:val="21"/>
        </w:rPr>
        <w:t>份。基金份额持有人赎回时或赎回后在销售机构保留的基金份额余额不足</w:t>
      </w:r>
      <w:r>
        <w:rPr>
          <w:rFonts w:ascii="Arial" w:hAnsi="宋体" w:cs="Arial" w:hint="eastAsia"/>
          <w:szCs w:val="21"/>
        </w:rPr>
        <w:t>1</w:t>
      </w:r>
      <w:r>
        <w:rPr>
          <w:rFonts w:ascii="Arial" w:hAnsi="宋体" w:cs="Arial" w:hint="eastAsia"/>
          <w:szCs w:val="21"/>
        </w:rPr>
        <w:t>份的，在赎回时需一次全部赎回。各销售机构对赎回限额有其他规定的，以各销售机构的业务规定为准。</w:t>
      </w:r>
    </w:p>
    <w:p w:rsidR="002570A9" w:rsidRDefault="007E0063">
      <w:pPr>
        <w:adjustRightInd w:val="0"/>
        <w:snapToGrid w:val="0"/>
        <w:spacing w:line="360" w:lineRule="auto"/>
        <w:ind w:firstLineChars="200" w:firstLine="420"/>
        <w:rPr>
          <w:rFonts w:ascii="Arial" w:hAnsi="宋体" w:cs="Arial"/>
          <w:szCs w:val="21"/>
        </w:rPr>
      </w:pPr>
      <w:r>
        <w:t>基金管理人可在法律法规允许的情况下</w:t>
      </w:r>
      <w:r>
        <w:rPr>
          <w:rFonts w:ascii="Arial" w:hAnsi="宋体" w:cs="Arial" w:hint="eastAsia"/>
          <w:szCs w:val="21"/>
        </w:rPr>
        <w:t>，调整上述规定赎回份额的数量限制。基金管理人必须在调整前依照《信息披露办法》的有关规定在规定媒介上公告。</w:t>
      </w:r>
    </w:p>
    <w:p w:rsidR="002570A9" w:rsidRDefault="007E0063">
      <w:pPr>
        <w:adjustRightInd w:val="0"/>
        <w:snapToGrid w:val="0"/>
        <w:spacing w:line="360" w:lineRule="auto"/>
        <w:ind w:firstLineChars="200" w:firstLine="420"/>
        <w:rPr>
          <w:rFonts w:ascii="Arial" w:hAnsi="宋体" w:cs="Arial"/>
          <w:szCs w:val="21"/>
        </w:rPr>
      </w:pPr>
      <w:r>
        <w:rPr>
          <w:rFonts w:ascii="Arial" w:hAnsi="宋体" w:cs="Arial" w:hint="eastAsia"/>
          <w:szCs w:val="21"/>
        </w:rPr>
        <w:t>（</w:t>
      </w:r>
      <w:r>
        <w:rPr>
          <w:rFonts w:ascii="Arial" w:hAnsi="宋体" w:cs="Arial" w:hint="eastAsia"/>
          <w:szCs w:val="21"/>
        </w:rPr>
        <w:t>2</w:t>
      </w:r>
      <w:r>
        <w:rPr>
          <w:rFonts w:ascii="Arial" w:hAnsi="宋体" w:cs="Arial" w:hint="eastAsia"/>
          <w:szCs w:val="21"/>
        </w:rPr>
        <w:t>）</w:t>
      </w:r>
      <w:r>
        <w:rPr>
          <w:rFonts w:ascii="Arial" w:hAnsi="宋体" w:cs="Arial"/>
          <w:szCs w:val="21"/>
        </w:rPr>
        <w:t>赎回费率</w:t>
      </w:r>
    </w:p>
    <w:p w:rsidR="002570A9" w:rsidRPr="00240884" w:rsidRDefault="00240884" w:rsidP="00240884">
      <w:pPr>
        <w:pStyle w:val="a6"/>
        <w:ind w:firstLineChars="202" w:firstLine="424"/>
        <w:rPr>
          <w:rFonts w:asciiTheme="minorEastAsia" w:eastAsiaTheme="minorEastAsia" w:hAnsiTheme="minorEastAsia" w:cs="Arial" w:hint="default"/>
          <w:kern w:val="2"/>
          <w:sz w:val="21"/>
          <w:szCs w:val="21"/>
        </w:rPr>
      </w:pPr>
      <w:r w:rsidRPr="00240884">
        <w:rPr>
          <w:rFonts w:asciiTheme="minorEastAsia" w:eastAsiaTheme="minorEastAsia" w:hAnsiTheme="minorEastAsia" w:cs="Arial"/>
          <w:kern w:val="2"/>
          <w:sz w:val="21"/>
          <w:szCs w:val="21"/>
        </w:rPr>
        <w:t>本基金不收取赎回费。</w:t>
      </w:r>
    </w:p>
    <w:p w:rsidR="002570A9" w:rsidRDefault="007E0063" w:rsidP="007E0063">
      <w:pPr>
        <w:pStyle w:val="3"/>
        <w:keepNext w:val="0"/>
        <w:keepLines w:val="0"/>
        <w:spacing w:beforeLines="50" w:afterLines="50" w:line="360" w:lineRule="auto"/>
        <w:rPr>
          <w:rFonts w:asciiTheme="minorEastAsia" w:eastAsiaTheme="minorEastAsia" w:hAnsiTheme="minorEastAsia" w:cs="Arial"/>
          <w:bCs w:val="0"/>
          <w:sz w:val="21"/>
          <w:szCs w:val="21"/>
        </w:rPr>
      </w:pPr>
      <w:r>
        <w:rPr>
          <w:rFonts w:asciiTheme="minorEastAsia" w:eastAsiaTheme="minorEastAsia" w:hAnsiTheme="minorEastAsia" w:cs="Arial" w:hint="eastAsia"/>
          <w:bCs w:val="0"/>
          <w:sz w:val="21"/>
          <w:szCs w:val="21"/>
        </w:rPr>
        <w:t>5</w:t>
      </w:r>
      <w:r>
        <w:rPr>
          <w:rFonts w:asciiTheme="minorEastAsia" w:eastAsiaTheme="minorEastAsia" w:hAnsiTheme="minorEastAsia" w:cs="Arial" w:hint="eastAsia"/>
          <w:bCs w:val="0"/>
          <w:sz w:val="21"/>
          <w:szCs w:val="21"/>
        </w:rPr>
        <w:t>、定期定额投资业务</w:t>
      </w:r>
    </w:p>
    <w:p w:rsidR="002570A9" w:rsidRDefault="007E0063">
      <w:pPr>
        <w:adjustRightInd w:val="0"/>
        <w:snapToGrid w:val="0"/>
        <w:spacing w:line="360" w:lineRule="auto"/>
        <w:ind w:firstLineChars="200" w:firstLine="420"/>
        <w:rPr>
          <w:rFonts w:ascii="Arial" w:hAnsi="宋体" w:cs="Arial"/>
          <w:szCs w:val="21"/>
        </w:rPr>
      </w:pPr>
      <w:r>
        <w:rPr>
          <w:rFonts w:ascii="Arial" w:hAnsi="宋体" w:cs="Arial" w:hint="eastAsia"/>
          <w:szCs w:val="21"/>
        </w:rPr>
        <w:t>（</w:t>
      </w:r>
      <w:r>
        <w:rPr>
          <w:rFonts w:ascii="Arial" w:hAnsi="宋体" w:cs="Arial" w:hint="eastAsia"/>
          <w:szCs w:val="21"/>
        </w:rPr>
        <w:t>1</w:t>
      </w:r>
      <w:r>
        <w:rPr>
          <w:rFonts w:ascii="Arial" w:hAnsi="宋体" w:cs="Arial" w:hint="eastAsia"/>
          <w:szCs w:val="21"/>
        </w:rPr>
        <w:t>）定期定额投资业务是指投资者通过有</w:t>
      </w:r>
      <w:r>
        <w:rPr>
          <w:rFonts w:ascii="Arial" w:hAnsi="宋体" w:cs="Arial" w:hint="eastAsia"/>
          <w:szCs w:val="21"/>
        </w:rPr>
        <w:t>关销售机构提出申请，约定每期扣款时间、扣款金额及扣款方式，由销售机构于每期约定扣款日在投资人指定银行账户内自动完成扣款及受理基金申购申请的一种投资方式。</w:t>
      </w:r>
    </w:p>
    <w:p w:rsidR="002570A9" w:rsidRDefault="007E0063">
      <w:pPr>
        <w:adjustRightInd w:val="0"/>
        <w:snapToGrid w:val="0"/>
        <w:spacing w:line="360" w:lineRule="auto"/>
        <w:ind w:firstLineChars="200" w:firstLine="420"/>
        <w:rPr>
          <w:rFonts w:ascii="Arial" w:hAnsi="宋体" w:cs="Arial"/>
          <w:szCs w:val="21"/>
        </w:rPr>
      </w:pPr>
      <w:r>
        <w:rPr>
          <w:rFonts w:ascii="Arial" w:hAnsi="宋体" w:cs="Arial" w:hint="eastAsia"/>
          <w:szCs w:val="21"/>
        </w:rPr>
        <w:t>（</w:t>
      </w:r>
      <w:r>
        <w:rPr>
          <w:rFonts w:ascii="Arial" w:hAnsi="宋体" w:cs="Arial" w:hint="eastAsia"/>
          <w:szCs w:val="21"/>
        </w:rPr>
        <w:t>2</w:t>
      </w:r>
      <w:r>
        <w:rPr>
          <w:rFonts w:ascii="Arial" w:hAnsi="宋体" w:cs="Arial" w:hint="eastAsia"/>
          <w:szCs w:val="21"/>
        </w:rPr>
        <w:t>）定期定额投资业务的安排</w:t>
      </w:r>
    </w:p>
    <w:p w:rsidR="002570A9" w:rsidRDefault="007E0063">
      <w:pPr>
        <w:adjustRightInd w:val="0"/>
        <w:snapToGrid w:val="0"/>
        <w:spacing w:line="360" w:lineRule="auto"/>
        <w:ind w:firstLineChars="200" w:firstLine="420"/>
        <w:rPr>
          <w:rFonts w:ascii="Arial" w:hAnsi="宋体" w:cs="Arial"/>
          <w:szCs w:val="21"/>
        </w:rPr>
      </w:pPr>
      <w:r>
        <w:rPr>
          <w:rFonts w:ascii="Arial" w:hAnsi="宋体" w:cs="Arial"/>
          <w:szCs w:val="21"/>
        </w:rPr>
        <w:t>1</w:t>
      </w:r>
      <w:r>
        <w:rPr>
          <w:rFonts w:ascii="Arial" w:hAnsi="宋体" w:cs="Arial" w:hint="eastAsia"/>
          <w:szCs w:val="21"/>
        </w:rPr>
        <w:t>）除另有公告外，定期定额投资费率与日常申购费率相同。</w:t>
      </w:r>
    </w:p>
    <w:p w:rsidR="002570A9" w:rsidRDefault="007E0063">
      <w:pPr>
        <w:adjustRightInd w:val="0"/>
        <w:snapToGrid w:val="0"/>
        <w:spacing w:line="360" w:lineRule="auto"/>
        <w:ind w:firstLineChars="200" w:firstLine="420"/>
        <w:rPr>
          <w:rFonts w:ascii="Arial" w:hAnsi="宋体" w:cs="Arial"/>
          <w:szCs w:val="21"/>
        </w:rPr>
      </w:pPr>
      <w:r>
        <w:rPr>
          <w:rFonts w:ascii="Arial" w:hAnsi="宋体" w:cs="Arial"/>
          <w:szCs w:val="21"/>
        </w:rPr>
        <w:t>2</w:t>
      </w:r>
      <w:r>
        <w:rPr>
          <w:rFonts w:ascii="Arial" w:hAnsi="宋体" w:cs="Arial" w:hint="eastAsia"/>
          <w:szCs w:val="21"/>
        </w:rPr>
        <w:t>）本基金的每期扣款金额不低于人民币</w:t>
      </w:r>
      <w:r>
        <w:rPr>
          <w:rFonts w:ascii="Arial" w:hAnsi="宋体" w:cs="Arial" w:hint="eastAsia"/>
          <w:szCs w:val="21"/>
        </w:rPr>
        <w:t>1</w:t>
      </w:r>
      <w:r>
        <w:rPr>
          <w:rFonts w:ascii="Arial" w:hAnsi="宋体" w:cs="Arial" w:hint="eastAsia"/>
          <w:szCs w:val="21"/>
        </w:rPr>
        <w:t>元，不设金额级差。各销售机构可在此基础上规定自己的最低扣款金额。销售机构将按照与投资者申请时所约定的每期约定扣款日、扣款金额扣款，并在与基金日常申购业务相同的受理时间内提交申请。若遇非基金</w:t>
      </w:r>
      <w:r>
        <w:rPr>
          <w:rFonts w:ascii="Arial" w:hAnsi="宋体" w:cs="Arial" w:hint="eastAsia"/>
          <w:szCs w:val="21"/>
        </w:rPr>
        <w:t>开放日时，扣款是否顺延以销售机构的具体规定为准。具体扣款方式以上述销售机构的相关业务规则为准。</w:t>
      </w:r>
    </w:p>
    <w:p w:rsidR="002570A9" w:rsidRDefault="007E0063">
      <w:pPr>
        <w:adjustRightInd w:val="0"/>
        <w:snapToGrid w:val="0"/>
        <w:spacing w:line="360" w:lineRule="auto"/>
        <w:ind w:firstLineChars="200" w:firstLine="420"/>
        <w:rPr>
          <w:rFonts w:ascii="Arial" w:hAnsi="宋体" w:cs="Arial"/>
          <w:szCs w:val="21"/>
        </w:rPr>
      </w:pPr>
      <w:r>
        <w:rPr>
          <w:rFonts w:ascii="Arial" w:hAnsi="宋体" w:cs="Arial"/>
          <w:szCs w:val="21"/>
        </w:rPr>
        <w:t>3</w:t>
      </w:r>
      <w:r>
        <w:rPr>
          <w:rFonts w:ascii="Arial" w:hAnsi="宋体" w:cs="Arial" w:hint="eastAsia"/>
          <w:szCs w:val="21"/>
        </w:rPr>
        <w:t>）本基金的注册登记机构按照基金申购申请日（</w:t>
      </w:r>
      <w:r>
        <w:rPr>
          <w:rFonts w:ascii="Arial" w:hAnsi="宋体" w:cs="Arial" w:hint="eastAsia"/>
          <w:szCs w:val="21"/>
        </w:rPr>
        <w:t>T</w:t>
      </w:r>
      <w:r>
        <w:rPr>
          <w:rFonts w:ascii="Arial" w:hAnsi="宋体" w:cs="Arial" w:hint="eastAsia"/>
          <w:szCs w:val="21"/>
        </w:rPr>
        <w:t>日）的基金份额净值为基准计算申购份额，申购份额通常将在</w:t>
      </w:r>
      <w:r>
        <w:rPr>
          <w:rFonts w:ascii="Arial" w:hAnsi="宋体" w:cs="Arial" w:hint="eastAsia"/>
          <w:szCs w:val="21"/>
        </w:rPr>
        <w:t>T+1</w:t>
      </w:r>
      <w:r>
        <w:rPr>
          <w:rFonts w:ascii="Arial" w:hAnsi="宋体" w:cs="Arial" w:hint="eastAsia"/>
          <w:szCs w:val="21"/>
        </w:rPr>
        <w:t>工作日确认成功后直接计入投资者的基金账户，投资者可自</w:t>
      </w:r>
      <w:r>
        <w:rPr>
          <w:rFonts w:ascii="Arial" w:hAnsi="宋体" w:cs="Arial" w:hint="eastAsia"/>
          <w:szCs w:val="21"/>
        </w:rPr>
        <w:t>T+2</w:t>
      </w:r>
      <w:r>
        <w:rPr>
          <w:rFonts w:ascii="Arial" w:hAnsi="宋体" w:cs="Arial" w:hint="eastAsia"/>
          <w:szCs w:val="21"/>
        </w:rPr>
        <w:t>工作日起查询申购成交情况。</w:t>
      </w:r>
    </w:p>
    <w:p w:rsidR="002570A9" w:rsidRDefault="007E0063">
      <w:pPr>
        <w:adjustRightInd w:val="0"/>
        <w:snapToGrid w:val="0"/>
        <w:spacing w:line="360" w:lineRule="auto"/>
        <w:ind w:firstLineChars="200" w:firstLine="420"/>
        <w:rPr>
          <w:rFonts w:ascii="Arial" w:hAnsi="宋体" w:cs="Arial"/>
          <w:szCs w:val="21"/>
        </w:rPr>
      </w:pPr>
      <w:r>
        <w:rPr>
          <w:rFonts w:ascii="Arial" w:hAnsi="宋体" w:cs="Arial" w:hint="eastAsia"/>
          <w:szCs w:val="21"/>
        </w:rPr>
        <w:t>4</w:t>
      </w:r>
      <w:r>
        <w:rPr>
          <w:rFonts w:ascii="Arial" w:hAnsi="宋体" w:cs="Arial" w:hint="eastAsia"/>
          <w:szCs w:val="21"/>
        </w:rPr>
        <w:t>）当发生限制申购或暂停申购的情形时，除另有公告外，定期定额投资与日常申购按相同的原则确认。</w:t>
      </w:r>
    </w:p>
    <w:p w:rsidR="002570A9" w:rsidRDefault="007E0063">
      <w:pPr>
        <w:adjustRightInd w:val="0"/>
        <w:snapToGrid w:val="0"/>
        <w:spacing w:line="360" w:lineRule="auto"/>
        <w:ind w:firstLineChars="200" w:firstLine="420"/>
      </w:pPr>
      <w:r>
        <w:rPr>
          <w:rFonts w:ascii="Arial" w:hAnsi="宋体" w:cs="Arial" w:hint="eastAsia"/>
          <w:szCs w:val="21"/>
        </w:rPr>
        <w:t>5</w:t>
      </w:r>
      <w:r>
        <w:rPr>
          <w:rFonts w:ascii="Arial" w:hAnsi="宋体" w:cs="Arial" w:hint="eastAsia"/>
          <w:szCs w:val="21"/>
        </w:rPr>
        <w:t>）定期定额投资业务的其他具体办理程序请遵循各销售机构的有关规定。</w:t>
      </w:r>
    </w:p>
    <w:p w:rsidR="002570A9" w:rsidRDefault="007E0063" w:rsidP="007E0063">
      <w:pPr>
        <w:pStyle w:val="3"/>
        <w:keepNext w:val="0"/>
        <w:keepLines w:val="0"/>
        <w:spacing w:beforeLines="50" w:afterLines="50" w:line="360" w:lineRule="auto"/>
        <w:rPr>
          <w:rFonts w:asciiTheme="minorEastAsia" w:eastAsiaTheme="minorEastAsia" w:hAnsiTheme="minorEastAsia" w:cs="Arial"/>
          <w:bCs w:val="0"/>
          <w:sz w:val="21"/>
          <w:szCs w:val="21"/>
        </w:rPr>
      </w:pPr>
      <w:r>
        <w:rPr>
          <w:rFonts w:asciiTheme="minorEastAsia" w:eastAsiaTheme="minorEastAsia" w:hAnsiTheme="minorEastAsia" w:cs="Arial" w:hint="eastAsia"/>
          <w:bCs w:val="0"/>
          <w:sz w:val="21"/>
          <w:szCs w:val="21"/>
        </w:rPr>
        <w:t>6</w:t>
      </w:r>
      <w:r>
        <w:rPr>
          <w:rFonts w:asciiTheme="minorEastAsia" w:eastAsiaTheme="minorEastAsia" w:hAnsiTheme="minorEastAsia" w:cs="Arial" w:hint="eastAsia"/>
          <w:bCs w:val="0"/>
          <w:sz w:val="21"/>
          <w:szCs w:val="21"/>
        </w:rPr>
        <w:t>、日常转换业务</w:t>
      </w:r>
    </w:p>
    <w:p w:rsidR="002570A9" w:rsidRDefault="007E0063">
      <w:pPr>
        <w:adjustRightInd w:val="0"/>
        <w:snapToGrid w:val="0"/>
        <w:spacing w:line="360" w:lineRule="auto"/>
        <w:ind w:firstLineChars="200" w:firstLine="420"/>
        <w:rPr>
          <w:rFonts w:ascii="Arial" w:hAnsi="宋体" w:cs="Arial"/>
          <w:szCs w:val="21"/>
        </w:rPr>
      </w:pPr>
      <w:r>
        <w:rPr>
          <w:rFonts w:ascii="Arial" w:hAnsi="宋体" w:cs="Arial" w:hint="eastAsia"/>
          <w:szCs w:val="21"/>
        </w:rPr>
        <w:t>（</w:t>
      </w:r>
      <w:r>
        <w:rPr>
          <w:rFonts w:ascii="Arial" w:hAnsi="宋体" w:cs="Arial" w:hint="eastAsia"/>
          <w:szCs w:val="21"/>
        </w:rPr>
        <w:t>1</w:t>
      </w:r>
      <w:r>
        <w:rPr>
          <w:rFonts w:ascii="Arial" w:hAnsi="宋体" w:cs="Arial" w:hint="eastAsia"/>
          <w:szCs w:val="21"/>
        </w:rPr>
        <w:t>）基金转换（以下简称“转换”）是指基金份额持有人按照基金合同和基金管理人届时有效公告规定的条件，申请将其持有基金管理人管理的、某一基金的基金份额转换为基金管理人管理的其他基金基金份额的行为。基金转换分为转换转入（以下简称“转入”）和转换转出（以下简称“转出”）。每笔基金转换视为一笔赎回和一笔申购，基金转换费用相应由转出基金的赎回费用及转出、转入基金的申购补差费用两部分构成。</w:t>
      </w:r>
    </w:p>
    <w:p w:rsidR="002570A9" w:rsidRDefault="007E0063">
      <w:pPr>
        <w:adjustRightInd w:val="0"/>
        <w:snapToGrid w:val="0"/>
        <w:spacing w:line="360" w:lineRule="auto"/>
        <w:ind w:firstLineChars="200" w:firstLine="420"/>
        <w:rPr>
          <w:rFonts w:ascii="Arial" w:hAnsi="宋体" w:cs="Arial"/>
          <w:szCs w:val="21"/>
        </w:rPr>
      </w:pPr>
      <w:r>
        <w:rPr>
          <w:rFonts w:ascii="Arial" w:hAnsi="宋体" w:cs="Arial" w:hint="eastAsia"/>
          <w:szCs w:val="21"/>
        </w:rPr>
        <w:t>（</w:t>
      </w:r>
      <w:r>
        <w:rPr>
          <w:rFonts w:ascii="Arial" w:hAnsi="宋体" w:cs="Arial" w:hint="eastAsia"/>
          <w:szCs w:val="21"/>
        </w:rPr>
        <w:t>2</w:t>
      </w:r>
      <w:r>
        <w:rPr>
          <w:rFonts w:ascii="Arial" w:hAnsi="宋体" w:cs="Arial" w:hint="eastAsia"/>
          <w:szCs w:val="21"/>
        </w:rPr>
        <w:t>）转出基金的赎回费用</w:t>
      </w:r>
    </w:p>
    <w:p w:rsidR="002570A9" w:rsidRDefault="007E0063">
      <w:pPr>
        <w:adjustRightInd w:val="0"/>
        <w:snapToGrid w:val="0"/>
        <w:spacing w:line="360" w:lineRule="auto"/>
        <w:ind w:firstLineChars="200" w:firstLine="420"/>
        <w:rPr>
          <w:rFonts w:ascii="Arial" w:hAnsi="宋体" w:cs="Arial"/>
          <w:szCs w:val="21"/>
        </w:rPr>
      </w:pPr>
      <w:r>
        <w:rPr>
          <w:rFonts w:ascii="Arial" w:hAnsi="宋体" w:cs="Arial" w:hint="eastAsia"/>
          <w:szCs w:val="21"/>
        </w:rPr>
        <w:t>转出基金的赎回费用按照各基金最新的更新招募说明书及相关公告规定的赎回费率和计费方式收取，赎回费用按一定比例归</w:t>
      </w:r>
      <w:r>
        <w:rPr>
          <w:rFonts w:ascii="Arial" w:hAnsi="宋体" w:cs="Arial" w:hint="eastAsia"/>
          <w:szCs w:val="21"/>
        </w:rPr>
        <w:t>入基金财产（收取标准遵循各基金最新的更新招募说明书相关规定），其余部分用于支付注册登记费等相关手续费。</w:t>
      </w:r>
    </w:p>
    <w:p w:rsidR="002570A9" w:rsidRDefault="007E0063">
      <w:pPr>
        <w:adjustRightInd w:val="0"/>
        <w:snapToGrid w:val="0"/>
        <w:spacing w:line="360" w:lineRule="auto"/>
        <w:ind w:firstLineChars="200" w:firstLine="420"/>
        <w:rPr>
          <w:rFonts w:ascii="Arial" w:hAnsi="宋体" w:cs="Arial"/>
          <w:szCs w:val="21"/>
        </w:rPr>
      </w:pPr>
      <w:r>
        <w:rPr>
          <w:rFonts w:ascii="Arial" w:hAnsi="宋体" w:cs="Arial" w:hint="eastAsia"/>
          <w:szCs w:val="21"/>
        </w:rPr>
        <w:t>（</w:t>
      </w:r>
      <w:r>
        <w:rPr>
          <w:rFonts w:ascii="Arial" w:hAnsi="宋体" w:cs="Arial" w:hint="eastAsia"/>
          <w:szCs w:val="21"/>
        </w:rPr>
        <w:t>3</w:t>
      </w:r>
      <w:r>
        <w:rPr>
          <w:rFonts w:ascii="Arial" w:hAnsi="宋体" w:cs="Arial" w:hint="eastAsia"/>
          <w:szCs w:val="21"/>
        </w:rPr>
        <w:t>）转出与转入基金的申购补差费用</w:t>
      </w:r>
    </w:p>
    <w:p w:rsidR="002570A9" w:rsidRDefault="007E0063">
      <w:pPr>
        <w:adjustRightInd w:val="0"/>
        <w:snapToGrid w:val="0"/>
        <w:spacing w:line="360" w:lineRule="auto"/>
        <w:ind w:firstLineChars="200" w:firstLine="420"/>
        <w:rPr>
          <w:rFonts w:ascii="Arial" w:hAnsi="宋体" w:cs="Arial"/>
          <w:szCs w:val="21"/>
        </w:rPr>
      </w:pPr>
      <w:r>
        <w:rPr>
          <w:rFonts w:ascii="Arial" w:hAnsi="宋体" w:cs="Arial" w:hint="eastAsia"/>
          <w:szCs w:val="21"/>
        </w:rPr>
        <w:t>从不收取申购费用的基金或申购费用低的基金向申购费用高的基金转换时，每次收取申购补差费用；从申购费用高的基金向申购费用低的基金或不收取申购费用的基金转换时，不收取申购补差费用。申购补差费用原则上按照转出确认金额对应分档的转入基金与转出基金的申购费率差额进行补差，具体收取情况视每次转换时两只基金的申购费率的差异情况而定。</w:t>
      </w:r>
    </w:p>
    <w:p w:rsidR="002570A9" w:rsidRDefault="007E0063">
      <w:pPr>
        <w:adjustRightInd w:val="0"/>
        <w:snapToGrid w:val="0"/>
        <w:spacing w:line="360" w:lineRule="auto"/>
        <w:ind w:firstLineChars="200" w:firstLine="420"/>
        <w:rPr>
          <w:rFonts w:ascii="Arial" w:hAnsi="宋体" w:cs="Arial"/>
          <w:szCs w:val="21"/>
        </w:rPr>
      </w:pPr>
      <w:r>
        <w:rPr>
          <w:rFonts w:ascii="Arial" w:hAnsi="宋体" w:cs="Arial" w:hint="eastAsia"/>
          <w:szCs w:val="21"/>
        </w:rPr>
        <w:t>（</w:t>
      </w:r>
      <w:r>
        <w:rPr>
          <w:rFonts w:ascii="Arial" w:hAnsi="宋体" w:cs="Arial" w:hint="eastAsia"/>
          <w:szCs w:val="21"/>
        </w:rPr>
        <w:t>4</w:t>
      </w:r>
      <w:r>
        <w:rPr>
          <w:rFonts w:ascii="Arial" w:hAnsi="宋体" w:cs="Arial" w:hint="eastAsia"/>
          <w:szCs w:val="21"/>
        </w:rPr>
        <w:t>）基金转换份额的计算公式</w:t>
      </w:r>
    </w:p>
    <w:p w:rsidR="002570A9" w:rsidRDefault="007E0063">
      <w:pPr>
        <w:adjustRightInd w:val="0"/>
        <w:snapToGrid w:val="0"/>
        <w:spacing w:line="360" w:lineRule="auto"/>
        <w:ind w:firstLineChars="200" w:firstLine="420"/>
        <w:rPr>
          <w:rFonts w:ascii="Arial" w:hAnsi="宋体" w:cs="Arial"/>
          <w:szCs w:val="21"/>
        </w:rPr>
      </w:pPr>
      <w:r>
        <w:rPr>
          <w:rFonts w:ascii="Arial" w:hAnsi="宋体" w:cs="Arial" w:hint="eastAsia"/>
          <w:szCs w:val="21"/>
        </w:rPr>
        <w:t>转出确认金额＝转出基金</w:t>
      </w:r>
      <w:r>
        <w:rPr>
          <w:rFonts w:ascii="Arial" w:hAnsi="宋体" w:cs="Arial" w:hint="eastAsia"/>
          <w:szCs w:val="21"/>
        </w:rPr>
        <w:t>份额×转换申请当日转出基金的基金份额净值</w:t>
      </w:r>
    </w:p>
    <w:p w:rsidR="002570A9" w:rsidRDefault="007E0063">
      <w:pPr>
        <w:adjustRightInd w:val="0"/>
        <w:snapToGrid w:val="0"/>
        <w:spacing w:line="360" w:lineRule="auto"/>
        <w:ind w:firstLineChars="200" w:firstLine="420"/>
        <w:rPr>
          <w:rFonts w:ascii="Arial" w:hAnsi="宋体" w:cs="Arial"/>
          <w:szCs w:val="21"/>
        </w:rPr>
      </w:pPr>
      <w:r>
        <w:rPr>
          <w:rFonts w:ascii="Arial" w:hAnsi="宋体" w:cs="Arial" w:hint="eastAsia"/>
          <w:szCs w:val="21"/>
        </w:rPr>
        <w:t>转出基金的赎回费用＝转出确认金额×转出基金对应的赎回费率</w:t>
      </w:r>
    </w:p>
    <w:p w:rsidR="002570A9" w:rsidRDefault="007E0063">
      <w:pPr>
        <w:adjustRightInd w:val="0"/>
        <w:snapToGrid w:val="0"/>
        <w:spacing w:line="360" w:lineRule="auto"/>
        <w:ind w:firstLineChars="200" w:firstLine="420"/>
        <w:rPr>
          <w:rFonts w:ascii="Arial" w:hAnsi="宋体" w:cs="Arial"/>
          <w:szCs w:val="21"/>
        </w:rPr>
      </w:pPr>
      <w:r>
        <w:rPr>
          <w:rFonts w:ascii="Arial" w:hAnsi="宋体" w:cs="Arial" w:hint="eastAsia"/>
          <w:szCs w:val="21"/>
        </w:rPr>
        <w:t>转入确认金额＝转出确认金额－转出基金的赎回费用</w:t>
      </w:r>
    </w:p>
    <w:p w:rsidR="002570A9" w:rsidRDefault="007E0063">
      <w:pPr>
        <w:adjustRightInd w:val="0"/>
        <w:snapToGrid w:val="0"/>
        <w:spacing w:line="360" w:lineRule="auto"/>
        <w:ind w:firstLineChars="200" w:firstLine="420"/>
        <w:rPr>
          <w:rFonts w:ascii="Arial" w:hAnsi="宋体" w:cs="Arial"/>
          <w:szCs w:val="21"/>
        </w:rPr>
      </w:pPr>
      <w:r>
        <w:rPr>
          <w:rFonts w:ascii="Arial" w:hAnsi="宋体" w:cs="Arial" w:hint="eastAsia"/>
          <w:szCs w:val="21"/>
        </w:rPr>
        <w:t>转出与转入基金的申购补差费用＝转入确认金额×对应的转入基金的申购费率</w:t>
      </w:r>
      <w:r>
        <w:rPr>
          <w:rFonts w:ascii="Arial" w:hAnsi="宋体" w:cs="Arial" w:hint="eastAsia"/>
          <w:szCs w:val="21"/>
        </w:rPr>
        <w:t xml:space="preserve"> /</w:t>
      </w:r>
      <w:r>
        <w:rPr>
          <w:rFonts w:ascii="Arial" w:hAnsi="宋体" w:cs="Arial" w:hint="eastAsia"/>
          <w:szCs w:val="21"/>
        </w:rPr>
        <w:t>（</w:t>
      </w:r>
      <w:r>
        <w:rPr>
          <w:rFonts w:ascii="Arial" w:hAnsi="宋体" w:cs="Arial" w:hint="eastAsia"/>
          <w:szCs w:val="21"/>
        </w:rPr>
        <w:t>1+</w:t>
      </w:r>
      <w:r>
        <w:rPr>
          <w:rFonts w:ascii="Arial" w:hAnsi="宋体" w:cs="Arial" w:hint="eastAsia"/>
          <w:szCs w:val="21"/>
        </w:rPr>
        <w:t>对应的转入基金的申购费率）－转入确认金额×对应的转出基金的申购费率</w:t>
      </w:r>
      <w:r>
        <w:rPr>
          <w:rFonts w:ascii="Arial" w:hAnsi="宋体" w:cs="Arial" w:hint="eastAsia"/>
          <w:szCs w:val="21"/>
        </w:rPr>
        <w:t xml:space="preserve"> /</w:t>
      </w:r>
      <w:r>
        <w:rPr>
          <w:rFonts w:ascii="Arial" w:hAnsi="宋体" w:cs="Arial" w:hint="eastAsia"/>
          <w:szCs w:val="21"/>
        </w:rPr>
        <w:t>（</w:t>
      </w:r>
      <w:r>
        <w:rPr>
          <w:rFonts w:ascii="Arial" w:hAnsi="宋体" w:cs="Arial" w:hint="eastAsia"/>
          <w:szCs w:val="21"/>
        </w:rPr>
        <w:t>1+</w:t>
      </w:r>
      <w:r>
        <w:rPr>
          <w:rFonts w:ascii="Arial" w:hAnsi="宋体" w:cs="Arial" w:hint="eastAsia"/>
          <w:szCs w:val="21"/>
        </w:rPr>
        <w:t>对应的转出基金的申购费率）</w:t>
      </w:r>
    </w:p>
    <w:p w:rsidR="002570A9" w:rsidRDefault="007E0063">
      <w:pPr>
        <w:adjustRightInd w:val="0"/>
        <w:snapToGrid w:val="0"/>
        <w:spacing w:line="360" w:lineRule="auto"/>
        <w:ind w:firstLineChars="200" w:firstLine="420"/>
        <w:rPr>
          <w:rFonts w:ascii="Arial" w:hAnsi="宋体" w:cs="Arial"/>
          <w:szCs w:val="21"/>
        </w:rPr>
      </w:pPr>
      <w:r>
        <w:rPr>
          <w:rFonts w:ascii="Arial" w:hAnsi="宋体" w:cs="Arial" w:hint="eastAsia"/>
          <w:szCs w:val="21"/>
        </w:rPr>
        <w:t>（注：对于适用固定金额申购补差费用的，转出与转入基金的申购补差费＝固定金额的申购补差费）</w:t>
      </w:r>
    </w:p>
    <w:p w:rsidR="002570A9" w:rsidRDefault="007E0063">
      <w:pPr>
        <w:adjustRightInd w:val="0"/>
        <w:snapToGrid w:val="0"/>
        <w:spacing w:line="360" w:lineRule="auto"/>
        <w:ind w:firstLineChars="200" w:firstLine="420"/>
        <w:rPr>
          <w:rFonts w:ascii="Arial" w:hAnsi="宋体" w:cs="Arial"/>
          <w:szCs w:val="21"/>
        </w:rPr>
      </w:pPr>
      <w:r>
        <w:rPr>
          <w:rFonts w:ascii="Arial" w:hAnsi="宋体" w:cs="Arial" w:hint="eastAsia"/>
          <w:szCs w:val="21"/>
        </w:rPr>
        <w:t>净转入确认金额＝转入确认金额</w:t>
      </w:r>
      <w:r>
        <w:rPr>
          <w:rFonts w:ascii="Arial" w:hAnsi="宋体" w:cs="Arial" w:hint="eastAsia"/>
          <w:szCs w:val="21"/>
        </w:rPr>
        <w:t>-</w:t>
      </w:r>
      <w:r>
        <w:rPr>
          <w:rFonts w:ascii="Arial" w:hAnsi="宋体" w:cs="Arial" w:hint="eastAsia"/>
          <w:szCs w:val="21"/>
        </w:rPr>
        <w:t>转出与转入基金的申购补差费用</w:t>
      </w:r>
    </w:p>
    <w:p w:rsidR="002570A9" w:rsidRDefault="007E0063">
      <w:pPr>
        <w:adjustRightInd w:val="0"/>
        <w:snapToGrid w:val="0"/>
        <w:spacing w:line="360" w:lineRule="auto"/>
        <w:ind w:firstLineChars="200" w:firstLine="420"/>
        <w:rPr>
          <w:rFonts w:ascii="Arial" w:hAnsi="宋体" w:cs="Arial"/>
          <w:szCs w:val="21"/>
        </w:rPr>
      </w:pPr>
      <w:r>
        <w:rPr>
          <w:rFonts w:ascii="Arial" w:hAnsi="宋体" w:cs="Arial" w:hint="eastAsia"/>
          <w:szCs w:val="21"/>
        </w:rPr>
        <w:t>转入基金确认份额＝净转入确认金额</w:t>
      </w:r>
      <w:r>
        <w:rPr>
          <w:rFonts w:ascii="Arial" w:hAnsi="宋体" w:cs="Arial" w:hint="eastAsia"/>
          <w:szCs w:val="21"/>
        </w:rPr>
        <w:t>÷转换申请当日转入基金的基金份额净值</w:t>
      </w:r>
    </w:p>
    <w:p w:rsidR="002570A9" w:rsidRDefault="007E0063">
      <w:pPr>
        <w:adjustRightInd w:val="0"/>
        <w:snapToGrid w:val="0"/>
        <w:spacing w:line="360" w:lineRule="auto"/>
        <w:ind w:firstLineChars="200" w:firstLine="420"/>
        <w:rPr>
          <w:rFonts w:ascii="Arial" w:hAnsi="宋体" w:cs="Arial"/>
          <w:szCs w:val="21"/>
        </w:rPr>
      </w:pPr>
      <w:r>
        <w:rPr>
          <w:rFonts w:ascii="Arial" w:hAnsi="宋体" w:cs="Arial" w:hint="eastAsia"/>
          <w:szCs w:val="21"/>
        </w:rPr>
        <w:t>转入基金确认份额计算结果按四舍五入方法，保留到小数点后</w:t>
      </w:r>
      <w:r>
        <w:rPr>
          <w:rFonts w:ascii="Arial" w:hAnsi="宋体" w:cs="Arial" w:hint="eastAsia"/>
          <w:szCs w:val="21"/>
        </w:rPr>
        <w:t>2</w:t>
      </w:r>
      <w:r>
        <w:rPr>
          <w:rFonts w:ascii="Arial" w:hAnsi="宋体" w:cs="Arial" w:hint="eastAsia"/>
          <w:szCs w:val="21"/>
        </w:rPr>
        <w:t>位，由此产生的收益或损失由基金财产承担。</w:t>
      </w:r>
    </w:p>
    <w:p w:rsidR="002570A9" w:rsidRDefault="007E0063">
      <w:pPr>
        <w:adjustRightInd w:val="0"/>
        <w:snapToGrid w:val="0"/>
        <w:spacing w:line="360" w:lineRule="auto"/>
        <w:ind w:firstLineChars="200" w:firstLine="420"/>
        <w:rPr>
          <w:rFonts w:ascii="Arial" w:hAnsi="宋体" w:cs="Arial"/>
          <w:szCs w:val="21"/>
        </w:rPr>
      </w:pPr>
      <w:r>
        <w:rPr>
          <w:rFonts w:ascii="Arial" w:hAnsi="宋体" w:cs="Arial" w:hint="eastAsia"/>
          <w:szCs w:val="21"/>
        </w:rPr>
        <w:t>（</w:t>
      </w:r>
      <w:r>
        <w:rPr>
          <w:rFonts w:ascii="Arial" w:hAnsi="宋体" w:cs="Arial" w:hint="eastAsia"/>
          <w:szCs w:val="21"/>
        </w:rPr>
        <w:t>5</w:t>
      </w:r>
      <w:r>
        <w:rPr>
          <w:rFonts w:ascii="Arial" w:hAnsi="宋体" w:cs="Arial" w:hint="eastAsia"/>
          <w:szCs w:val="21"/>
        </w:rPr>
        <w:t>）适用基金</w:t>
      </w:r>
    </w:p>
    <w:p w:rsidR="002570A9" w:rsidRDefault="007E0063">
      <w:pPr>
        <w:adjustRightInd w:val="0"/>
        <w:snapToGrid w:val="0"/>
        <w:spacing w:line="360" w:lineRule="auto"/>
        <w:ind w:firstLineChars="200" w:firstLine="420"/>
        <w:rPr>
          <w:rFonts w:ascii="Arial" w:hAnsi="宋体" w:cs="Arial"/>
          <w:szCs w:val="21"/>
        </w:rPr>
      </w:pPr>
      <w:r>
        <w:rPr>
          <w:rFonts w:ascii="Arial" w:hAnsi="宋体" w:cs="Arial" w:hint="eastAsia"/>
          <w:szCs w:val="21"/>
        </w:rPr>
        <w:t>本基金开通与基金管理人旗下其它开放式基金之间的转换业务，投资人办理基金转换业务时，转出方的基金必须处于可赎回状态，转入方的基金必须处于可申购状态，基金转换只能在同一销售机构进行，转换的两只基金必须是同一销售机构同时代理销售的本公司管理的已开通转换业务的基金。各基金转换业务的开放状态及交易限制可从各基金相关公告或基金管理人官方网站进行查询。</w:t>
      </w:r>
    </w:p>
    <w:p w:rsidR="002570A9" w:rsidRDefault="007E0063">
      <w:pPr>
        <w:adjustRightInd w:val="0"/>
        <w:snapToGrid w:val="0"/>
        <w:spacing w:line="360" w:lineRule="auto"/>
        <w:ind w:firstLineChars="200" w:firstLine="420"/>
        <w:rPr>
          <w:rFonts w:ascii="Arial" w:hAnsi="宋体" w:cs="Arial"/>
          <w:szCs w:val="21"/>
        </w:rPr>
      </w:pPr>
      <w:r>
        <w:rPr>
          <w:rFonts w:ascii="Arial" w:hAnsi="宋体" w:cs="Arial" w:hint="eastAsia"/>
          <w:szCs w:val="21"/>
        </w:rPr>
        <w:t>各销售机构参加基金</w:t>
      </w:r>
      <w:r>
        <w:rPr>
          <w:rFonts w:ascii="Arial" w:hAnsi="宋体" w:cs="Arial" w:hint="eastAsia"/>
          <w:szCs w:val="21"/>
        </w:rPr>
        <w:t>转换的具体基金以各销售机构的规定为准。</w:t>
      </w:r>
    </w:p>
    <w:p w:rsidR="002570A9" w:rsidRDefault="007E0063">
      <w:pPr>
        <w:adjustRightInd w:val="0"/>
        <w:snapToGrid w:val="0"/>
        <w:spacing w:line="360" w:lineRule="auto"/>
        <w:ind w:firstLineChars="200" w:firstLine="420"/>
        <w:rPr>
          <w:rFonts w:ascii="Arial" w:hAnsi="宋体" w:cs="Arial"/>
          <w:szCs w:val="21"/>
        </w:rPr>
      </w:pPr>
      <w:r>
        <w:rPr>
          <w:rFonts w:ascii="Arial" w:hAnsi="宋体" w:cs="Arial" w:hint="eastAsia"/>
          <w:szCs w:val="21"/>
        </w:rPr>
        <w:t>（</w:t>
      </w:r>
      <w:r>
        <w:rPr>
          <w:rFonts w:ascii="Arial" w:hAnsi="宋体" w:cs="Arial" w:hint="eastAsia"/>
          <w:szCs w:val="21"/>
        </w:rPr>
        <w:t>6</w:t>
      </w:r>
      <w:r>
        <w:rPr>
          <w:rFonts w:ascii="Arial" w:hAnsi="宋体" w:cs="Arial" w:hint="eastAsia"/>
          <w:szCs w:val="21"/>
        </w:rPr>
        <w:t>）基金转换的基本规则</w:t>
      </w:r>
    </w:p>
    <w:p w:rsidR="002570A9" w:rsidRDefault="007E0063">
      <w:pPr>
        <w:adjustRightInd w:val="0"/>
        <w:snapToGrid w:val="0"/>
        <w:spacing w:line="360" w:lineRule="auto"/>
        <w:ind w:firstLineChars="200" w:firstLine="420"/>
        <w:rPr>
          <w:rFonts w:ascii="Arial" w:hAnsi="宋体" w:cs="Arial"/>
          <w:szCs w:val="21"/>
        </w:rPr>
      </w:pPr>
      <w:r>
        <w:rPr>
          <w:rFonts w:ascii="Arial" w:hAnsi="宋体" w:cs="Arial" w:hint="eastAsia"/>
          <w:szCs w:val="21"/>
        </w:rPr>
        <w:t>1</w:t>
      </w:r>
      <w:r>
        <w:rPr>
          <w:rFonts w:ascii="Arial" w:hAnsi="宋体" w:cs="Arial" w:hint="eastAsia"/>
          <w:szCs w:val="21"/>
        </w:rPr>
        <w:t>）基金转换只能在同一销售机构进行。转换的两只基金必须都是该销售机构代理的同一基金管理人管理的、在同一注册登记机构处注册登记的基金。投资者办理基金转换业务时，转出方的基金必须处于可赎回状态，转入方的基金必须处于可申购状态。</w:t>
      </w:r>
    </w:p>
    <w:p w:rsidR="002570A9" w:rsidRDefault="007E0063">
      <w:pPr>
        <w:adjustRightInd w:val="0"/>
        <w:snapToGrid w:val="0"/>
        <w:spacing w:line="360" w:lineRule="auto"/>
        <w:ind w:firstLineChars="200" w:firstLine="420"/>
        <w:rPr>
          <w:rFonts w:ascii="Arial" w:hAnsi="宋体" w:cs="Arial"/>
          <w:szCs w:val="21"/>
        </w:rPr>
      </w:pPr>
      <w:r>
        <w:rPr>
          <w:rFonts w:ascii="Arial" w:hAnsi="宋体" w:cs="Arial" w:hint="eastAsia"/>
          <w:szCs w:val="21"/>
        </w:rPr>
        <w:t>2</w:t>
      </w:r>
      <w:r>
        <w:rPr>
          <w:rFonts w:ascii="Arial" w:hAnsi="宋体" w:cs="Arial" w:hint="eastAsia"/>
          <w:szCs w:val="21"/>
        </w:rPr>
        <w:t>）基金转换采取“未知价”法，即基金的转换价格以申请受理当日各转出、转入基金的基金份额净值为基准进行计算。</w:t>
      </w:r>
    </w:p>
    <w:p w:rsidR="002570A9" w:rsidRDefault="007E0063">
      <w:pPr>
        <w:adjustRightInd w:val="0"/>
        <w:snapToGrid w:val="0"/>
        <w:spacing w:line="360" w:lineRule="auto"/>
        <w:ind w:firstLineChars="200" w:firstLine="420"/>
        <w:rPr>
          <w:rFonts w:ascii="Arial" w:hAnsi="宋体" w:cs="Arial"/>
          <w:szCs w:val="21"/>
        </w:rPr>
      </w:pPr>
      <w:r>
        <w:rPr>
          <w:rFonts w:ascii="Arial" w:hAnsi="宋体" w:cs="Arial" w:hint="eastAsia"/>
          <w:szCs w:val="21"/>
        </w:rPr>
        <w:t>3</w:t>
      </w:r>
      <w:r>
        <w:rPr>
          <w:rFonts w:ascii="Arial" w:hAnsi="宋体" w:cs="Arial" w:hint="eastAsia"/>
          <w:szCs w:val="21"/>
        </w:rPr>
        <w:t>）转出基金份额遵循“先进先出”的原则，转换后，转入基金份额的持有时间将重新计算，即转入基金份额的持有期将自转入基</w:t>
      </w:r>
      <w:r>
        <w:rPr>
          <w:rFonts w:ascii="Arial" w:hAnsi="宋体" w:cs="Arial" w:hint="eastAsia"/>
          <w:szCs w:val="21"/>
        </w:rPr>
        <w:t>金份额确认日起重新开始计算。</w:t>
      </w:r>
    </w:p>
    <w:p w:rsidR="002570A9" w:rsidRDefault="007E0063">
      <w:pPr>
        <w:adjustRightInd w:val="0"/>
        <w:snapToGrid w:val="0"/>
        <w:spacing w:line="360" w:lineRule="auto"/>
        <w:ind w:firstLineChars="200" w:firstLine="420"/>
        <w:rPr>
          <w:rFonts w:ascii="Arial" w:hAnsi="宋体" w:cs="Arial"/>
          <w:szCs w:val="21"/>
        </w:rPr>
      </w:pPr>
      <w:r>
        <w:rPr>
          <w:rFonts w:ascii="Arial" w:hAnsi="宋体" w:cs="Arial" w:hint="eastAsia"/>
          <w:szCs w:val="21"/>
        </w:rPr>
        <w:t>4</w:t>
      </w:r>
      <w:r>
        <w:rPr>
          <w:rFonts w:ascii="Arial" w:hAnsi="宋体" w:cs="Arial" w:hint="eastAsia"/>
          <w:szCs w:val="21"/>
        </w:rPr>
        <w:t>）当发生巨额赎回时，基金转出与基金赎回具有相同的优先级，基金管理人可根据基金资产组合情况，决定全额转出或部分转出，并且对于基金转出和基金赎回，将采取相同的比例确认；在转出申请得到部分确认的情况下，未确认的转出申请将不予以顺延。</w:t>
      </w:r>
    </w:p>
    <w:p w:rsidR="002570A9" w:rsidRDefault="007E0063">
      <w:pPr>
        <w:adjustRightInd w:val="0"/>
        <w:snapToGrid w:val="0"/>
        <w:spacing w:line="360" w:lineRule="auto"/>
        <w:ind w:firstLineChars="200" w:firstLine="420"/>
        <w:rPr>
          <w:rFonts w:ascii="Arial" w:hAnsi="宋体" w:cs="Arial"/>
          <w:szCs w:val="21"/>
        </w:rPr>
      </w:pPr>
      <w:r>
        <w:rPr>
          <w:rFonts w:ascii="Arial" w:hAnsi="宋体" w:cs="Arial" w:hint="eastAsia"/>
          <w:szCs w:val="21"/>
        </w:rPr>
        <w:t>（</w:t>
      </w:r>
      <w:r>
        <w:rPr>
          <w:rFonts w:ascii="Arial" w:hAnsi="宋体" w:cs="Arial" w:hint="eastAsia"/>
          <w:szCs w:val="21"/>
        </w:rPr>
        <w:t>7</w:t>
      </w:r>
      <w:r>
        <w:rPr>
          <w:rFonts w:ascii="Arial" w:hAnsi="宋体" w:cs="Arial" w:hint="eastAsia"/>
          <w:szCs w:val="21"/>
        </w:rPr>
        <w:t>）基金转换的数额限制</w:t>
      </w:r>
    </w:p>
    <w:p w:rsidR="002570A9" w:rsidRDefault="00DD3B81">
      <w:pPr>
        <w:adjustRightInd w:val="0"/>
        <w:snapToGrid w:val="0"/>
        <w:spacing w:line="360" w:lineRule="auto"/>
        <w:ind w:firstLineChars="200" w:firstLine="420"/>
        <w:rPr>
          <w:rFonts w:ascii="Arial" w:hAnsi="宋体" w:cs="Arial"/>
          <w:szCs w:val="21"/>
        </w:rPr>
      </w:pPr>
      <w:r w:rsidRPr="00DD3B81">
        <w:rPr>
          <w:rFonts w:ascii="Arial" w:hAnsi="宋体" w:cs="Arial" w:hint="eastAsia"/>
          <w:szCs w:val="21"/>
        </w:rPr>
        <w:t>基金持有人可将其全部或部分基金份额转换成其它基金，但单笔转换份额不得低于</w:t>
      </w:r>
      <w:r w:rsidRPr="00DD3B81">
        <w:rPr>
          <w:rFonts w:ascii="Arial" w:hAnsi="宋体" w:cs="Arial" w:hint="eastAsia"/>
          <w:szCs w:val="21"/>
        </w:rPr>
        <w:t>1</w:t>
      </w:r>
      <w:r w:rsidRPr="00DD3B81">
        <w:rPr>
          <w:rFonts w:ascii="Arial" w:hAnsi="宋体" w:cs="Arial" w:hint="eastAsia"/>
          <w:szCs w:val="21"/>
        </w:rPr>
        <w:t>份，销售机构有不同规定的，按照该销售机构的相关规定办理</w:t>
      </w:r>
      <w:r>
        <w:rPr>
          <w:rFonts w:ascii="Arial" w:hAnsi="宋体" w:cs="Arial" w:hint="eastAsia"/>
          <w:szCs w:val="21"/>
        </w:rPr>
        <w:t>。</w:t>
      </w:r>
    </w:p>
    <w:p w:rsidR="002570A9" w:rsidRDefault="007E0063" w:rsidP="007E0063">
      <w:pPr>
        <w:pStyle w:val="3"/>
        <w:keepNext w:val="0"/>
        <w:keepLines w:val="0"/>
        <w:spacing w:beforeLines="50" w:afterLines="50" w:line="360" w:lineRule="auto"/>
        <w:rPr>
          <w:rFonts w:ascii="Arial" w:hAnsi="Arial" w:cs="Arial"/>
          <w:b w:val="0"/>
          <w:bCs w:val="0"/>
          <w:szCs w:val="21"/>
        </w:rPr>
      </w:pPr>
      <w:r>
        <w:rPr>
          <w:rFonts w:asciiTheme="minorEastAsia" w:eastAsiaTheme="minorEastAsia" w:hAnsiTheme="minorEastAsia" w:cs="Arial" w:hint="eastAsia"/>
          <w:bCs w:val="0"/>
          <w:sz w:val="21"/>
          <w:szCs w:val="21"/>
        </w:rPr>
        <w:t>7</w:t>
      </w:r>
      <w:r>
        <w:rPr>
          <w:rFonts w:asciiTheme="minorEastAsia" w:eastAsiaTheme="minorEastAsia" w:hAnsiTheme="minorEastAsia" w:cs="Arial" w:hint="eastAsia"/>
          <w:bCs w:val="0"/>
          <w:sz w:val="21"/>
          <w:szCs w:val="21"/>
        </w:rPr>
        <w:t>、</w:t>
      </w:r>
      <w:r>
        <w:rPr>
          <w:rFonts w:asciiTheme="minorEastAsia" w:eastAsiaTheme="minorEastAsia" w:hAnsiTheme="minorEastAsia" w:cs="Arial"/>
          <w:bCs w:val="0"/>
          <w:sz w:val="21"/>
          <w:szCs w:val="21"/>
        </w:rPr>
        <w:t>基金销售机构</w:t>
      </w:r>
    </w:p>
    <w:p w:rsidR="002570A9" w:rsidRDefault="007E006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w:t>
      </w:r>
      <w:r>
        <w:rPr>
          <w:rFonts w:asciiTheme="minorEastAsia" w:eastAsiaTheme="minorEastAsia" w:hAnsiTheme="minorEastAsia" w:cs="Arial" w:hint="eastAsia"/>
          <w:bCs/>
          <w:szCs w:val="21"/>
        </w:rPr>
        <w:t>1</w:t>
      </w:r>
      <w:r>
        <w:rPr>
          <w:rFonts w:asciiTheme="minorEastAsia" w:eastAsiaTheme="minorEastAsia" w:hAnsiTheme="minorEastAsia" w:cs="Arial" w:hint="eastAsia"/>
          <w:bCs/>
          <w:szCs w:val="21"/>
        </w:rPr>
        <w:t>）直销机构：</w:t>
      </w:r>
    </w:p>
    <w:p w:rsidR="002570A9" w:rsidRDefault="007E006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惠升基金管理有限责任公司直销中心</w:t>
      </w:r>
    </w:p>
    <w:p w:rsidR="00A24780" w:rsidRDefault="00A24780">
      <w:pPr>
        <w:snapToGrid w:val="0"/>
        <w:spacing w:line="360" w:lineRule="auto"/>
        <w:ind w:firstLineChars="200" w:firstLine="420"/>
        <w:rPr>
          <w:rFonts w:asciiTheme="minorEastAsia" w:eastAsiaTheme="minorEastAsia" w:hAnsiTheme="minorEastAsia" w:cs="Arial"/>
          <w:bCs/>
          <w:szCs w:val="21"/>
        </w:rPr>
      </w:pPr>
      <w:r w:rsidRPr="00A24780">
        <w:rPr>
          <w:rFonts w:asciiTheme="minorEastAsia" w:eastAsiaTheme="minorEastAsia" w:hAnsiTheme="minorEastAsia" w:cs="Arial" w:hint="eastAsia"/>
          <w:bCs/>
          <w:szCs w:val="21"/>
        </w:rPr>
        <w:t>住所：西藏自治区拉萨市柳梧新区柳梧大道浙商国际5栋1单元902号</w:t>
      </w:r>
    </w:p>
    <w:p w:rsidR="002570A9" w:rsidRDefault="007E006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办公地址：北京市西城区金融大街</w:t>
      </w:r>
      <w:r>
        <w:rPr>
          <w:rFonts w:asciiTheme="minorEastAsia" w:eastAsiaTheme="minorEastAsia" w:hAnsiTheme="minorEastAsia" w:cs="Arial" w:hint="eastAsia"/>
          <w:bCs/>
          <w:szCs w:val="21"/>
        </w:rPr>
        <w:t>27</w:t>
      </w:r>
      <w:r>
        <w:rPr>
          <w:rFonts w:asciiTheme="minorEastAsia" w:eastAsiaTheme="minorEastAsia" w:hAnsiTheme="minorEastAsia" w:cs="Arial" w:hint="eastAsia"/>
          <w:bCs/>
          <w:szCs w:val="21"/>
        </w:rPr>
        <w:t>号投资广场</w:t>
      </w:r>
      <w:r>
        <w:rPr>
          <w:rFonts w:asciiTheme="minorEastAsia" w:eastAsiaTheme="minorEastAsia" w:hAnsiTheme="minorEastAsia" w:cs="Arial" w:hint="eastAsia"/>
          <w:bCs/>
          <w:szCs w:val="21"/>
        </w:rPr>
        <w:t>B</w:t>
      </w:r>
      <w:r>
        <w:rPr>
          <w:rFonts w:asciiTheme="minorEastAsia" w:eastAsiaTheme="minorEastAsia" w:hAnsiTheme="minorEastAsia" w:cs="Arial" w:hint="eastAsia"/>
          <w:bCs/>
          <w:szCs w:val="21"/>
        </w:rPr>
        <w:t>座</w:t>
      </w:r>
      <w:r>
        <w:rPr>
          <w:rFonts w:asciiTheme="minorEastAsia" w:eastAsiaTheme="minorEastAsia" w:hAnsiTheme="minorEastAsia" w:cs="Arial" w:hint="eastAsia"/>
          <w:bCs/>
          <w:szCs w:val="21"/>
        </w:rPr>
        <w:t>18</w:t>
      </w:r>
      <w:r>
        <w:rPr>
          <w:rFonts w:asciiTheme="minorEastAsia" w:eastAsiaTheme="minorEastAsia" w:hAnsiTheme="minorEastAsia" w:cs="Arial" w:hint="eastAsia"/>
          <w:bCs/>
          <w:szCs w:val="21"/>
        </w:rPr>
        <w:t>层</w:t>
      </w:r>
    </w:p>
    <w:p w:rsidR="002570A9" w:rsidRDefault="007E006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客服电话：</w:t>
      </w:r>
      <w:r>
        <w:rPr>
          <w:rFonts w:asciiTheme="minorEastAsia" w:eastAsiaTheme="minorEastAsia" w:hAnsiTheme="minorEastAsia" w:cs="Arial" w:hint="eastAsia"/>
          <w:bCs/>
          <w:szCs w:val="21"/>
        </w:rPr>
        <w:t>400-000-5588</w:t>
      </w:r>
    </w:p>
    <w:p w:rsidR="002570A9" w:rsidRDefault="007E006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直销电话：</w:t>
      </w:r>
      <w:r>
        <w:rPr>
          <w:rFonts w:asciiTheme="minorEastAsia" w:eastAsiaTheme="minorEastAsia" w:hAnsiTheme="minorEastAsia" w:cs="Arial" w:hint="eastAsia"/>
          <w:bCs/>
          <w:szCs w:val="21"/>
        </w:rPr>
        <w:t>010-86329188</w:t>
      </w:r>
    </w:p>
    <w:p w:rsidR="002570A9" w:rsidRDefault="007E006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传真：</w:t>
      </w:r>
      <w:r>
        <w:rPr>
          <w:rFonts w:asciiTheme="minorEastAsia" w:eastAsiaTheme="minorEastAsia" w:hAnsiTheme="minorEastAsia" w:cs="Arial" w:hint="eastAsia"/>
          <w:bCs/>
          <w:szCs w:val="21"/>
        </w:rPr>
        <w:t>010-86329180</w:t>
      </w:r>
    </w:p>
    <w:p w:rsidR="002570A9" w:rsidRDefault="007E006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联系人：林奕佳</w:t>
      </w:r>
    </w:p>
    <w:p w:rsidR="002570A9" w:rsidRDefault="007E006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网址：</w:t>
      </w:r>
      <w:r>
        <w:rPr>
          <w:rFonts w:asciiTheme="minorEastAsia" w:eastAsiaTheme="minorEastAsia" w:hAnsiTheme="minorEastAsia" w:cs="Arial" w:hint="eastAsia"/>
          <w:bCs/>
          <w:szCs w:val="21"/>
        </w:rPr>
        <w:t>www.risingamc.com</w:t>
      </w:r>
    </w:p>
    <w:p w:rsidR="002570A9" w:rsidRDefault="007E006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w:t>
      </w:r>
      <w:r>
        <w:rPr>
          <w:rFonts w:asciiTheme="minorEastAsia" w:eastAsiaTheme="minorEastAsia" w:hAnsiTheme="minorEastAsia" w:cs="Arial" w:hint="eastAsia"/>
          <w:bCs/>
          <w:szCs w:val="21"/>
        </w:rPr>
        <w:t>2</w:t>
      </w:r>
      <w:r>
        <w:rPr>
          <w:rFonts w:asciiTheme="minorEastAsia" w:eastAsiaTheme="minorEastAsia" w:hAnsiTheme="minorEastAsia" w:cs="Arial" w:hint="eastAsia"/>
          <w:bCs/>
          <w:szCs w:val="21"/>
        </w:rPr>
        <w:t>）代销机构：</w:t>
      </w:r>
    </w:p>
    <w:p w:rsidR="00CC415C" w:rsidRPr="00CC415C" w:rsidRDefault="00CC415C" w:rsidP="00CC415C">
      <w:pPr>
        <w:numPr>
          <w:ilvl w:val="255"/>
          <w:numId w:val="0"/>
        </w:numPr>
        <w:snapToGrid w:val="0"/>
        <w:spacing w:line="360" w:lineRule="auto"/>
        <w:ind w:firstLineChars="200" w:firstLine="420"/>
        <w:rPr>
          <w:rFonts w:asciiTheme="minorEastAsia" w:eastAsiaTheme="minorEastAsia" w:hAnsiTheme="minorEastAsia" w:cs="Arial"/>
          <w:bCs/>
          <w:szCs w:val="21"/>
        </w:rPr>
      </w:pPr>
      <w:r w:rsidRPr="00CC415C">
        <w:rPr>
          <w:rFonts w:asciiTheme="minorEastAsia" w:eastAsiaTheme="minorEastAsia" w:hAnsiTheme="minorEastAsia" w:cs="Arial" w:hint="eastAsia"/>
          <w:bCs/>
          <w:szCs w:val="21"/>
        </w:rPr>
        <w:t>1）上海浦东发展银行股份有限公司</w:t>
      </w:r>
    </w:p>
    <w:p w:rsidR="00CC415C" w:rsidRPr="00CC415C" w:rsidRDefault="00CC415C" w:rsidP="00CC415C">
      <w:pPr>
        <w:numPr>
          <w:ilvl w:val="255"/>
          <w:numId w:val="0"/>
        </w:numPr>
        <w:snapToGrid w:val="0"/>
        <w:spacing w:line="360" w:lineRule="auto"/>
        <w:ind w:firstLineChars="200" w:firstLine="420"/>
        <w:rPr>
          <w:rFonts w:asciiTheme="minorEastAsia" w:eastAsiaTheme="minorEastAsia" w:hAnsiTheme="minorEastAsia" w:cs="Arial"/>
          <w:bCs/>
          <w:szCs w:val="21"/>
        </w:rPr>
      </w:pPr>
      <w:r w:rsidRPr="00CC415C">
        <w:rPr>
          <w:rFonts w:asciiTheme="minorEastAsia" w:eastAsiaTheme="minorEastAsia" w:hAnsiTheme="minorEastAsia" w:cs="Arial" w:hint="eastAsia"/>
          <w:bCs/>
          <w:szCs w:val="21"/>
        </w:rPr>
        <w:t>注册地址：上海市中山东一路12号</w:t>
      </w:r>
    </w:p>
    <w:p w:rsidR="00CC415C" w:rsidRPr="00CC415C" w:rsidRDefault="00CC415C" w:rsidP="00CC415C">
      <w:pPr>
        <w:numPr>
          <w:ilvl w:val="255"/>
          <w:numId w:val="0"/>
        </w:numPr>
        <w:snapToGrid w:val="0"/>
        <w:spacing w:line="360" w:lineRule="auto"/>
        <w:ind w:firstLineChars="200" w:firstLine="420"/>
        <w:rPr>
          <w:rFonts w:asciiTheme="minorEastAsia" w:eastAsiaTheme="minorEastAsia" w:hAnsiTheme="minorEastAsia" w:cs="Arial"/>
          <w:bCs/>
          <w:szCs w:val="21"/>
        </w:rPr>
      </w:pPr>
      <w:r w:rsidRPr="00CC415C">
        <w:rPr>
          <w:rFonts w:asciiTheme="minorEastAsia" w:eastAsiaTheme="minorEastAsia" w:hAnsiTheme="minorEastAsia" w:cs="Arial" w:hint="eastAsia"/>
          <w:bCs/>
          <w:szCs w:val="21"/>
        </w:rPr>
        <w:t xml:space="preserve">办公地址：上海市中山东一路12号 </w:t>
      </w:r>
    </w:p>
    <w:p w:rsidR="00CC415C" w:rsidRPr="00CC415C" w:rsidRDefault="00CC415C" w:rsidP="00CC415C">
      <w:pPr>
        <w:numPr>
          <w:ilvl w:val="255"/>
          <w:numId w:val="0"/>
        </w:numPr>
        <w:snapToGrid w:val="0"/>
        <w:spacing w:line="360" w:lineRule="auto"/>
        <w:ind w:firstLineChars="200" w:firstLine="420"/>
        <w:rPr>
          <w:rFonts w:asciiTheme="minorEastAsia" w:eastAsiaTheme="minorEastAsia" w:hAnsiTheme="minorEastAsia" w:cs="Arial"/>
          <w:bCs/>
          <w:szCs w:val="21"/>
        </w:rPr>
      </w:pPr>
      <w:r w:rsidRPr="00CC415C">
        <w:rPr>
          <w:rFonts w:asciiTheme="minorEastAsia" w:eastAsiaTheme="minorEastAsia" w:hAnsiTheme="minorEastAsia" w:cs="Arial" w:hint="eastAsia"/>
          <w:bCs/>
          <w:szCs w:val="21"/>
        </w:rPr>
        <w:t>法定代表人：张为忠</w:t>
      </w:r>
    </w:p>
    <w:p w:rsidR="00CC415C" w:rsidRPr="00CC415C" w:rsidRDefault="00CC415C" w:rsidP="00CC415C">
      <w:pPr>
        <w:numPr>
          <w:ilvl w:val="255"/>
          <w:numId w:val="0"/>
        </w:numPr>
        <w:snapToGrid w:val="0"/>
        <w:spacing w:line="360" w:lineRule="auto"/>
        <w:ind w:firstLineChars="200" w:firstLine="420"/>
        <w:rPr>
          <w:rFonts w:asciiTheme="minorEastAsia" w:eastAsiaTheme="minorEastAsia" w:hAnsiTheme="minorEastAsia" w:cs="Arial"/>
          <w:bCs/>
          <w:szCs w:val="21"/>
        </w:rPr>
      </w:pPr>
      <w:r w:rsidRPr="00CC415C">
        <w:rPr>
          <w:rFonts w:asciiTheme="minorEastAsia" w:eastAsiaTheme="minorEastAsia" w:hAnsiTheme="minorEastAsia" w:cs="Arial" w:hint="eastAsia"/>
          <w:bCs/>
          <w:szCs w:val="21"/>
        </w:rPr>
        <w:t xml:space="preserve">联系人：王子嫣 </w:t>
      </w:r>
    </w:p>
    <w:p w:rsidR="00CC415C" w:rsidRPr="00CC415C" w:rsidRDefault="00CC415C" w:rsidP="00CC415C">
      <w:pPr>
        <w:numPr>
          <w:ilvl w:val="255"/>
          <w:numId w:val="0"/>
        </w:numPr>
        <w:snapToGrid w:val="0"/>
        <w:spacing w:line="360" w:lineRule="auto"/>
        <w:ind w:firstLineChars="200" w:firstLine="420"/>
        <w:rPr>
          <w:rFonts w:asciiTheme="minorEastAsia" w:eastAsiaTheme="minorEastAsia" w:hAnsiTheme="minorEastAsia" w:cs="Arial"/>
          <w:bCs/>
          <w:szCs w:val="21"/>
        </w:rPr>
      </w:pPr>
      <w:r w:rsidRPr="00CC415C">
        <w:rPr>
          <w:rFonts w:asciiTheme="minorEastAsia" w:eastAsiaTheme="minorEastAsia" w:hAnsiTheme="minorEastAsia" w:cs="Arial" w:hint="eastAsia"/>
          <w:bCs/>
          <w:szCs w:val="21"/>
        </w:rPr>
        <w:t>客服电话：95528</w:t>
      </w:r>
    </w:p>
    <w:p w:rsidR="00CC415C" w:rsidRPr="00CC415C" w:rsidRDefault="00CC415C" w:rsidP="00CC415C">
      <w:pPr>
        <w:numPr>
          <w:ilvl w:val="255"/>
          <w:numId w:val="0"/>
        </w:numPr>
        <w:snapToGrid w:val="0"/>
        <w:spacing w:line="360" w:lineRule="auto"/>
        <w:ind w:firstLineChars="200" w:firstLine="420"/>
        <w:rPr>
          <w:rFonts w:asciiTheme="minorEastAsia" w:eastAsiaTheme="minorEastAsia" w:hAnsiTheme="minorEastAsia" w:cs="Arial"/>
          <w:bCs/>
          <w:szCs w:val="21"/>
        </w:rPr>
      </w:pPr>
      <w:r w:rsidRPr="00CC415C">
        <w:rPr>
          <w:rFonts w:asciiTheme="minorEastAsia" w:eastAsiaTheme="minorEastAsia" w:hAnsiTheme="minorEastAsia" w:cs="Arial" w:hint="eastAsia"/>
          <w:bCs/>
          <w:szCs w:val="21"/>
        </w:rPr>
        <w:t>网址：www.spdb.com.cn</w:t>
      </w:r>
    </w:p>
    <w:p w:rsidR="00CC415C" w:rsidRPr="00CC415C" w:rsidRDefault="00CC415C" w:rsidP="00CC415C">
      <w:pPr>
        <w:numPr>
          <w:ilvl w:val="255"/>
          <w:numId w:val="0"/>
        </w:numPr>
        <w:snapToGrid w:val="0"/>
        <w:spacing w:line="360" w:lineRule="auto"/>
        <w:ind w:firstLineChars="200" w:firstLine="420"/>
        <w:rPr>
          <w:rFonts w:asciiTheme="minorEastAsia" w:eastAsiaTheme="minorEastAsia" w:hAnsiTheme="minorEastAsia" w:cs="Arial"/>
          <w:bCs/>
          <w:szCs w:val="21"/>
        </w:rPr>
      </w:pPr>
      <w:r w:rsidRPr="00CC415C">
        <w:rPr>
          <w:rFonts w:asciiTheme="minorEastAsia" w:eastAsiaTheme="minorEastAsia" w:hAnsiTheme="minorEastAsia" w:cs="Arial" w:hint="eastAsia"/>
          <w:bCs/>
          <w:szCs w:val="21"/>
        </w:rPr>
        <w:t>2）中国民生银行股份有限公司</w:t>
      </w:r>
    </w:p>
    <w:p w:rsidR="00CC415C" w:rsidRPr="00CC415C" w:rsidRDefault="00CC415C" w:rsidP="00CC415C">
      <w:pPr>
        <w:numPr>
          <w:ilvl w:val="255"/>
          <w:numId w:val="0"/>
        </w:numPr>
        <w:snapToGrid w:val="0"/>
        <w:spacing w:line="360" w:lineRule="auto"/>
        <w:ind w:firstLineChars="200" w:firstLine="420"/>
        <w:rPr>
          <w:rFonts w:asciiTheme="minorEastAsia" w:eastAsiaTheme="minorEastAsia" w:hAnsiTheme="minorEastAsia" w:cs="Arial"/>
          <w:bCs/>
          <w:szCs w:val="21"/>
        </w:rPr>
      </w:pPr>
      <w:r w:rsidRPr="00CC415C">
        <w:rPr>
          <w:rFonts w:asciiTheme="minorEastAsia" w:eastAsiaTheme="minorEastAsia" w:hAnsiTheme="minorEastAsia" w:cs="Arial" w:hint="eastAsia"/>
          <w:bCs/>
          <w:szCs w:val="21"/>
        </w:rPr>
        <w:t>注册地址：北京市西城区复兴门内大街 2 号</w:t>
      </w:r>
    </w:p>
    <w:p w:rsidR="00CC415C" w:rsidRPr="00CC415C" w:rsidRDefault="00CC415C" w:rsidP="00CC415C">
      <w:pPr>
        <w:numPr>
          <w:ilvl w:val="255"/>
          <w:numId w:val="0"/>
        </w:numPr>
        <w:snapToGrid w:val="0"/>
        <w:spacing w:line="360" w:lineRule="auto"/>
        <w:ind w:firstLineChars="200" w:firstLine="420"/>
        <w:rPr>
          <w:rFonts w:asciiTheme="minorEastAsia" w:eastAsiaTheme="minorEastAsia" w:hAnsiTheme="minorEastAsia" w:cs="Arial"/>
          <w:bCs/>
          <w:szCs w:val="21"/>
        </w:rPr>
      </w:pPr>
      <w:r w:rsidRPr="00CC415C">
        <w:rPr>
          <w:rFonts w:asciiTheme="minorEastAsia" w:eastAsiaTheme="minorEastAsia" w:hAnsiTheme="minorEastAsia" w:cs="Arial" w:hint="eastAsia"/>
          <w:bCs/>
          <w:szCs w:val="21"/>
        </w:rPr>
        <w:t>办公地址：北京市西城区复兴门内大街 2 号</w:t>
      </w:r>
    </w:p>
    <w:p w:rsidR="00CC415C" w:rsidRPr="00CC415C" w:rsidRDefault="00CC415C" w:rsidP="00CC415C">
      <w:pPr>
        <w:numPr>
          <w:ilvl w:val="255"/>
          <w:numId w:val="0"/>
        </w:numPr>
        <w:snapToGrid w:val="0"/>
        <w:spacing w:line="360" w:lineRule="auto"/>
        <w:ind w:firstLineChars="200" w:firstLine="420"/>
        <w:rPr>
          <w:rFonts w:asciiTheme="minorEastAsia" w:eastAsiaTheme="minorEastAsia" w:hAnsiTheme="minorEastAsia" w:cs="Arial"/>
          <w:bCs/>
          <w:szCs w:val="21"/>
        </w:rPr>
      </w:pPr>
      <w:r w:rsidRPr="00CC415C">
        <w:rPr>
          <w:rFonts w:asciiTheme="minorEastAsia" w:eastAsiaTheme="minorEastAsia" w:hAnsiTheme="minorEastAsia" w:cs="Arial" w:hint="eastAsia"/>
          <w:bCs/>
          <w:szCs w:val="21"/>
        </w:rPr>
        <w:t>法定代表人：高迎欣</w:t>
      </w:r>
    </w:p>
    <w:p w:rsidR="00CC415C" w:rsidRPr="00CC415C" w:rsidRDefault="00CC415C" w:rsidP="00CC415C">
      <w:pPr>
        <w:numPr>
          <w:ilvl w:val="255"/>
          <w:numId w:val="0"/>
        </w:numPr>
        <w:snapToGrid w:val="0"/>
        <w:spacing w:line="360" w:lineRule="auto"/>
        <w:ind w:firstLineChars="200" w:firstLine="420"/>
        <w:rPr>
          <w:rFonts w:asciiTheme="minorEastAsia" w:eastAsiaTheme="minorEastAsia" w:hAnsiTheme="minorEastAsia" w:cs="Arial"/>
          <w:bCs/>
          <w:szCs w:val="21"/>
        </w:rPr>
      </w:pPr>
      <w:r w:rsidRPr="00CC415C">
        <w:rPr>
          <w:rFonts w:asciiTheme="minorEastAsia" w:eastAsiaTheme="minorEastAsia" w:hAnsiTheme="minorEastAsia" w:cs="Arial" w:hint="eastAsia"/>
          <w:bCs/>
          <w:szCs w:val="21"/>
        </w:rPr>
        <w:t>联系人：王志刚</w:t>
      </w:r>
    </w:p>
    <w:p w:rsidR="00CC415C" w:rsidRPr="00CC415C" w:rsidRDefault="00CC415C" w:rsidP="00CC415C">
      <w:pPr>
        <w:numPr>
          <w:ilvl w:val="255"/>
          <w:numId w:val="0"/>
        </w:numPr>
        <w:snapToGrid w:val="0"/>
        <w:spacing w:line="360" w:lineRule="auto"/>
        <w:ind w:firstLineChars="200" w:firstLine="420"/>
        <w:rPr>
          <w:rFonts w:asciiTheme="minorEastAsia" w:eastAsiaTheme="minorEastAsia" w:hAnsiTheme="minorEastAsia" w:cs="Arial"/>
          <w:bCs/>
          <w:szCs w:val="21"/>
        </w:rPr>
      </w:pPr>
      <w:r w:rsidRPr="00CC415C">
        <w:rPr>
          <w:rFonts w:asciiTheme="minorEastAsia" w:eastAsiaTheme="minorEastAsia" w:hAnsiTheme="minorEastAsia" w:cs="Arial" w:hint="eastAsia"/>
          <w:bCs/>
          <w:szCs w:val="21"/>
        </w:rPr>
        <w:t>客户服务电话：95568</w:t>
      </w:r>
    </w:p>
    <w:p w:rsidR="00CC415C" w:rsidRPr="00CC415C" w:rsidRDefault="00CC415C" w:rsidP="00CC415C">
      <w:pPr>
        <w:numPr>
          <w:ilvl w:val="255"/>
          <w:numId w:val="0"/>
        </w:numPr>
        <w:snapToGrid w:val="0"/>
        <w:spacing w:line="360" w:lineRule="auto"/>
        <w:ind w:firstLineChars="200" w:firstLine="420"/>
        <w:rPr>
          <w:rFonts w:asciiTheme="minorEastAsia" w:eastAsiaTheme="minorEastAsia" w:hAnsiTheme="minorEastAsia" w:cs="Arial"/>
          <w:bCs/>
          <w:szCs w:val="21"/>
        </w:rPr>
      </w:pPr>
      <w:r w:rsidRPr="00CC415C">
        <w:rPr>
          <w:rFonts w:asciiTheme="minorEastAsia" w:eastAsiaTheme="minorEastAsia" w:hAnsiTheme="minorEastAsia" w:cs="Arial" w:hint="eastAsia"/>
          <w:bCs/>
          <w:szCs w:val="21"/>
        </w:rPr>
        <w:t>公司网址：www.cmbc.com.cn</w:t>
      </w:r>
    </w:p>
    <w:p w:rsidR="00CC415C" w:rsidRPr="00CC415C" w:rsidRDefault="00CC415C" w:rsidP="00CC415C">
      <w:pPr>
        <w:numPr>
          <w:ilvl w:val="255"/>
          <w:numId w:val="0"/>
        </w:numPr>
        <w:snapToGrid w:val="0"/>
        <w:spacing w:line="360" w:lineRule="auto"/>
        <w:ind w:firstLineChars="200" w:firstLine="420"/>
        <w:rPr>
          <w:rFonts w:asciiTheme="minorEastAsia" w:eastAsiaTheme="minorEastAsia" w:hAnsiTheme="minorEastAsia" w:cs="Arial"/>
          <w:bCs/>
          <w:szCs w:val="21"/>
        </w:rPr>
      </w:pPr>
      <w:r w:rsidRPr="00CC415C">
        <w:rPr>
          <w:rFonts w:asciiTheme="minorEastAsia" w:eastAsiaTheme="minorEastAsia" w:hAnsiTheme="minorEastAsia" w:cs="Arial" w:hint="eastAsia"/>
          <w:bCs/>
          <w:szCs w:val="21"/>
        </w:rPr>
        <w:t>3）民生证券股份有限公司</w:t>
      </w:r>
    </w:p>
    <w:p w:rsidR="00CC415C" w:rsidRPr="00CC415C" w:rsidRDefault="00CC415C" w:rsidP="00CC415C">
      <w:pPr>
        <w:numPr>
          <w:ilvl w:val="255"/>
          <w:numId w:val="0"/>
        </w:numPr>
        <w:snapToGrid w:val="0"/>
        <w:spacing w:line="360" w:lineRule="auto"/>
        <w:ind w:firstLineChars="200" w:firstLine="420"/>
        <w:rPr>
          <w:rFonts w:asciiTheme="minorEastAsia" w:eastAsiaTheme="minorEastAsia" w:hAnsiTheme="minorEastAsia" w:cs="Arial"/>
          <w:bCs/>
          <w:szCs w:val="21"/>
        </w:rPr>
      </w:pPr>
      <w:r w:rsidRPr="00CC415C">
        <w:rPr>
          <w:rFonts w:asciiTheme="minorEastAsia" w:eastAsiaTheme="minorEastAsia" w:hAnsiTheme="minorEastAsia" w:cs="Arial" w:hint="eastAsia"/>
          <w:bCs/>
          <w:szCs w:val="21"/>
        </w:rPr>
        <w:t>注册地址：中国（上海）自由贸易试验区浦明路8号</w:t>
      </w:r>
    </w:p>
    <w:p w:rsidR="00CC415C" w:rsidRPr="00CC415C" w:rsidRDefault="00CC415C" w:rsidP="00CC415C">
      <w:pPr>
        <w:numPr>
          <w:ilvl w:val="255"/>
          <w:numId w:val="0"/>
        </w:numPr>
        <w:snapToGrid w:val="0"/>
        <w:spacing w:line="360" w:lineRule="auto"/>
        <w:ind w:firstLineChars="200" w:firstLine="420"/>
        <w:rPr>
          <w:rFonts w:asciiTheme="minorEastAsia" w:eastAsiaTheme="minorEastAsia" w:hAnsiTheme="minorEastAsia" w:cs="Arial"/>
          <w:bCs/>
          <w:szCs w:val="21"/>
        </w:rPr>
      </w:pPr>
      <w:r w:rsidRPr="00CC415C">
        <w:rPr>
          <w:rFonts w:asciiTheme="minorEastAsia" w:eastAsiaTheme="minorEastAsia" w:hAnsiTheme="minorEastAsia" w:cs="Arial" w:hint="eastAsia"/>
          <w:bCs/>
          <w:szCs w:val="21"/>
        </w:rPr>
        <w:t xml:space="preserve">办公地址：中国（上海）自由贸易试验区浦明路8号 </w:t>
      </w:r>
    </w:p>
    <w:p w:rsidR="00CC415C" w:rsidRPr="00CC415C" w:rsidRDefault="00CC415C" w:rsidP="00CC415C">
      <w:pPr>
        <w:numPr>
          <w:ilvl w:val="255"/>
          <w:numId w:val="0"/>
        </w:numPr>
        <w:snapToGrid w:val="0"/>
        <w:spacing w:line="360" w:lineRule="auto"/>
        <w:ind w:firstLineChars="200" w:firstLine="420"/>
        <w:rPr>
          <w:rFonts w:asciiTheme="minorEastAsia" w:eastAsiaTheme="minorEastAsia" w:hAnsiTheme="minorEastAsia" w:cs="Arial"/>
          <w:bCs/>
          <w:szCs w:val="21"/>
        </w:rPr>
      </w:pPr>
      <w:r w:rsidRPr="00CC415C">
        <w:rPr>
          <w:rFonts w:asciiTheme="minorEastAsia" w:eastAsiaTheme="minorEastAsia" w:hAnsiTheme="minorEastAsia" w:cs="Arial" w:hint="eastAsia"/>
          <w:bCs/>
          <w:szCs w:val="21"/>
        </w:rPr>
        <w:t>法定代表人：顾伟</w:t>
      </w:r>
    </w:p>
    <w:p w:rsidR="00CC415C" w:rsidRPr="00CC415C" w:rsidRDefault="00CC415C" w:rsidP="00CC415C">
      <w:pPr>
        <w:numPr>
          <w:ilvl w:val="255"/>
          <w:numId w:val="0"/>
        </w:numPr>
        <w:snapToGrid w:val="0"/>
        <w:spacing w:line="360" w:lineRule="auto"/>
        <w:ind w:firstLineChars="200" w:firstLine="420"/>
        <w:rPr>
          <w:rFonts w:asciiTheme="minorEastAsia" w:eastAsiaTheme="minorEastAsia" w:hAnsiTheme="minorEastAsia" w:cs="Arial"/>
          <w:bCs/>
          <w:szCs w:val="21"/>
        </w:rPr>
      </w:pPr>
      <w:r w:rsidRPr="00CC415C">
        <w:rPr>
          <w:rFonts w:asciiTheme="minorEastAsia" w:eastAsiaTheme="minorEastAsia" w:hAnsiTheme="minorEastAsia" w:cs="Arial" w:hint="eastAsia"/>
          <w:bCs/>
          <w:szCs w:val="21"/>
        </w:rPr>
        <w:t xml:space="preserve">联系人：曹宇鑫 </w:t>
      </w:r>
    </w:p>
    <w:p w:rsidR="00CC415C" w:rsidRPr="00CC415C" w:rsidRDefault="00CC415C" w:rsidP="00CC415C">
      <w:pPr>
        <w:numPr>
          <w:ilvl w:val="255"/>
          <w:numId w:val="0"/>
        </w:numPr>
        <w:snapToGrid w:val="0"/>
        <w:spacing w:line="360" w:lineRule="auto"/>
        <w:ind w:firstLineChars="200" w:firstLine="420"/>
        <w:rPr>
          <w:rFonts w:asciiTheme="minorEastAsia" w:eastAsiaTheme="minorEastAsia" w:hAnsiTheme="minorEastAsia" w:cs="Arial"/>
          <w:bCs/>
          <w:szCs w:val="21"/>
        </w:rPr>
      </w:pPr>
      <w:r w:rsidRPr="00CC415C">
        <w:rPr>
          <w:rFonts w:asciiTheme="minorEastAsia" w:eastAsiaTheme="minorEastAsia" w:hAnsiTheme="minorEastAsia" w:cs="Arial" w:hint="eastAsia"/>
          <w:bCs/>
          <w:szCs w:val="21"/>
        </w:rPr>
        <w:t>客户服务电话：95376</w:t>
      </w:r>
    </w:p>
    <w:p w:rsidR="002570A9" w:rsidRDefault="00CC415C" w:rsidP="00CC415C">
      <w:pPr>
        <w:numPr>
          <w:ilvl w:val="255"/>
          <w:numId w:val="0"/>
        </w:numPr>
        <w:snapToGrid w:val="0"/>
        <w:spacing w:line="360" w:lineRule="auto"/>
        <w:ind w:firstLineChars="200" w:firstLine="420"/>
        <w:rPr>
          <w:rFonts w:asciiTheme="minorEastAsia" w:eastAsiaTheme="minorEastAsia" w:hAnsiTheme="minorEastAsia" w:cs="Arial"/>
          <w:bCs/>
          <w:szCs w:val="21"/>
        </w:rPr>
      </w:pPr>
      <w:r w:rsidRPr="00CC415C">
        <w:rPr>
          <w:rFonts w:asciiTheme="minorEastAsia" w:eastAsiaTheme="minorEastAsia" w:hAnsiTheme="minorEastAsia" w:cs="Arial" w:hint="eastAsia"/>
          <w:bCs/>
          <w:szCs w:val="21"/>
        </w:rPr>
        <w:t>公司网址：www.mszq.com</w:t>
      </w:r>
    </w:p>
    <w:p w:rsidR="002570A9" w:rsidRDefault="007E006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基金管理人可根据有关法律法规的要求，选择符合要求的机构销售本基金，并在基金管理人网站公示基金销售机构名录。</w:t>
      </w:r>
    </w:p>
    <w:p w:rsidR="002570A9" w:rsidRDefault="007E0063">
      <w:pPr>
        <w:snapToGrid w:val="0"/>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hint="eastAsia"/>
        </w:rPr>
        <w:t>3</w:t>
      </w:r>
      <w:r>
        <w:rPr>
          <w:rFonts w:asciiTheme="minorEastAsia" w:eastAsiaTheme="minorEastAsia" w:hAnsiTheme="minorEastAsia" w:hint="eastAsia"/>
        </w:rPr>
        <w:t>）各销售机构办理申购、赎回、转换业务的具体网点、流程、规则以及投资者需要提交的文件等信息，请参照各销售机构的规定。若增加新的销售机构，将在基金管理人网站公示，敬请投资者留意。</w:t>
      </w:r>
    </w:p>
    <w:p w:rsidR="002570A9" w:rsidRDefault="007E0063" w:rsidP="007E0063">
      <w:pPr>
        <w:pStyle w:val="3"/>
        <w:keepNext w:val="0"/>
        <w:keepLines w:val="0"/>
        <w:spacing w:beforeLines="50" w:afterLines="50" w:line="360" w:lineRule="auto"/>
        <w:rPr>
          <w:rFonts w:asciiTheme="minorEastAsia" w:eastAsiaTheme="minorEastAsia" w:hAnsiTheme="minorEastAsia" w:cs="Arial"/>
          <w:bCs w:val="0"/>
          <w:sz w:val="21"/>
          <w:szCs w:val="21"/>
        </w:rPr>
      </w:pPr>
      <w:r>
        <w:rPr>
          <w:rFonts w:asciiTheme="minorEastAsia" w:eastAsiaTheme="minorEastAsia" w:hAnsiTheme="minorEastAsia" w:cs="Arial"/>
          <w:bCs w:val="0"/>
          <w:sz w:val="21"/>
          <w:szCs w:val="21"/>
        </w:rPr>
        <w:t>8</w:t>
      </w:r>
      <w:r>
        <w:rPr>
          <w:rFonts w:asciiTheme="minorEastAsia" w:eastAsiaTheme="minorEastAsia" w:hAnsiTheme="minorEastAsia" w:cs="Arial" w:hint="eastAsia"/>
          <w:bCs w:val="0"/>
          <w:sz w:val="21"/>
          <w:szCs w:val="21"/>
        </w:rPr>
        <w:t>、</w:t>
      </w:r>
      <w:r>
        <w:rPr>
          <w:rFonts w:asciiTheme="minorEastAsia" w:eastAsiaTheme="minorEastAsia" w:hAnsiTheme="minorEastAsia" w:cs="Arial"/>
          <w:bCs w:val="0"/>
          <w:sz w:val="21"/>
          <w:szCs w:val="21"/>
        </w:rPr>
        <w:t>基金份额净值公告</w:t>
      </w:r>
      <w:r>
        <w:rPr>
          <w:rFonts w:asciiTheme="minorEastAsia" w:eastAsiaTheme="minorEastAsia" w:hAnsiTheme="minorEastAsia" w:cs="Arial"/>
          <w:bCs w:val="0"/>
          <w:sz w:val="21"/>
          <w:szCs w:val="21"/>
        </w:rPr>
        <w:t>/</w:t>
      </w:r>
      <w:r>
        <w:rPr>
          <w:rFonts w:asciiTheme="minorEastAsia" w:eastAsiaTheme="minorEastAsia" w:hAnsiTheme="minorEastAsia" w:cs="Arial"/>
          <w:bCs w:val="0"/>
          <w:sz w:val="21"/>
          <w:szCs w:val="21"/>
        </w:rPr>
        <w:t>基金收益公告的披露安排</w:t>
      </w:r>
    </w:p>
    <w:p w:rsidR="002570A9" w:rsidRDefault="007E0063">
      <w:pPr>
        <w:adjustRightInd w:val="0"/>
        <w:snapToGrid w:val="0"/>
        <w:spacing w:line="360" w:lineRule="auto"/>
        <w:ind w:firstLineChars="200" w:firstLine="420"/>
        <w:rPr>
          <w:rFonts w:ascii="Arial" w:hAnsi="宋体" w:cs="Arial"/>
          <w:szCs w:val="21"/>
        </w:rPr>
      </w:pPr>
      <w:r>
        <w:rPr>
          <w:rFonts w:ascii="Arial" w:hAnsi="宋体" w:cs="Arial" w:hint="eastAsia"/>
          <w:szCs w:val="21"/>
        </w:rPr>
        <w:t>在开始办理基金份额申购或者赎回后，基金管理人应当在不晚于每个开放日的次日，通过规定网站、基金份额销售机构网站或者营业网点，披露开放日的各类基金份额净值和基金份额累计净值。</w:t>
      </w:r>
    </w:p>
    <w:p w:rsidR="002570A9" w:rsidRDefault="007E0063" w:rsidP="007E0063">
      <w:pPr>
        <w:pStyle w:val="3"/>
        <w:keepNext w:val="0"/>
        <w:keepLines w:val="0"/>
        <w:spacing w:beforeLines="50" w:afterLines="50" w:line="360" w:lineRule="auto"/>
        <w:rPr>
          <w:rFonts w:asciiTheme="minorEastAsia" w:eastAsiaTheme="minorEastAsia" w:hAnsiTheme="minorEastAsia" w:cs="Arial"/>
          <w:bCs w:val="0"/>
          <w:sz w:val="21"/>
          <w:szCs w:val="21"/>
        </w:rPr>
      </w:pPr>
      <w:r>
        <w:rPr>
          <w:rFonts w:asciiTheme="minorEastAsia" w:eastAsiaTheme="minorEastAsia" w:hAnsiTheme="minorEastAsia" w:cs="Arial"/>
          <w:bCs w:val="0"/>
          <w:sz w:val="21"/>
          <w:szCs w:val="21"/>
        </w:rPr>
        <w:t>9</w:t>
      </w:r>
      <w:r>
        <w:rPr>
          <w:rFonts w:asciiTheme="minorEastAsia" w:eastAsiaTheme="minorEastAsia" w:hAnsiTheme="minorEastAsia" w:cs="Arial" w:hint="eastAsia"/>
          <w:bCs w:val="0"/>
          <w:sz w:val="21"/>
          <w:szCs w:val="21"/>
        </w:rPr>
        <w:t>、</w:t>
      </w:r>
      <w:r>
        <w:rPr>
          <w:rFonts w:asciiTheme="minorEastAsia" w:eastAsiaTheme="minorEastAsia" w:hAnsiTheme="minorEastAsia" w:cs="Arial"/>
          <w:bCs w:val="0"/>
          <w:sz w:val="21"/>
          <w:szCs w:val="21"/>
        </w:rPr>
        <w:t>其</w:t>
      </w:r>
      <w:r>
        <w:rPr>
          <w:rFonts w:asciiTheme="minorEastAsia" w:eastAsiaTheme="minorEastAsia" w:hAnsiTheme="minorEastAsia" w:cs="Arial"/>
          <w:bCs w:val="0"/>
          <w:sz w:val="21"/>
          <w:szCs w:val="21"/>
        </w:rPr>
        <w:t>他需要提示的事项</w:t>
      </w:r>
    </w:p>
    <w:p w:rsidR="002570A9" w:rsidRDefault="007E0063">
      <w:pPr>
        <w:adjustRightInd w:val="0"/>
        <w:snapToGrid w:val="0"/>
        <w:spacing w:line="360" w:lineRule="auto"/>
        <w:ind w:firstLineChars="200" w:firstLine="420"/>
        <w:rPr>
          <w:rFonts w:asciiTheme="minorEastAsia" w:eastAsiaTheme="minorEastAsia" w:hAnsiTheme="minorEastAsia" w:cs="Arial"/>
          <w:color w:val="000000"/>
          <w:szCs w:val="21"/>
        </w:rPr>
      </w:pPr>
      <w:r>
        <w:rPr>
          <w:rFonts w:asciiTheme="minorEastAsia" w:eastAsiaTheme="minorEastAsia" w:hAnsiTheme="minorEastAsia" w:cs="Arial" w:hint="eastAsia"/>
          <w:color w:val="000000"/>
          <w:szCs w:val="21"/>
        </w:rPr>
        <w:t>（</w:t>
      </w:r>
      <w:r>
        <w:rPr>
          <w:rFonts w:asciiTheme="minorEastAsia" w:eastAsiaTheme="minorEastAsia" w:hAnsiTheme="minorEastAsia" w:cs="Arial" w:hint="eastAsia"/>
          <w:color w:val="000000"/>
          <w:szCs w:val="21"/>
        </w:rPr>
        <w:t>1</w:t>
      </w:r>
      <w:r>
        <w:rPr>
          <w:rFonts w:asciiTheme="minorEastAsia" w:eastAsiaTheme="minorEastAsia" w:hAnsiTheme="minorEastAsia" w:cs="Arial" w:hint="eastAsia"/>
          <w:color w:val="000000"/>
          <w:szCs w:val="21"/>
        </w:rPr>
        <w:t>）本公告仅对本基金开放日常申购、赎回、转换及定期定额投资业务的有关事项予以说明。投资者欲了解本基金的详细情况，请登录本公司网站（</w:t>
      </w:r>
      <w:r>
        <w:rPr>
          <w:rFonts w:asciiTheme="minorEastAsia" w:eastAsiaTheme="minorEastAsia" w:hAnsiTheme="minorEastAsia" w:cs="Arial" w:hint="eastAsia"/>
          <w:color w:val="000000"/>
          <w:szCs w:val="21"/>
        </w:rPr>
        <w:t>www.risingamc.com</w:t>
      </w:r>
      <w:r>
        <w:rPr>
          <w:rFonts w:asciiTheme="minorEastAsia" w:eastAsiaTheme="minorEastAsia" w:hAnsiTheme="minorEastAsia" w:cs="Arial" w:hint="eastAsia"/>
          <w:color w:val="000000"/>
          <w:szCs w:val="21"/>
        </w:rPr>
        <w:t>）查询《</w:t>
      </w:r>
      <w:r w:rsidR="00D5052A" w:rsidRPr="00D5052A">
        <w:rPr>
          <w:rFonts w:asciiTheme="minorEastAsia" w:eastAsiaTheme="minorEastAsia" w:hAnsiTheme="minorEastAsia" w:cs="Arial" w:hint="eastAsia"/>
          <w:color w:val="000000"/>
          <w:szCs w:val="21"/>
        </w:rPr>
        <w:t>惠升和荣90天滚动持有</w:t>
      </w:r>
      <w:r>
        <w:rPr>
          <w:rFonts w:asciiTheme="minorEastAsia" w:eastAsiaTheme="minorEastAsia" w:hAnsiTheme="minorEastAsia" w:cs="Arial" w:hint="eastAsia"/>
          <w:szCs w:val="21"/>
        </w:rPr>
        <w:t>债券型</w:t>
      </w:r>
      <w:r>
        <w:rPr>
          <w:rFonts w:asciiTheme="minorEastAsia" w:eastAsiaTheme="minorEastAsia" w:hAnsiTheme="minorEastAsia" w:cs="Arial" w:hint="eastAsia"/>
          <w:color w:val="000000"/>
          <w:szCs w:val="21"/>
        </w:rPr>
        <w:t>证券投资基金基金合同》、《</w:t>
      </w:r>
      <w:r w:rsidR="00D5052A" w:rsidRPr="00D5052A">
        <w:rPr>
          <w:rFonts w:asciiTheme="minorEastAsia" w:eastAsiaTheme="minorEastAsia" w:hAnsiTheme="minorEastAsia" w:cs="Arial" w:hint="eastAsia"/>
          <w:color w:val="000000"/>
          <w:szCs w:val="21"/>
        </w:rPr>
        <w:t>惠升和荣90天滚动持有</w:t>
      </w:r>
      <w:r>
        <w:rPr>
          <w:rFonts w:asciiTheme="minorEastAsia" w:eastAsiaTheme="minorEastAsia" w:hAnsiTheme="minorEastAsia" w:cs="Arial" w:hint="eastAsia"/>
          <w:szCs w:val="21"/>
        </w:rPr>
        <w:t>债券型证券投资基金招募说明书</w:t>
      </w:r>
      <w:r>
        <w:rPr>
          <w:rFonts w:asciiTheme="minorEastAsia" w:eastAsiaTheme="minorEastAsia" w:hAnsiTheme="minorEastAsia" w:cs="Arial" w:hint="eastAsia"/>
          <w:color w:val="000000"/>
          <w:szCs w:val="21"/>
        </w:rPr>
        <w:t>》。</w:t>
      </w:r>
    </w:p>
    <w:p w:rsidR="002570A9" w:rsidRDefault="007E0063">
      <w:pPr>
        <w:adjustRightInd w:val="0"/>
        <w:snapToGrid w:val="0"/>
        <w:spacing w:line="360" w:lineRule="auto"/>
        <w:ind w:firstLineChars="200" w:firstLine="420"/>
        <w:rPr>
          <w:rFonts w:asciiTheme="minorEastAsia" w:eastAsiaTheme="minorEastAsia" w:hAnsiTheme="minorEastAsia" w:cs="Arial"/>
          <w:color w:val="000000"/>
          <w:szCs w:val="21"/>
        </w:rPr>
      </w:pPr>
      <w:r>
        <w:rPr>
          <w:rFonts w:asciiTheme="minorEastAsia" w:eastAsiaTheme="minorEastAsia" w:hAnsiTheme="minorEastAsia" w:cs="Arial" w:hint="eastAsia"/>
          <w:color w:val="000000"/>
          <w:szCs w:val="21"/>
        </w:rPr>
        <w:t>（</w:t>
      </w:r>
      <w:r>
        <w:rPr>
          <w:rFonts w:asciiTheme="minorEastAsia" w:eastAsiaTheme="minorEastAsia" w:hAnsiTheme="minorEastAsia" w:cs="Arial" w:hint="eastAsia"/>
          <w:color w:val="000000"/>
          <w:szCs w:val="21"/>
        </w:rPr>
        <w:t>2</w:t>
      </w:r>
      <w:r>
        <w:rPr>
          <w:rFonts w:asciiTheme="minorEastAsia" w:eastAsiaTheme="minorEastAsia" w:hAnsiTheme="minorEastAsia" w:cs="Arial" w:hint="eastAsia"/>
          <w:color w:val="000000"/>
          <w:szCs w:val="21"/>
        </w:rPr>
        <w:t>）投资者可拨打本公司的客户服务电话（</w:t>
      </w:r>
      <w:r>
        <w:rPr>
          <w:rFonts w:asciiTheme="minorEastAsia" w:eastAsiaTheme="minorEastAsia" w:hAnsiTheme="minorEastAsia" w:cs="Arial" w:hint="eastAsia"/>
          <w:color w:val="000000"/>
          <w:szCs w:val="21"/>
        </w:rPr>
        <w:t>400-</w:t>
      </w:r>
      <w:r>
        <w:rPr>
          <w:rFonts w:asciiTheme="minorEastAsia" w:eastAsiaTheme="minorEastAsia" w:hAnsiTheme="minorEastAsia" w:cs="Arial"/>
          <w:color w:val="000000"/>
          <w:szCs w:val="21"/>
        </w:rPr>
        <w:t>000-5588</w:t>
      </w:r>
      <w:r>
        <w:rPr>
          <w:rFonts w:asciiTheme="minorEastAsia" w:eastAsiaTheme="minorEastAsia" w:hAnsiTheme="minorEastAsia" w:cs="Arial" w:hint="eastAsia"/>
          <w:color w:val="000000"/>
          <w:szCs w:val="21"/>
        </w:rPr>
        <w:t>）了解本基金日常申购、赎回、转换及定期定额投资事宜，亦可通过本公司网站下载基金业务表格和了解基金相关事宜。</w:t>
      </w:r>
    </w:p>
    <w:p w:rsidR="002570A9" w:rsidRDefault="007E0063">
      <w:pPr>
        <w:adjustRightInd w:val="0"/>
        <w:snapToGrid w:val="0"/>
        <w:spacing w:line="360" w:lineRule="auto"/>
        <w:ind w:firstLineChars="200" w:firstLine="420"/>
        <w:rPr>
          <w:rFonts w:asciiTheme="minorEastAsia" w:eastAsiaTheme="minorEastAsia" w:hAnsiTheme="minorEastAsia" w:cs="Arial"/>
          <w:color w:val="000000"/>
          <w:szCs w:val="21"/>
        </w:rPr>
      </w:pPr>
      <w:r>
        <w:rPr>
          <w:rFonts w:asciiTheme="minorEastAsia" w:eastAsiaTheme="minorEastAsia" w:hAnsiTheme="minorEastAsia" w:cs="Arial" w:hint="eastAsia"/>
          <w:color w:val="000000"/>
          <w:szCs w:val="21"/>
        </w:rPr>
        <w:t>（</w:t>
      </w:r>
      <w:r>
        <w:rPr>
          <w:rFonts w:asciiTheme="minorEastAsia" w:eastAsiaTheme="minorEastAsia" w:hAnsiTheme="minorEastAsia" w:cs="Arial" w:hint="eastAsia"/>
          <w:color w:val="000000"/>
          <w:szCs w:val="21"/>
        </w:rPr>
        <w:t>3</w:t>
      </w:r>
      <w:r>
        <w:rPr>
          <w:rFonts w:asciiTheme="minorEastAsia" w:eastAsiaTheme="minorEastAsia" w:hAnsiTheme="minorEastAsia" w:cs="Arial" w:hint="eastAsia"/>
          <w:color w:val="000000"/>
          <w:szCs w:val="21"/>
        </w:rPr>
        <w:t>）风险提示：基金管理人依照恪尽职守、诚实信用、谨慎勤勉的原则管理和运用基金财产，但不保证基金一定盈利，也不保证最低收益。投资者在投资本基金之前，请仔细阅读本基金的招募说明书和基金合同，全面认识本基金的风险收益特征和产品特性，并充分考虑自身的风险承受能力，理性判断市场，谨慎做出投资决策。</w:t>
      </w:r>
    </w:p>
    <w:p w:rsidR="002570A9" w:rsidRDefault="002570A9">
      <w:pPr>
        <w:adjustRightInd w:val="0"/>
        <w:snapToGrid w:val="0"/>
        <w:spacing w:line="360" w:lineRule="auto"/>
        <w:ind w:firstLineChars="200" w:firstLine="420"/>
        <w:rPr>
          <w:rFonts w:asciiTheme="minorEastAsia" w:eastAsiaTheme="minorEastAsia" w:hAnsiTheme="minorEastAsia" w:cs="Arial"/>
          <w:color w:val="000000"/>
          <w:szCs w:val="21"/>
        </w:rPr>
      </w:pPr>
    </w:p>
    <w:p w:rsidR="002570A9" w:rsidRDefault="007E0063">
      <w:pPr>
        <w:adjustRightInd w:val="0"/>
        <w:snapToGrid w:val="0"/>
        <w:spacing w:line="360" w:lineRule="auto"/>
        <w:ind w:firstLineChars="202" w:firstLine="424"/>
        <w:rPr>
          <w:rFonts w:asciiTheme="minorEastAsia" w:eastAsiaTheme="minorEastAsia" w:hAnsiTheme="minorEastAsia" w:cs="Arial"/>
          <w:color w:val="000000"/>
          <w:szCs w:val="21"/>
        </w:rPr>
      </w:pPr>
      <w:r>
        <w:rPr>
          <w:rFonts w:asciiTheme="minorEastAsia" w:eastAsiaTheme="minorEastAsia" w:hAnsiTheme="minorEastAsia" w:cs="Arial"/>
          <w:color w:val="000000"/>
          <w:szCs w:val="21"/>
        </w:rPr>
        <w:t>特此公告</w:t>
      </w:r>
      <w:r>
        <w:rPr>
          <w:rFonts w:asciiTheme="minorEastAsia" w:eastAsiaTheme="minorEastAsia" w:hAnsiTheme="minorEastAsia" w:cs="Arial" w:hint="eastAsia"/>
          <w:color w:val="000000"/>
          <w:szCs w:val="21"/>
        </w:rPr>
        <w:t>。</w:t>
      </w:r>
    </w:p>
    <w:p w:rsidR="002570A9" w:rsidRDefault="002570A9">
      <w:pPr>
        <w:adjustRightInd w:val="0"/>
        <w:snapToGrid w:val="0"/>
        <w:spacing w:line="360" w:lineRule="auto"/>
        <w:rPr>
          <w:rFonts w:asciiTheme="minorEastAsia" w:eastAsiaTheme="minorEastAsia" w:hAnsiTheme="minorEastAsia" w:cs="Arial"/>
          <w:color w:val="000000"/>
          <w:szCs w:val="21"/>
        </w:rPr>
      </w:pPr>
    </w:p>
    <w:p w:rsidR="002570A9" w:rsidRDefault="007E0063">
      <w:pPr>
        <w:spacing w:line="360" w:lineRule="auto"/>
        <w:ind w:firstLineChars="200" w:firstLine="420"/>
        <w:jc w:val="right"/>
        <w:rPr>
          <w:rFonts w:asciiTheme="minorEastAsia" w:eastAsiaTheme="minorEastAsia" w:hAnsiTheme="minorEastAsia" w:cs="Arial"/>
          <w:color w:val="000000"/>
          <w:szCs w:val="21"/>
        </w:rPr>
      </w:pPr>
      <w:r>
        <w:rPr>
          <w:rFonts w:asciiTheme="minorEastAsia" w:eastAsiaTheme="minorEastAsia" w:hAnsiTheme="minorEastAsia" w:cs="Arial" w:hint="eastAsia"/>
          <w:color w:val="000000"/>
          <w:szCs w:val="21"/>
        </w:rPr>
        <w:t xml:space="preserve">            </w:t>
      </w:r>
      <w:r>
        <w:rPr>
          <w:rFonts w:asciiTheme="minorEastAsia" w:eastAsiaTheme="minorEastAsia" w:hAnsiTheme="minorEastAsia" w:cs="Arial" w:hint="eastAsia"/>
          <w:color w:val="000000"/>
          <w:szCs w:val="21"/>
        </w:rPr>
        <w:t>惠升</w:t>
      </w:r>
      <w:r>
        <w:rPr>
          <w:rFonts w:asciiTheme="minorEastAsia" w:eastAsiaTheme="minorEastAsia" w:hAnsiTheme="minorEastAsia" w:cs="Arial"/>
          <w:color w:val="000000"/>
          <w:szCs w:val="21"/>
        </w:rPr>
        <w:t>基金管理有限</w:t>
      </w:r>
      <w:r>
        <w:rPr>
          <w:rFonts w:asciiTheme="minorEastAsia" w:eastAsiaTheme="minorEastAsia" w:hAnsiTheme="minorEastAsia" w:cs="Arial" w:hint="eastAsia"/>
          <w:color w:val="000000"/>
          <w:szCs w:val="21"/>
        </w:rPr>
        <w:t>责任</w:t>
      </w:r>
      <w:r>
        <w:rPr>
          <w:rFonts w:asciiTheme="minorEastAsia" w:eastAsiaTheme="minorEastAsia" w:hAnsiTheme="minorEastAsia" w:cs="Arial"/>
          <w:color w:val="000000"/>
          <w:szCs w:val="21"/>
        </w:rPr>
        <w:t>公司</w:t>
      </w:r>
    </w:p>
    <w:p w:rsidR="002570A9" w:rsidRDefault="007E0063">
      <w:pPr>
        <w:wordWrap w:val="0"/>
        <w:spacing w:line="360" w:lineRule="auto"/>
        <w:ind w:firstLineChars="200" w:firstLine="420"/>
        <w:jc w:val="right"/>
        <w:rPr>
          <w:rFonts w:asciiTheme="minorEastAsia" w:eastAsiaTheme="minorEastAsia" w:hAnsiTheme="minorEastAsia" w:cs="Arial"/>
          <w:color w:val="000000"/>
          <w:szCs w:val="21"/>
        </w:rPr>
      </w:pPr>
      <w:r>
        <w:rPr>
          <w:rFonts w:asciiTheme="minorEastAsia" w:eastAsiaTheme="minorEastAsia" w:hAnsiTheme="minorEastAsia" w:cs="Arial" w:hint="eastAsia"/>
          <w:color w:val="000000"/>
          <w:szCs w:val="21"/>
        </w:rPr>
        <w:t>20</w:t>
      </w:r>
      <w:r>
        <w:rPr>
          <w:rFonts w:asciiTheme="minorEastAsia" w:eastAsiaTheme="minorEastAsia" w:hAnsiTheme="minorEastAsia" w:cs="Arial"/>
          <w:color w:val="000000"/>
          <w:szCs w:val="21"/>
        </w:rPr>
        <w:t>2</w:t>
      </w:r>
      <w:r w:rsidR="00D5052A">
        <w:rPr>
          <w:rFonts w:asciiTheme="minorEastAsia" w:eastAsiaTheme="minorEastAsia" w:hAnsiTheme="minorEastAsia" w:cs="Arial" w:hint="eastAsia"/>
          <w:color w:val="000000"/>
          <w:szCs w:val="21"/>
        </w:rPr>
        <w:t>5</w:t>
      </w:r>
      <w:r>
        <w:rPr>
          <w:rFonts w:asciiTheme="minorEastAsia" w:eastAsiaTheme="minorEastAsia" w:hAnsiTheme="minorEastAsia" w:cs="Arial" w:hint="eastAsia"/>
          <w:color w:val="000000"/>
          <w:szCs w:val="21"/>
        </w:rPr>
        <w:t>年</w:t>
      </w:r>
      <w:r w:rsidR="00D5052A">
        <w:rPr>
          <w:rFonts w:asciiTheme="minorEastAsia" w:eastAsiaTheme="minorEastAsia" w:hAnsiTheme="minorEastAsia" w:cs="Arial" w:hint="eastAsia"/>
          <w:color w:val="000000"/>
          <w:szCs w:val="21"/>
        </w:rPr>
        <w:t>4</w:t>
      </w:r>
      <w:r>
        <w:rPr>
          <w:rFonts w:asciiTheme="minorEastAsia" w:eastAsiaTheme="minorEastAsia" w:hAnsiTheme="minorEastAsia" w:cs="Arial" w:hint="eastAsia"/>
          <w:color w:val="000000"/>
          <w:szCs w:val="21"/>
        </w:rPr>
        <w:t>月</w:t>
      </w:r>
      <w:r w:rsidR="00D5052A">
        <w:rPr>
          <w:rFonts w:asciiTheme="minorEastAsia" w:eastAsiaTheme="minorEastAsia" w:hAnsiTheme="minorEastAsia" w:cs="Arial" w:hint="eastAsia"/>
          <w:color w:val="000000"/>
          <w:szCs w:val="21"/>
        </w:rPr>
        <w:t>23</w:t>
      </w:r>
      <w:r>
        <w:rPr>
          <w:rFonts w:asciiTheme="minorEastAsia" w:eastAsiaTheme="minorEastAsia" w:hAnsiTheme="minorEastAsia" w:cs="Arial" w:hint="eastAsia"/>
          <w:color w:val="000000"/>
          <w:szCs w:val="21"/>
        </w:rPr>
        <w:t>日</w:t>
      </w:r>
      <w:r>
        <w:rPr>
          <w:rFonts w:asciiTheme="minorEastAsia" w:eastAsiaTheme="minorEastAsia" w:hAnsiTheme="minorEastAsia" w:cs="Arial" w:hint="eastAsia"/>
          <w:color w:val="000000"/>
          <w:szCs w:val="21"/>
        </w:rPr>
        <w:t xml:space="preserve"> </w:t>
      </w:r>
      <w:r>
        <w:rPr>
          <w:rFonts w:asciiTheme="minorEastAsia" w:eastAsiaTheme="minorEastAsia" w:hAnsiTheme="minorEastAsia" w:cs="Arial"/>
          <w:color w:val="000000"/>
          <w:szCs w:val="21"/>
        </w:rPr>
        <w:t xml:space="preserve">   </w:t>
      </w:r>
    </w:p>
    <w:sectPr w:rsidR="002570A9" w:rsidSect="00CF60D0">
      <w:headerReference w:type="default" r:id="rId7"/>
      <w:footerReference w:type="default" r:id="rId8"/>
      <w:footerReference w:type="first" r:id="rId9"/>
      <w:pgSz w:w="11906" w:h="16838"/>
      <w:pgMar w:top="1440" w:right="1797" w:bottom="1440" w:left="1797"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6212" w:rsidRDefault="00156212">
      <w:r>
        <w:separator/>
      </w:r>
    </w:p>
  </w:endnote>
  <w:endnote w:type="continuationSeparator" w:id="0">
    <w:p w:rsidR="00156212" w:rsidRDefault="001562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仿宋_GB2312">
    <w:altName w:val="仿宋"/>
    <w:panose1 w:val="02010609030101010101"/>
    <w:charset w:val="86"/>
    <w:family w:val="modern"/>
    <w:pitch w:val="default"/>
    <w:sig w:usb0="00000000" w:usb1="0000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5483741"/>
    </w:sdtPr>
    <w:sdtContent>
      <w:sdt>
        <w:sdtPr>
          <w:id w:val="-15699263"/>
        </w:sdtPr>
        <w:sdtContent>
          <w:p w:rsidR="002570A9" w:rsidRDefault="007E0063">
            <w:pPr>
              <w:pStyle w:val="ab"/>
              <w:jc w:val="center"/>
            </w:pPr>
            <w:r>
              <w:rPr>
                <w:lang w:val="zh-CN"/>
              </w:rPr>
              <w:t xml:space="preserve"> </w:t>
            </w:r>
            <w:r w:rsidR="00CF60D0">
              <w:rPr>
                <w:b/>
                <w:bCs/>
                <w:sz w:val="24"/>
                <w:szCs w:val="24"/>
              </w:rPr>
              <w:fldChar w:fldCharType="begin"/>
            </w:r>
            <w:r>
              <w:rPr>
                <w:b/>
                <w:bCs/>
              </w:rPr>
              <w:instrText>PAGE</w:instrText>
            </w:r>
            <w:r w:rsidR="00CF60D0">
              <w:rPr>
                <w:b/>
                <w:bCs/>
                <w:sz w:val="24"/>
                <w:szCs w:val="24"/>
              </w:rPr>
              <w:fldChar w:fldCharType="separate"/>
            </w:r>
            <w:r>
              <w:rPr>
                <w:b/>
                <w:bCs/>
                <w:noProof/>
              </w:rPr>
              <w:t>1</w:t>
            </w:r>
            <w:r w:rsidR="00CF60D0">
              <w:rPr>
                <w:b/>
                <w:bCs/>
                <w:sz w:val="24"/>
                <w:szCs w:val="24"/>
              </w:rPr>
              <w:fldChar w:fldCharType="end"/>
            </w:r>
            <w:r>
              <w:rPr>
                <w:lang w:val="zh-CN"/>
              </w:rPr>
              <w:t xml:space="preserve"> / </w:t>
            </w:r>
            <w:r w:rsidR="00CF60D0">
              <w:rPr>
                <w:b/>
                <w:bCs/>
                <w:sz w:val="24"/>
                <w:szCs w:val="24"/>
              </w:rPr>
              <w:fldChar w:fldCharType="begin"/>
            </w:r>
            <w:r>
              <w:rPr>
                <w:b/>
                <w:bCs/>
              </w:rPr>
              <w:instrText>NUMPAGES</w:instrText>
            </w:r>
            <w:r w:rsidR="00CF60D0">
              <w:rPr>
                <w:b/>
                <w:bCs/>
                <w:sz w:val="24"/>
                <w:szCs w:val="24"/>
              </w:rPr>
              <w:fldChar w:fldCharType="separate"/>
            </w:r>
            <w:r>
              <w:rPr>
                <w:b/>
                <w:bCs/>
                <w:noProof/>
              </w:rPr>
              <w:t>3</w:t>
            </w:r>
            <w:r w:rsidR="00CF60D0">
              <w:rPr>
                <w:b/>
                <w:bCs/>
                <w:sz w:val="24"/>
                <w:szCs w:val="24"/>
              </w:rPr>
              <w:fldChar w:fldCharType="end"/>
            </w:r>
          </w:p>
        </w:sdtContent>
      </w:sdt>
    </w:sdtContent>
  </w:sdt>
  <w:p w:rsidR="002570A9" w:rsidRDefault="002570A9">
    <w:pPr>
      <w:pStyle w:val="ab"/>
      <w:jc w:val="center"/>
      <w:rPr>
        <w:rFonts w:ascii="Arial" w:hAnsi="Arial" w:cs="Arial"/>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6256267"/>
    </w:sdtPr>
    <w:sdtContent>
      <w:sdt>
        <w:sdtPr>
          <w:id w:val="1728636285"/>
        </w:sdtPr>
        <w:sdtContent>
          <w:p w:rsidR="002570A9" w:rsidRDefault="007E0063">
            <w:pPr>
              <w:pStyle w:val="ab"/>
              <w:jc w:val="center"/>
            </w:pPr>
            <w:r>
              <w:rPr>
                <w:lang w:val="zh-CN"/>
              </w:rPr>
              <w:t xml:space="preserve"> </w:t>
            </w:r>
            <w:r w:rsidR="00CF60D0">
              <w:rPr>
                <w:b/>
                <w:bCs/>
                <w:sz w:val="24"/>
                <w:szCs w:val="24"/>
              </w:rPr>
              <w:fldChar w:fldCharType="begin"/>
            </w:r>
            <w:r>
              <w:rPr>
                <w:b/>
                <w:bCs/>
              </w:rPr>
              <w:instrText>PAGE</w:instrText>
            </w:r>
            <w:r w:rsidR="00CF60D0">
              <w:rPr>
                <w:b/>
                <w:bCs/>
                <w:sz w:val="24"/>
                <w:szCs w:val="24"/>
              </w:rPr>
              <w:fldChar w:fldCharType="separate"/>
            </w:r>
            <w:r>
              <w:rPr>
                <w:b/>
                <w:bCs/>
              </w:rPr>
              <w:t>1</w:t>
            </w:r>
            <w:r w:rsidR="00CF60D0">
              <w:rPr>
                <w:b/>
                <w:bCs/>
                <w:sz w:val="24"/>
                <w:szCs w:val="24"/>
              </w:rPr>
              <w:fldChar w:fldCharType="end"/>
            </w:r>
            <w:r>
              <w:rPr>
                <w:lang w:val="zh-CN"/>
              </w:rPr>
              <w:t xml:space="preserve"> / </w:t>
            </w:r>
            <w:r w:rsidR="00CF60D0">
              <w:rPr>
                <w:b/>
                <w:bCs/>
                <w:sz w:val="24"/>
                <w:szCs w:val="24"/>
              </w:rPr>
              <w:fldChar w:fldCharType="begin"/>
            </w:r>
            <w:r>
              <w:rPr>
                <w:b/>
                <w:bCs/>
              </w:rPr>
              <w:instrText>NUMPAGES</w:instrText>
            </w:r>
            <w:r w:rsidR="00CF60D0">
              <w:rPr>
                <w:b/>
                <w:bCs/>
                <w:sz w:val="24"/>
                <w:szCs w:val="24"/>
              </w:rPr>
              <w:fldChar w:fldCharType="separate"/>
            </w:r>
            <w:r>
              <w:rPr>
                <w:b/>
                <w:bCs/>
              </w:rPr>
              <w:t>4</w:t>
            </w:r>
            <w:r w:rsidR="00CF60D0">
              <w:rPr>
                <w:b/>
                <w:bCs/>
                <w:sz w:val="24"/>
                <w:szCs w:val="24"/>
              </w:rPr>
              <w:fldChar w:fldCharType="end"/>
            </w:r>
          </w:p>
        </w:sdtContent>
      </w:sdt>
    </w:sdtContent>
  </w:sdt>
  <w:p w:rsidR="002570A9" w:rsidRDefault="002570A9">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6212" w:rsidRDefault="00156212">
      <w:r>
        <w:separator/>
      </w:r>
    </w:p>
  </w:footnote>
  <w:footnote w:type="continuationSeparator" w:id="0">
    <w:p w:rsidR="00156212" w:rsidRDefault="001562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0A9" w:rsidRDefault="002570A9">
    <w:pPr>
      <w:pStyle w:val="ac"/>
      <w:pBdr>
        <w:bottom w:val="none" w:sz="0" w:space="0" w:color="auto"/>
      </w:pBdr>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attachedTemplate r:id="rId1"/>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GQ4M2ZiMGQyODNhNGU0MDIwYzNmYWExZTY4NWU0OTYifQ=="/>
  </w:docVars>
  <w:rsids>
    <w:rsidRoot w:val="00856E6C"/>
    <w:rsid w:val="0000040F"/>
    <w:rsid w:val="00000DCB"/>
    <w:rsid w:val="00003643"/>
    <w:rsid w:val="00003689"/>
    <w:rsid w:val="000042EE"/>
    <w:rsid w:val="00004A56"/>
    <w:rsid w:val="000053B1"/>
    <w:rsid w:val="00005C7E"/>
    <w:rsid w:val="000068A0"/>
    <w:rsid w:val="00006AFB"/>
    <w:rsid w:val="000078DC"/>
    <w:rsid w:val="00010335"/>
    <w:rsid w:val="00011385"/>
    <w:rsid w:val="00012FBB"/>
    <w:rsid w:val="000137B4"/>
    <w:rsid w:val="00013DEC"/>
    <w:rsid w:val="000147F4"/>
    <w:rsid w:val="00015181"/>
    <w:rsid w:val="00016267"/>
    <w:rsid w:val="00016AAD"/>
    <w:rsid w:val="000174B9"/>
    <w:rsid w:val="00017A90"/>
    <w:rsid w:val="000211A0"/>
    <w:rsid w:val="000219DD"/>
    <w:rsid w:val="00022564"/>
    <w:rsid w:val="000250A9"/>
    <w:rsid w:val="00025AA2"/>
    <w:rsid w:val="00030918"/>
    <w:rsid w:val="0003196B"/>
    <w:rsid w:val="000320D8"/>
    <w:rsid w:val="00032404"/>
    <w:rsid w:val="000335A7"/>
    <w:rsid w:val="00034059"/>
    <w:rsid w:val="000342E3"/>
    <w:rsid w:val="0003513B"/>
    <w:rsid w:val="00035A6F"/>
    <w:rsid w:val="000368C2"/>
    <w:rsid w:val="000374D4"/>
    <w:rsid w:val="000400EE"/>
    <w:rsid w:val="00040284"/>
    <w:rsid w:val="000418DF"/>
    <w:rsid w:val="0004211E"/>
    <w:rsid w:val="00042244"/>
    <w:rsid w:val="00042EB1"/>
    <w:rsid w:val="00044A21"/>
    <w:rsid w:val="00046AD8"/>
    <w:rsid w:val="0004779C"/>
    <w:rsid w:val="00047CDA"/>
    <w:rsid w:val="00050CAE"/>
    <w:rsid w:val="00051D2D"/>
    <w:rsid w:val="000546BB"/>
    <w:rsid w:val="0005608A"/>
    <w:rsid w:val="00057B3C"/>
    <w:rsid w:val="00060225"/>
    <w:rsid w:val="000603BC"/>
    <w:rsid w:val="00061B34"/>
    <w:rsid w:val="00062D60"/>
    <w:rsid w:val="000635E1"/>
    <w:rsid w:val="000644A3"/>
    <w:rsid w:val="000655D4"/>
    <w:rsid w:val="00065BA8"/>
    <w:rsid w:val="00065D90"/>
    <w:rsid w:val="000662E0"/>
    <w:rsid w:val="000702E5"/>
    <w:rsid w:val="0007061E"/>
    <w:rsid w:val="00070D95"/>
    <w:rsid w:val="0007127F"/>
    <w:rsid w:val="00074069"/>
    <w:rsid w:val="000748A5"/>
    <w:rsid w:val="000805C2"/>
    <w:rsid w:val="000816D7"/>
    <w:rsid w:val="00084AB9"/>
    <w:rsid w:val="00085486"/>
    <w:rsid w:val="00086B61"/>
    <w:rsid w:val="000870C0"/>
    <w:rsid w:val="0008749A"/>
    <w:rsid w:val="00090C1A"/>
    <w:rsid w:val="000916A3"/>
    <w:rsid w:val="00091B13"/>
    <w:rsid w:val="000926FC"/>
    <w:rsid w:val="00093212"/>
    <w:rsid w:val="00094A85"/>
    <w:rsid w:val="00095149"/>
    <w:rsid w:val="00095C68"/>
    <w:rsid w:val="00095DC9"/>
    <w:rsid w:val="000A0430"/>
    <w:rsid w:val="000A1095"/>
    <w:rsid w:val="000A6E54"/>
    <w:rsid w:val="000A77B4"/>
    <w:rsid w:val="000A78D1"/>
    <w:rsid w:val="000B0278"/>
    <w:rsid w:val="000B101D"/>
    <w:rsid w:val="000B1E7A"/>
    <w:rsid w:val="000B2FD6"/>
    <w:rsid w:val="000B32FB"/>
    <w:rsid w:val="000B43E5"/>
    <w:rsid w:val="000B7854"/>
    <w:rsid w:val="000C006E"/>
    <w:rsid w:val="000C171B"/>
    <w:rsid w:val="000C262B"/>
    <w:rsid w:val="000C2E22"/>
    <w:rsid w:val="000C330C"/>
    <w:rsid w:val="000C37B0"/>
    <w:rsid w:val="000C3CBE"/>
    <w:rsid w:val="000C435B"/>
    <w:rsid w:val="000C4B0C"/>
    <w:rsid w:val="000C4C08"/>
    <w:rsid w:val="000C4C60"/>
    <w:rsid w:val="000C5080"/>
    <w:rsid w:val="000C59C2"/>
    <w:rsid w:val="000C6918"/>
    <w:rsid w:val="000C76AB"/>
    <w:rsid w:val="000D06C8"/>
    <w:rsid w:val="000D0897"/>
    <w:rsid w:val="000D27DC"/>
    <w:rsid w:val="000D36B5"/>
    <w:rsid w:val="000D51E8"/>
    <w:rsid w:val="000D60C8"/>
    <w:rsid w:val="000D7069"/>
    <w:rsid w:val="000D72F6"/>
    <w:rsid w:val="000D7307"/>
    <w:rsid w:val="000E12D3"/>
    <w:rsid w:val="000E47E0"/>
    <w:rsid w:val="000E49EF"/>
    <w:rsid w:val="000E66CD"/>
    <w:rsid w:val="000F1221"/>
    <w:rsid w:val="000F157F"/>
    <w:rsid w:val="000F1F16"/>
    <w:rsid w:val="000F227A"/>
    <w:rsid w:val="000F274B"/>
    <w:rsid w:val="000F306D"/>
    <w:rsid w:val="000F40C6"/>
    <w:rsid w:val="000F4841"/>
    <w:rsid w:val="000F6B10"/>
    <w:rsid w:val="001016A1"/>
    <w:rsid w:val="0010182D"/>
    <w:rsid w:val="001019AE"/>
    <w:rsid w:val="001029E7"/>
    <w:rsid w:val="0010370A"/>
    <w:rsid w:val="001039DE"/>
    <w:rsid w:val="0010433C"/>
    <w:rsid w:val="00104344"/>
    <w:rsid w:val="0010463D"/>
    <w:rsid w:val="001055F8"/>
    <w:rsid w:val="00105AC4"/>
    <w:rsid w:val="001064BB"/>
    <w:rsid w:val="001065FF"/>
    <w:rsid w:val="00107429"/>
    <w:rsid w:val="00107616"/>
    <w:rsid w:val="00107791"/>
    <w:rsid w:val="001077AA"/>
    <w:rsid w:val="00111477"/>
    <w:rsid w:val="00111748"/>
    <w:rsid w:val="00111970"/>
    <w:rsid w:val="00112FAB"/>
    <w:rsid w:val="00113571"/>
    <w:rsid w:val="0011487A"/>
    <w:rsid w:val="00114C2B"/>
    <w:rsid w:val="00114CC7"/>
    <w:rsid w:val="00114ECB"/>
    <w:rsid w:val="00117082"/>
    <w:rsid w:val="0012120E"/>
    <w:rsid w:val="00121289"/>
    <w:rsid w:val="00121B27"/>
    <w:rsid w:val="001227D9"/>
    <w:rsid w:val="00122B70"/>
    <w:rsid w:val="001238A7"/>
    <w:rsid w:val="00123F85"/>
    <w:rsid w:val="00125360"/>
    <w:rsid w:val="00126521"/>
    <w:rsid w:val="00126984"/>
    <w:rsid w:val="00127763"/>
    <w:rsid w:val="001304FE"/>
    <w:rsid w:val="00130918"/>
    <w:rsid w:val="001313E7"/>
    <w:rsid w:val="00131620"/>
    <w:rsid w:val="00131630"/>
    <w:rsid w:val="00131A50"/>
    <w:rsid w:val="001328E0"/>
    <w:rsid w:val="00133010"/>
    <w:rsid w:val="00133057"/>
    <w:rsid w:val="00133D18"/>
    <w:rsid w:val="00134051"/>
    <w:rsid w:val="00134735"/>
    <w:rsid w:val="00134898"/>
    <w:rsid w:val="00135876"/>
    <w:rsid w:val="00135AC2"/>
    <w:rsid w:val="0013639C"/>
    <w:rsid w:val="0014308D"/>
    <w:rsid w:val="00144390"/>
    <w:rsid w:val="00144C33"/>
    <w:rsid w:val="00146C9D"/>
    <w:rsid w:val="001500EB"/>
    <w:rsid w:val="00150C95"/>
    <w:rsid w:val="00151D4A"/>
    <w:rsid w:val="00152650"/>
    <w:rsid w:val="001540C2"/>
    <w:rsid w:val="00154A37"/>
    <w:rsid w:val="00154BC1"/>
    <w:rsid w:val="00155D84"/>
    <w:rsid w:val="00156212"/>
    <w:rsid w:val="00156E4F"/>
    <w:rsid w:val="001613D9"/>
    <w:rsid w:val="00165613"/>
    <w:rsid w:val="0016661A"/>
    <w:rsid w:val="0016729C"/>
    <w:rsid w:val="00167E28"/>
    <w:rsid w:val="0017050D"/>
    <w:rsid w:val="001726AF"/>
    <w:rsid w:val="00172C5E"/>
    <w:rsid w:val="00173C28"/>
    <w:rsid w:val="0017530D"/>
    <w:rsid w:val="00175612"/>
    <w:rsid w:val="00175BD8"/>
    <w:rsid w:val="00176EF0"/>
    <w:rsid w:val="00177135"/>
    <w:rsid w:val="0017766C"/>
    <w:rsid w:val="00177940"/>
    <w:rsid w:val="00177A86"/>
    <w:rsid w:val="00180A97"/>
    <w:rsid w:val="00180D49"/>
    <w:rsid w:val="001825FC"/>
    <w:rsid w:val="001833E8"/>
    <w:rsid w:val="00183684"/>
    <w:rsid w:val="00183A49"/>
    <w:rsid w:val="001862F4"/>
    <w:rsid w:val="0018671B"/>
    <w:rsid w:val="001906A7"/>
    <w:rsid w:val="00190A51"/>
    <w:rsid w:val="0019168C"/>
    <w:rsid w:val="00191DDB"/>
    <w:rsid w:val="00191EF7"/>
    <w:rsid w:val="00192478"/>
    <w:rsid w:val="001932D0"/>
    <w:rsid w:val="001941CB"/>
    <w:rsid w:val="00194A3E"/>
    <w:rsid w:val="00194C80"/>
    <w:rsid w:val="00195240"/>
    <w:rsid w:val="0019545C"/>
    <w:rsid w:val="00196095"/>
    <w:rsid w:val="00196473"/>
    <w:rsid w:val="00197382"/>
    <w:rsid w:val="001A061F"/>
    <w:rsid w:val="001A0F7C"/>
    <w:rsid w:val="001A12AC"/>
    <w:rsid w:val="001A2455"/>
    <w:rsid w:val="001A4DB3"/>
    <w:rsid w:val="001A542D"/>
    <w:rsid w:val="001A70A4"/>
    <w:rsid w:val="001A74F7"/>
    <w:rsid w:val="001A7B39"/>
    <w:rsid w:val="001A7CE6"/>
    <w:rsid w:val="001B1A2D"/>
    <w:rsid w:val="001B2F15"/>
    <w:rsid w:val="001B318F"/>
    <w:rsid w:val="001B4E01"/>
    <w:rsid w:val="001B6E24"/>
    <w:rsid w:val="001B7D67"/>
    <w:rsid w:val="001C16E5"/>
    <w:rsid w:val="001C492E"/>
    <w:rsid w:val="001C4F06"/>
    <w:rsid w:val="001C628D"/>
    <w:rsid w:val="001C664E"/>
    <w:rsid w:val="001C6A1A"/>
    <w:rsid w:val="001C6DFD"/>
    <w:rsid w:val="001C74F1"/>
    <w:rsid w:val="001C772C"/>
    <w:rsid w:val="001C7F8E"/>
    <w:rsid w:val="001D0137"/>
    <w:rsid w:val="001D0814"/>
    <w:rsid w:val="001D20D0"/>
    <w:rsid w:val="001D2347"/>
    <w:rsid w:val="001D5242"/>
    <w:rsid w:val="001D5AC2"/>
    <w:rsid w:val="001D5D5A"/>
    <w:rsid w:val="001D61D3"/>
    <w:rsid w:val="001D64F0"/>
    <w:rsid w:val="001D7102"/>
    <w:rsid w:val="001D7820"/>
    <w:rsid w:val="001E02F5"/>
    <w:rsid w:val="001E0612"/>
    <w:rsid w:val="001E3121"/>
    <w:rsid w:val="001E61B3"/>
    <w:rsid w:val="001E6A67"/>
    <w:rsid w:val="001E7CC4"/>
    <w:rsid w:val="001F0C2B"/>
    <w:rsid w:val="001F1898"/>
    <w:rsid w:val="001F19FB"/>
    <w:rsid w:val="001F4596"/>
    <w:rsid w:val="001F4FD9"/>
    <w:rsid w:val="001F574B"/>
    <w:rsid w:val="00201BE0"/>
    <w:rsid w:val="00201DF7"/>
    <w:rsid w:val="00201FE3"/>
    <w:rsid w:val="002027D4"/>
    <w:rsid w:val="0020457E"/>
    <w:rsid w:val="002047DC"/>
    <w:rsid w:val="0020649C"/>
    <w:rsid w:val="00206E5A"/>
    <w:rsid w:val="002078C2"/>
    <w:rsid w:val="00207EF9"/>
    <w:rsid w:val="00207FEE"/>
    <w:rsid w:val="002100A6"/>
    <w:rsid w:val="002121AE"/>
    <w:rsid w:val="0021278C"/>
    <w:rsid w:val="002139A5"/>
    <w:rsid w:val="00214037"/>
    <w:rsid w:val="002155B9"/>
    <w:rsid w:val="00215880"/>
    <w:rsid w:val="00215EF5"/>
    <w:rsid w:val="0021792F"/>
    <w:rsid w:val="002205FB"/>
    <w:rsid w:val="002221B1"/>
    <w:rsid w:val="00223EF6"/>
    <w:rsid w:val="0022663E"/>
    <w:rsid w:val="00226A1D"/>
    <w:rsid w:val="00226AA7"/>
    <w:rsid w:val="00226AF3"/>
    <w:rsid w:val="00227713"/>
    <w:rsid w:val="0022781C"/>
    <w:rsid w:val="0022784D"/>
    <w:rsid w:val="0023022E"/>
    <w:rsid w:val="00231FB0"/>
    <w:rsid w:val="00232B1D"/>
    <w:rsid w:val="002350E9"/>
    <w:rsid w:val="00236213"/>
    <w:rsid w:val="00236645"/>
    <w:rsid w:val="0023731D"/>
    <w:rsid w:val="00240863"/>
    <w:rsid w:val="00240884"/>
    <w:rsid w:val="002411EF"/>
    <w:rsid w:val="00241655"/>
    <w:rsid w:val="00241EA7"/>
    <w:rsid w:val="00242040"/>
    <w:rsid w:val="002424D2"/>
    <w:rsid w:val="00242F7A"/>
    <w:rsid w:val="00244168"/>
    <w:rsid w:val="00244491"/>
    <w:rsid w:val="00244AB9"/>
    <w:rsid w:val="00244ED9"/>
    <w:rsid w:val="0024543A"/>
    <w:rsid w:val="002503AC"/>
    <w:rsid w:val="002504CC"/>
    <w:rsid w:val="0025194C"/>
    <w:rsid w:val="0025209D"/>
    <w:rsid w:val="0025362A"/>
    <w:rsid w:val="002536B3"/>
    <w:rsid w:val="00254BCF"/>
    <w:rsid w:val="00254C75"/>
    <w:rsid w:val="002570A9"/>
    <w:rsid w:val="00257492"/>
    <w:rsid w:val="0026149C"/>
    <w:rsid w:val="00262146"/>
    <w:rsid w:val="00262BCB"/>
    <w:rsid w:val="002646F0"/>
    <w:rsid w:val="0026566E"/>
    <w:rsid w:val="00267E52"/>
    <w:rsid w:val="00273A26"/>
    <w:rsid w:val="00273ACD"/>
    <w:rsid w:val="00273FD4"/>
    <w:rsid w:val="00274BC9"/>
    <w:rsid w:val="00276B65"/>
    <w:rsid w:val="0028325E"/>
    <w:rsid w:val="002834DA"/>
    <w:rsid w:val="00283D05"/>
    <w:rsid w:val="00283F41"/>
    <w:rsid w:val="002855A0"/>
    <w:rsid w:val="00285EC5"/>
    <w:rsid w:val="0028664B"/>
    <w:rsid w:val="00286C48"/>
    <w:rsid w:val="00286C66"/>
    <w:rsid w:val="00287EBD"/>
    <w:rsid w:val="00287EC8"/>
    <w:rsid w:val="00290BA6"/>
    <w:rsid w:val="0029114F"/>
    <w:rsid w:val="00295E64"/>
    <w:rsid w:val="00297FAA"/>
    <w:rsid w:val="002A00A5"/>
    <w:rsid w:val="002A1DC6"/>
    <w:rsid w:val="002A27EE"/>
    <w:rsid w:val="002A2828"/>
    <w:rsid w:val="002A2C3A"/>
    <w:rsid w:val="002A3127"/>
    <w:rsid w:val="002A49FC"/>
    <w:rsid w:val="002A6718"/>
    <w:rsid w:val="002A71D3"/>
    <w:rsid w:val="002B0D4A"/>
    <w:rsid w:val="002B0F15"/>
    <w:rsid w:val="002B1B3D"/>
    <w:rsid w:val="002B3287"/>
    <w:rsid w:val="002B492C"/>
    <w:rsid w:val="002C0AEE"/>
    <w:rsid w:val="002C1248"/>
    <w:rsid w:val="002C13B6"/>
    <w:rsid w:val="002C13D3"/>
    <w:rsid w:val="002C1839"/>
    <w:rsid w:val="002C284B"/>
    <w:rsid w:val="002C28C8"/>
    <w:rsid w:val="002C319B"/>
    <w:rsid w:val="002C381A"/>
    <w:rsid w:val="002C443F"/>
    <w:rsid w:val="002C4CFE"/>
    <w:rsid w:val="002C4F90"/>
    <w:rsid w:val="002C5B5D"/>
    <w:rsid w:val="002C627F"/>
    <w:rsid w:val="002C64B0"/>
    <w:rsid w:val="002C6D34"/>
    <w:rsid w:val="002C7054"/>
    <w:rsid w:val="002C71DB"/>
    <w:rsid w:val="002C73A0"/>
    <w:rsid w:val="002C7655"/>
    <w:rsid w:val="002D0FFB"/>
    <w:rsid w:val="002D1595"/>
    <w:rsid w:val="002D1DC3"/>
    <w:rsid w:val="002D315A"/>
    <w:rsid w:val="002D3353"/>
    <w:rsid w:val="002D37D6"/>
    <w:rsid w:val="002D3E6F"/>
    <w:rsid w:val="002D4670"/>
    <w:rsid w:val="002D4C24"/>
    <w:rsid w:val="002D541D"/>
    <w:rsid w:val="002D60A2"/>
    <w:rsid w:val="002D633B"/>
    <w:rsid w:val="002D74E2"/>
    <w:rsid w:val="002D753D"/>
    <w:rsid w:val="002E1712"/>
    <w:rsid w:val="002E228D"/>
    <w:rsid w:val="002E3072"/>
    <w:rsid w:val="002E34FF"/>
    <w:rsid w:val="002E52B4"/>
    <w:rsid w:val="002E55D4"/>
    <w:rsid w:val="002E6982"/>
    <w:rsid w:val="002E78AA"/>
    <w:rsid w:val="002F0ED8"/>
    <w:rsid w:val="002F10EE"/>
    <w:rsid w:val="002F1531"/>
    <w:rsid w:val="002F2DD1"/>
    <w:rsid w:val="002F3007"/>
    <w:rsid w:val="002F418D"/>
    <w:rsid w:val="002F477D"/>
    <w:rsid w:val="002F7199"/>
    <w:rsid w:val="002F7550"/>
    <w:rsid w:val="003011CB"/>
    <w:rsid w:val="00302430"/>
    <w:rsid w:val="003032CE"/>
    <w:rsid w:val="003033B1"/>
    <w:rsid w:val="00304413"/>
    <w:rsid w:val="003048FA"/>
    <w:rsid w:val="003048FB"/>
    <w:rsid w:val="0030677D"/>
    <w:rsid w:val="00307718"/>
    <w:rsid w:val="00310396"/>
    <w:rsid w:val="00310725"/>
    <w:rsid w:val="00310AA6"/>
    <w:rsid w:val="00312632"/>
    <w:rsid w:val="003139F8"/>
    <w:rsid w:val="00313A10"/>
    <w:rsid w:val="00316115"/>
    <w:rsid w:val="00316C60"/>
    <w:rsid w:val="00316FE3"/>
    <w:rsid w:val="003200A1"/>
    <w:rsid w:val="00321552"/>
    <w:rsid w:val="0032256B"/>
    <w:rsid w:val="00322857"/>
    <w:rsid w:val="00322F8E"/>
    <w:rsid w:val="00323DD8"/>
    <w:rsid w:val="0032564B"/>
    <w:rsid w:val="00326FBA"/>
    <w:rsid w:val="00327D92"/>
    <w:rsid w:val="00330F87"/>
    <w:rsid w:val="00332452"/>
    <w:rsid w:val="00332773"/>
    <w:rsid w:val="003351CF"/>
    <w:rsid w:val="003356EB"/>
    <w:rsid w:val="00336602"/>
    <w:rsid w:val="00336B7C"/>
    <w:rsid w:val="0034170A"/>
    <w:rsid w:val="00341B70"/>
    <w:rsid w:val="00341CDE"/>
    <w:rsid w:val="0034314C"/>
    <w:rsid w:val="00345156"/>
    <w:rsid w:val="00345618"/>
    <w:rsid w:val="003458AF"/>
    <w:rsid w:val="00345C56"/>
    <w:rsid w:val="00345C96"/>
    <w:rsid w:val="00346428"/>
    <w:rsid w:val="00346596"/>
    <w:rsid w:val="00347824"/>
    <w:rsid w:val="00350F43"/>
    <w:rsid w:val="00352017"/>
    <w:rsid w:val="0035257E"/>
    <w:rsid w:val="00352C98"/>
    <w:rsid w:val="003536F0"/>
    <w:rsid w:val="00353AB6"/>
    <w:rsid w:val="0035595C"/>
    <w:rsid w:val="00360575"/>
    <w:rsid w:val="00360A37"/>
    <w:rsid w:val="003617A0"/>
    <w:rsid w:val="00362AC5"/>
    <w:rsid w:val="00362B38"/>
    <w:rsid w:val="003637F4"/>
    <w:rsid w:val="003647C6"/>
    <w:rsid w:val="003660C8"/>
    <w:rsid w:val="00366D9B"/>
    <w:rsid w:val="00370B48"/>
    <w:rsid w:val="00370DBA"/>
    <w:rsid w:val="00371299"/>
    <w:rsid w:val="0037181C"/>
    <w:rsid w:val="00371F64"/>
    <w:rsid w:val="00372A51"/>
    <w:rsid w:val="00373CA5"/>
    <w:rsid w:val="003757CE"/>
    <w:rsid w:val="00376306"/>
    <w:rsid w:val="00377C25"/>
    <w:rsid w:val="00380499"/>
    <w:rsid w:val="00382589"/>
    <w:rsid w:val="00383AA5"/>
    <w:rsid w:val="00386A12"/>
    <w:rsid w:val="00386C3E"/>
    <w:rsid w:val="00387F10"/>
    <w:rsid w:val="0039021B"/>
    <w:rsid w:val="00391D0D"/>
    <w:rsid w:val="003927ED"/>
    <w:rsid w:val="00392B2A"/>
    <w:rsid w:val="0039381E"/>
    <w:rsid w:val="00393EDA"/>
    <w:rsid w:val="003940D2"/>
    <w:rsid w:val="00394CE2"/>
    <w:rsid w:val="003962FB"/>
    <w:rsid w:val="00396992"/>
    <w:rsid w:val="00396E9B"/>
    <w:rsid w:val="0039702B"/>
    <w:rsid w:val="003977E2"/>
    <w:rsid w:val="003979D4"/>
    <w:rsid w:val="003A0E79"/>
    <w:rsid w:val="003A1EB8"/>
    <w:rsid w:val="003A21AD"/>
    <w:rsid w:val="003A3308"/>
    <w:rsid w:val="003A3625"/>
    <w:rsid w:val="003A39D8"/>
    <w:rsid w:val="003A3CE5"/>
    <w:rsid w:val="003A4BA6"/>
    <w:rsid w:val="003A5A5A"/>
    <w:rsid w:val="003A6028"/>
    <w:rsid w:val="003A6187"/>
    <w:rsid w:val="003A62D4"/>
    <w:rsid w:val="003A65B6"/>
    <w:rsid w:val="003A6741"/>
    <w:rsid w:val="003B006E"/>
    <w:rsid w:val="003B0541"/>
    <w:rsid w:val="003B1418"/>
    <w:rsid w:val="003B158B"/>
    <w:rsid w:val="003B2052"/>
    <w:rsid w:val="003B2188"/>
    <w:rsid w:val="003B2C2D"/>
    <w:rsid w:val="003B7D6A"/>
    <w:rsid w:val="003C0F6B"/>
    <w:rsid w:val="003C1148"/>
    <w:rsid w:val="003C3107"/>
    <w:rsid w:val="003C3506"/>
    <w:rsid w:val="003C4687"/>
    <w:rsid w:val="003D14EF"/>
    <w:rsid w:val="003D21C0"/>
    <w:rsid w:val="003D2E43"/>
    <w:rsid w:val="003D4200"/>
    <w:rsid w:val="003D4D8E"/>
    <w:rsid w:val="003D5A05"/>
    <w:rsid w:val="003D6376"/>
    <w:rsid w:val="003D665B"/>
    <w:rsid w:val="003D6CF0"/>
    <w:rsid w:val="003D7025"/>
    <w:rsid w:val="003E0139"/>
    <w:rsid w:val="003E0782"/>
    <w:rsid w:val="003E0E6C"/>
    <w:rsid w:val="003E15C3"/>
    <w:rsid w:val="003E3544"/>
    <w:rsid w:val="003E3AE6"/>
    <w:rsid w:val="003E44D1"/>
    <w:rsid w:val="003E6E4E"/>
    <w:rsid w:val="003E70D0"/>
    <w:rsid w:val="003E72FE"/>
    <w:rsid w:val="003F0730"/>
    <w:rsid w:val="003F130F"/>
    <w:rsid w:val="003F13F0"/>
    <w:rsid w:val="003F2D9F"/>
    <w:rsid w:val="003F3AD4"/>
    <w:rsid w:val="003F4791"/>
    <w:rsid w:val="003F4982"/>
    <w:rsid w:val="003F4DAE"/>
    <w:rsid w:val="003F5577"/>
    <w:rsid w:val="003F5B3A"/>
    <w:rsid w:val="003F5DDB"/>
    <w:rsid w:val="003F63F2"/>
    <w:rsid w:val="003F6A92"/>
    <w:rsid w:val="003F795A"/>
    <w:rsid w:val="0040015E"/>
    <w:rsid w:val="00403E19"/>
    <w:rsid w:val="0040449F"/>
    <w:rsid w:val="004054C4"/>
    <w:rsid w:val="00405CF7"/>
    <w:rsid w:val="00410870"/>
    <w:rsid w:val="00410E37"/>
    <w:rsid w:val="004139CF"/>
    <w:rsid w:val="00413FF4"/>
    <w:rsid w:val="00414554"/>
    <w:rsid w:val="00414D0D"/>
    <w:rsid w:val="0041518B"/>
    <w:rsid w:val="004163A0"/>
    <w:rsid w:val="0041693A"/>
    <w:rsid w:val="00416CEA"/>
    <w:rsid w:val="00420380"/>
    <w:rsid w:val="00420F27"/>
    <w:rsid w:val="004222B8"/>
    <w:rsid w:val="00423383"/>
    <w:rsid w:val="004237BF"/>
    <w:rsid w:val="0042415C"/>
    <w:rsid w:val="0042496C"/>
    <w:rsid w:val="00425049"/>
    <w:rsid w:val="00425F10"/>
    <w:rsid w:val="00426038"/>
    <w:rsid w:val="00427E53"/>
    <w:rsid w:val="0043081F"/>
    <w:rsid w:val="00430AF3"/>
    <w:rsid w:val="004315FF"/>
    <w:rsid w:val="0043270B"/>
    <w:rsid w:val="00432DD0"/>
    <w:rsid w:val="004330D6"/>
    <w:rsid w:val="00433C18"/>
    <w:rsid w:val="00436DE5"/>
    <w:rsid w:val="00441C0B"/>
    <w:rsid w:val="00442AA9"/>
    <w:rsid w:val="00443602"/>
    <w:rsid w:val="00444405"/>
    <w:rsid w:val="00444598"/>
    <w:rsid w:val="00444C95"/>
    <w:rsid w:val="0044583B"/>
    <w:rsid w:val="00446993"/>
    <w:rsid w:val="00446F05"/>
    <w:rsid w:val="0044743E"/>
    <w:rsid w:val="0045086B"/>
    <w:rsid w:val="00452BD2"/>
    <w:rsid w:val="004536CB"/>
    <w:rsid w:val="00454121"/>
    <w:rsid w:val="00454528"/>
    <w:rsid w:val="00454784"/>
    <w:rsid w:val="00454B9B"/>
    <w:rsid w:val="004552D0"/>
    <w:rsid w:val="0045537C"/>
    <w:rsid w:val="00455786"/>
    <w:rsid w:val="00456151"/>
    <w:rsid w:val="004565E5"/>
    <w:rsid w:val="00461917"/>
    <w:rsid w:val="0046366A"/>
    <w:rsid w:val="004644BC"/>
    <w:rsid w:val="004649DF"/>
    <w:rsid w:val="00464C32"/>
    <w:rsid w:val="00464EBE"/>
    <w:rsid w:val="00467902"/>
    <w:rsid w:val="00467975"/>
    <w:rsid w:val="004717D8"/>
    <w:rsid w:val="004717F7"/>
    <w:rsid w:val="00471C57"/>
    <w:rsid w:val="00472ADC"/>
    <w:rsid w:val="00472BB8"/>
    <w:rsid w:val="0047388C"/>
    <w:rsid w:val="00476278"/>
    <w:rsid w:val="004766EF"/>
    <w:rsid w:val="004776F5"/>
    <w:rsid w:val="004779F4"/>
    <w:rsid w:val="004801EE"/>
    <w:rsid w:val="00482A77"/>
    <w:rsid w:val="00484946"/>
    <w:rsid w:val="00484C3A"/>
    <w:rsid w:val="00487B46"/>
    <w:rsid w:val="00490AAB"/>
    <w:rsid w:val="00492EAC"/>
    <w:rsid w:val="00493362"/>
    <w:rsid w:val="00494990"/>
    <w:rsid w:val="0049533F"/>
    <w:rsid w:val="00495533"/>
    <w:rsid w:val="00495738"/>
    <w:rsid w:val="00495D84"/>
    <w:rsid w:val="00495DF2"/>
    <w:rsid w:val="00495EC7"/>
    <w:rsid w:val="00497160"/>
    <w:rsid w:val="004A00D8"/>
    <w:rsid w:val="004A0947"/>
    <w:rsid w:val="004A1AFF"/>
    <w:rsid w:val="004A1C4F"/>
    <w:rsid w:val="004A2CA9"/>
    <w:rsid w:val="004A332E"/>
    <w:rsid w:val="004A4341"/>
    <w:rsid w:val="004A4CAA"/>
    <w:rsid w:val="004A575A"/>
    <w:rsid w:val="004B0095"/>
    <w:rsid w:val="004B07C8"/>
    <w:rsid w:val="004B08A9"/>
    <w:rsid w:val="004B122D"/>
    <w:rsid w:val="004B1A39"/>
    <w:rsid w:val="004B3B75"/>
    <w:rsid w:val="004B5386"/>
    <w:rsid w:val="004B59A7"/>
    <w:rsid w:val="004B5EBE"/>
    <w:rsid w:val="004B6DEA"/>
    <w:rsid w:val="004B7C59"/>
    <w:rsid w:val="004C04F6"/>
    <w:rsid w:val="004C1819"/>
    <w:rsid w:val="004C279F"/>
    <w:rsid w:val="004C3640"/>
    <w:rsid w:val="004C4CEC"/>
    <w:rsid w:val="004C528E"/>
    <w:rsid w:val="004C5A56"/>
    <w:rsid w:val="004C6E0E"/>
    <w:rsid w:val="004C75C6"/>
    <w:rsid w:val="004C7D37"/>
    <w:rsid w:val="004C7F32"/>
    <w:rsid w:val="004D03D7"/>
    <w:rsid w:val="004D0C69"/>
    <w:rsid w:val="004D0D75"/>
    <w:rsid w:val="004D111C"/>
    <w:rsid w:val="004D144C"/>
    <w:rsid w:val="004D1FB2"/>
    <w:rsid w:val="004D2AC5"/>
    <w:rsid w:val="004D2C59"/>
    <w:rsid w:val="004D3F0D"/>
    <w:rsid w:val="004D4E1A"/>
    <w:rsid w:val="004D5061"/>
    <w:rsid w:val="004D527B"/>
    <w:rsid w:val="004D592C"/>
    <w:rsid w:val="004D6148"/>
    <w:rsid w:val="004D6AF5"/>
    <w:rsid w:val="004D6FB0"/>
    <w:rsid w:val="004D7879"/>
    <w:rsid w:val="004D7B26"/>
    <w:rsid w:val="004E0F73"/>
    <w:rsid w:val="004E1882"/>
    <w:rsid w:val="004E39AA"/>
    <w:rsid w:val="004E54FC"/>
    <w:rsid w:val="004E6651"/>
    <w:rsid w:val="004E667A"/>
    <w:rsid w:val="004E6DC9"/>
    <w:rsid w:val="004E72D1"/>
    <w:rsid w:val="004E7F1A"/>
    <w:rsid w:val="004F0429"/>
    <w:rsid w:val="004F14A3"/>
    <w:rsid w:val="004F1977"/>
    <w:rsid w:val="004F214E"/>
    <w:rsid w:val="004F2D87"/>
    <w:rsid w:val="004F34EB"/>
    <w:rsid w:val="004F4BC6"/>
    <w:rsid w:val="004F6054"/>
    <w:rsid w:val="004F62C5"/>
    <w:rsid w:val="004F728A"/>
    <w:rsid w:val="004F7BA8"/>
    <w:rsid w:val="00500ACB"/>
    <w:rsid w:val="00500F35"/>
    <w:rsid w:val="00501D65"/>
    <w:rsid w:val="00503589"/>
    <w:rsid w:val="00503C2E"/>
    <w:rsid w:val="005053E8"/>
    <w:rsid w:val="00505D2B"/>
    <w:rsid w:val="0050712B"/>
    <w:rsid w:val="00507CE6"/>
    <w:rsid w:val="005109FC"/>
    <w:rsid w:val="005111B4"/>
    <w:rsid w:val="005148BB"/>
    <w:rsid w:val="00514B76"/>
    <w:rsid w:val="00515833"/>
    <w:rsid w:val="00516EA9"/>
    <w:rsid w:val="00520775"/>
    <w:rsid w:val="00520A80"/>
    <w:rsid w:val="00520C4C"/>
    <w:rsid w:val="00522306"/>
    <w:rsid w:val="005231BC"/>
    <w:rsid w:val="00523C2E"/>
    <w:rsid w:val="00524911"/>
    <w:rsid w:val="0052577E"/>
    <w:rsid w:val="00526FDF"/>
    <w:rsid w:val="00527192"/>
    <w:rsid w:val="00527B9F"/>
    <w:rsid w:val="00531891"/>
    <w:rsid w:val="00531B24"/>
    <w:rsid w:val="005325D9"/>
    <w:rsid w:val="005326A9"/>
    <w:rsid w:val="00532944"/>
    <w:rsid w:val="00532B71"/>
    <w:rsid w:val="0053361D"/>
    <w:rsid w:val="00533AD4"/>
    <w:rsid w:val="005345F9"/>
    <w:rsid w:val="0053497A"/>
    <w:rsid w:val="00534AB2"/>
    <w:rsid w:val="005352B2"/>
    <w:rsid w:val="005356EE"/>
    <w:rsid w:val="00535CBC"/>
    <w:rsid w:val="005372F2"/>
    <w:rsid w:val="005400F6"/>
    <w:rsid w:val="00540612"/>
    <w:rsid w:val="00541BD8"/>
    <w:rsid w:val="005420A1"/>
    <w:rsid w:val="00543090"/>
    <w:rsid w:val="00543491"/>
    <w:rsid w:val="0054390D"/>
    <w:rsid w:val="00543C07"/>
    <w:rsid w:val="00543F0D"/>
    <w:rsid w:val="005442EB"/>
    <w:rsid w:val="00545263"/>
    <w:rsid w:val="00545A2F"/>
    <w:rsid w:val="00546A83"/>
    <w:rsid w:val="00547427"/>
    <w:rsid w:val="00547ACB"/>
    <w:rsid w:val="0055219D"/>
    <w:rsid w:val="00552C76"/>
    <w:rsid w:val="00552D91"/>
    <w:rsid w:val="00556101"/>
    <w:rsid w:val="005563F4"/>
    <w:rsid w:val="0055686E"/>
    <w:rsid w:val="00556EBA"/>
    <w:rsid w:val="0055738D"/>
    <w:rsid w:val="0055765F"/>
    <w:rsid w:val="00560D89"/>
    <w:rsid w:val="005613BE"/>
    <w:rsid w:val="005619F4"/>
    <w:rsid w:val="00562706"/>
    <w:rsid w:val="005636DA"/>
    <w:rsid w:val="00563E76"/>
    <w:rsid w:val="0056498A"/>
    <w:rsid w:val="005657F5"/>
    <w:rsid w:val="00570979"/>
    <w:rsid w:val="005711E2"/>
    <w:rsid w:val="0057134A"/>
    <w:rsid w:val="0057176B"/>
    <w:rsid w:val="0057211A"/>
    <w:rsid w:val="00573A01"/>
    <w:rsid w:val="005752FB"/>
    <w:rsid w:val="00575671"/>
    <w:rsid w:val="0057655D"/>
    <w:rsid w:val="00577536"/>
    <w:rsid w:val="00577CC5"/>
    <w:rsid w:val="0058012C"/>
    <w:rsid w:val="0058068B"/>
    <w:rsid w:val="00581610"/>
    <w:rsid w:val="00583603"/>
    <w:rsid w:val="00583C26"/>
    <w:rsid w:val="005842B3"/>
    <w:rsid w:val="00584BEE"/>
    <w:rsid w:val="00585EFB"/>
    <w:rsid w:val="005861FC"/>
    <w:rsid w:val="005901C8"/>
    <w:rsid w:val="005930A0"/>
    <w:rsid w:val="00594635"/>
    <w:rsid w:val="005A0588"/>
    <w:rsid w:val="005A2273"/>
    <w:rsid w:val="005A449A"/>
    <w:rsid w:val="005A54FD"/>
    <w:rsid w:val="005A5FF7"/>
    <w:rsid w:val="005A625A"/>
    <w:rsid w:val="005A78EA"/>
    <w:rsid w:val="005B0097"/>
    <w:rsid w:val="005B112D"/>
    <w:rsid w:val="005B18BA"/>
    <w:rsid w:val="005B1B4C"/>
    <w:rsid w:val="005B2106"/>
    <w:rsid w:val="005B3C0B"/>
    <w:rsid w:val="005B4095"/>
    <w:rsid w:val="005B55B2"/>
    <w:rsid w:val="005B744C"/>
    <w:rsid w:val="005B74EA"/>
    <w:rsid w:val="005C0D69"/>
    <w:rsid w:val="005C1620"/>
    <w:rsid w:val="005C224D"/>
    <w:rsid w:val="005C3599"/>
    <w:rsid w:val="005C4E9E"/>
    <w:rsid w:val="005C6066"/>
    <w:rsid w:val="005D05E5"/>
    <w:rsid w:val="005D363F"/>
    <w:rsid w:val="005D46D6"/>
    <w:rsid w:val="005D47D1"/>
    <w:rsid w:val="005E0121"/>
    <w:rsid w:val="005E09B5"/>
    <w:rsid w:val="005E0C0B"/>
    <w:rsid w:val="005E0F3B"/>
    <w:rsid w:val="005E3199"/>
    <w:rsid w:val="005E38C9"/>
    <w:rsid w:val="005E4B47"/>
    <w:rsid w:val="005E54C9"/>
    <w:rsid w:val="005E5F43"/>
    <w:rsid w:val="005F1A04"/>
    <w:rsid w:val="005F1E81"/>
    <w:rsid w:val="005F3210"/>
    <w:rsid w:val="005F5B5A"/>
    <w:rsid w:val="005F716D"/>
    <w:rsid w:val="005F7732"/>
    <w:rsid w:val="00600818"/>
    <w:rsid w:val="00600AE7"/>
    <w:rsid w:val="006030CF"/>
    <w:rsid w:val="00603680"/>
    <w:rsid w:val="0060369C"/>
    <w:rsid w:val="00604224"/>
    <w:rsid w:val="00604988"/>
    <w:rsid w:val="00604EA6"/>
    <w:rsid w:val="0060587E"/>
    <w:rsid w:val="006067A6"/>
    <w:rsid w:val="006069AD"/>
    <w:rsid w:val="00606D5C"/>
    <w:rsid w:val="0061085F"/>
    <w:rsid w:val="00610D71"/>
    <w:rsid w:val="00612D51"/>
    <w:rsid w:val="00613D9D"/>
    <w:rsid w:val="00613F05"/>
    <w:rsid w:val="00614145"/>
    <w:rsid w:val="0061495D"/>
    <w:rsid w:val="00614E3A"/>
    <w:rsid w:val="00615190"/>
    <w:rsid w:val="006175D4"/>
    <w:rsid w:val="00617BC3"/>
    <w:rsid w:val="00620895"/>
    <w:rsid w:val="00620F52"/>
    <w:rsid w:val="0062183B"/>
    <w:rsid w:val="0062286F"/>
    <w:rsid w:val="00623473"/>
    <w:rsid w:val="00623A1C"/>
    <w:rsid w:val="006243DB"/>
    <w:rsid w:val="006247DF"/>
    <w:rsid w:val="0062546A"/>
    <w:rsid w:val="006259CB"/>
    <w:rsid w:val="0062755C"/>
    <w:rsid w:val="00627EC1"/>
    <w:rsid w:val="006303AA"/>
    <w:rsid w:val="00631DDD"/>
    <w:rsid w:val="00632246"/>
    <w:rsid w:val="00632CE4"/>
    <w:rsid w:val="00633329"/>
    <w:rsid w:val="006349D6"/>
    <w:rsid w:val="00635B36"/>
    <w:rsid w:val="00636E52"/>
    <w:rsid w:val="006405E3"/>
    <w:rsid w:val="006407B1"/>
    <w:rsid w:val="00640947"/>
    <w:rsid w:val="006409E2"/>
    <w:rsid w:val="00640D0C"/>
    <w:rsid w:val="00641EAB"/>
    <w:rsid w:val="0064212D"/>
    <w:rsid w:val="00643FEB"/>
    <w:rsid w:val="0064459C"/>
    <w:rsid w:val="0064511D"/>
    <w:rsid w:val="0064560A"/>
    <w:rsid w:val="00645D4A"/>
    <w:rsid w:val="00650CEC"/>
    <w:rsid w:val="00650DFA"/>
    <w:rsid w:val="006532A4"/>
    <w:rsid w:val="006534AB"/>
    <w:rsid w:val="006538CE"/>
    <w:rsid w:val="00654967"/>
    <w:rsid w:val="00654D56"/>
    <w:rsid w:val="00654D90"/>
    <w:rsid w:val="00654DC2"/>
    <w:rsid w:val="00655A09"/>
    <w:rsid w:val="00655E54"/>
    <w:rsid w:val="00656011"/>
    <w:rsid w:val="006567F9"/>
    <w:rsid w:val="00661BDC"/>
    <w:rsid w:val="00662EF5"/>
    <w:rsid w:val="006640F8"/>
    <w:rsid w:val="00664CC9"/>
    <w:rsid w:val="00665E1B"/>
    <w:rsid w:val="00666426"/>
    <w:rsid w:val="0066773B"/>
    <w:rsid w:val="00667DE6"/>
    <w:rsid w:val="00671737"/>
    <w:rsid w:val="0067220F"/>
    <w:rsid w:val="006728A9"/>
    <w:rsid w:val="00672C67"/>
    <w:rsid w:val="00672F73"/>
    <w:rsid w:val="0067313F"/>
    <w:rsid w:val="00673CA2"/>
    <w:rsid w:val="00673CC1"/>
    <w:rsid w:val="00674697"/>
    <w:rsid w:val="0067601B"/>
    <w:rsid w:val="00680459"/>
    <w:rsid w:val="00681725"/>
    <w:rsid w:val="00681D44"/>
    <w:rsid w:val="006834C5"/>
    <w:rsid w:val="00683E0B"/>
    <w:rsid w:val="00684785"/>
    <w:rsid w:val="0068488B"/>
    <w:rsid w:val="0068694C"/>
    <w:rsid w:val="00686B04"/>
    <w:rsid w:val="00686BC6"/>
    <w:rsid w:val="006902A0"/>
    <w:rsid w:val="006946E6"/>
    <w:rsid w:val="0069493B"/>
    <w:rsid w:val="0069515A"/>
    <w:rsid w:val="006954BD"/>
    <w:rsid w:val="00697CDB"/>
    <w:rsid w:val="006A4708"/>
    <w:rsid w:val="006A5974"/>
    <w:rsid w:val="006A6C3E"/>
    <w:rsid w:val="006A6CEB"/>
    <w:rsid w:val="006A7569"/>
    <w:rsid w:val="006B0023"/>
    <w:rsid w:val="006B02A3"/>
    <w:rsid w:val="006B02C2"/>
    <w:rsid w:val="006B08A9"/>
    <w:rsid w:val="006B138D"/>
    <w:rsid w:val="006B1A1F"/>
    <w:rsid w:val="006B2BD3"/>
    <w:rsid w:val="006B3D12"/>
    <w:rsid w:val="006B45DD"/>
    <w:rsid w:val="006B4F35"/>
    <w:rsid w:val="006B5604"/>
    <w:rsid w:val="006B5F02"/>
    <w:rsid w:val="006B70D9"/>
    <w:rsid w:val="006C04BA"/>
    <w:rsid w:val="006C1E27"/>
    <w:rsid w:val="006C5562"/>
    <w:rsid w:val="006D0098"/>
    <w:rsid w:val="006D0443"/>
    <w:rsid w:val="006D070C"/>
    <w:rsid w:val="006D13B6"/>
    <w:rsid w:val="006D1CA6"/>
    <w:rsid w:val="006D28D9"/>
    <w:rsid w:val="006D4045"/>
    <w:rsid w:val="006D41E7"/>
    <w:rsid w:val="006D4F78"/>
    <w:rsid w:val="006D547A"/>
    <w:rsid w:val="006D7060"/>
    <w:rsid w:val="006D70D3"/>
    <w:rsid w:val="006E018E"/>
    <w:rsid w:val="006E06C5"/>
    <w:rsid w:val="006E09EA"/>
    <w:rsid w:val="006E0FD4"/>
    <w:rsid w:val="006E1551"/>
    <w:rsid w:val="006E21E3"/>
    <w:rsid w:val="006E43A7"/>
    <w:rsid w:val="006E4D27"/>
    <w:rsid w:val="006E6B17"/>
    <w:rsid w:val="006E74AF"/>
    <w:rsid w:val="006E7CDD"/>
    <w:rsid w:val="006F1306"/>
    <w:rsid w:val="006F1D09"/>
    <w:rsid w:val="006F2340"/>
    <w:rsid w:val="006F4C4E"/>
    <w:rsid w:val="006F55AE"/>
    <w:rsid w:val="006F5BA1"/>
    <w:rsid w:val="006F7748"/>
    <w:rsid w:val="006F7D01"/>
    <w:rsid w:val="0070167B"/>
    <w:rsid w:val="00702758"/>
    <w:rsid w:val="00706F23"/>
    <w:rsid w:val="007074EF"/>
    <w:rsid w:val="00707758"/>
    <w:rsid w:val="00711FDE"/>
    <w:rsid w:val="0071216D"/>
    <w:rsid w:val="00712EE4"/>
    <w:rsid w:val="00713DDC"/>
    <w:rsid w:val="007152C5"/>
    <w:rsid w:val="007158E0"/>
    <w:rsid w:val="00716F3D"/>
    <w:rsid w:val="0071783D"/>
    <w:rsid w:val="007201D9"/>
    <w:rsid w:val="00720C95"/>
    <w:rsid w:val="007210EA"/>
    <w:rsid w:val="007222FB"/>
    <w:rsid w:val="00722AF8"/>
    <w:rsid w:val="007248E5"/>
    <w:rsid w:val="00724B72"/>
    <w:rsid w:val="0072534B"/>
    <w:rsid w:val="00727E82"/>
    <w:rsid w:val="0073016C"/>
    <w:rsid w:val="00730333"/>
    <w:rsid w:val="00730FC9"/>
    <w:rsid w:val="0073415D"/>
    <w:rsid w:val="00734298"/>
    <w:rsid w:val="00734EE7"/>
    <w:rsid w:val="0073534F"/>
    <w:rsid w:val="00735EDC"/>
    <w:rsid w:val="00740244"/>
    <w:rsid w:val="00742EDA"/>
    <w:rsid w:val="00746A17"/>
    <w:rsid w:val="00747B46"/>
    <w:rsid w:val="00747BB3"/>
    <w:rsid w:val="00747F13"/>
    <w:rsid w:val="007500FE"/>
    <w:rsid w:val="0075030C"/>
    <w:rsid w:val="00750F69"/>
    <w:rsid w:val="00751918"/>
    <w:rsid w:val="007523D0"/>
    <w:rsid w:val="00753E01"/>
    <w:rsid w:val="007543AB"/>
    <w:rsid w:val="00757248"/>
    <w:rsid w:val="00757B9A"/>
    <w:rsid w:val="00757EA2"/>
    <w:rsid w:val="00760CAD"/>
    <w:rsid w:val="00762E1D"/>
    <w:rsid w:val="007630FC"/>
    <w:rsid w:val="00763551"/>
    <w:rsid w:val="007646F7"/>
    <w:rsid w:val="0076606B"/>
    <w:rsid w:val="00766EB7"/>
    <w:rsid w:val="00767682"/>
    <w:rsid w:val="0076769A"/>
    <w:rsid w:val="00767ED7"/>
    <w:rsid w:val="0077113E"/>
    <w:rsid w:val="00772BF6"/>
    <w:rsid w:val="007743E2"/>
    <w:rsid w:val="00774997"/>
    <w:rsid w:val="00775C22"/>
    <w:rsid w:val="00776BEF"/>
    <w:rsid w:val="00776E74"/>
    <w:rsid w:val="00780C51"/>
    <w:rsid w:val="0078102B"/>
    <w:rsid w:val="007927B1"/>
    <w:rsid w:val="00793396"/>
    <w:rsid w:val="00794E0B"/>
    <w:rsid w:val="007965E8"/>
    <w:rsid w:val="00797532"/>
    <w:rsid w:val="007A1948"/>
    <w:rsid w:val="007A343C"/>
    <w:rsid w:val="007A4CFA"/>
    <w:rsid w:val="007A4D9F"/>
    <w:rsid w:val="007A51C9"/>
    <w:rsid w:val="007A69A8"/>
    <w:rsid w:val="007A6DEF"/>
    <w:rsid w:val="007A6E31"/>
    <w:rsid w:val="007A71B1"/>
    <w:rsid w:val="007B06A8"/>
    <w:rsid w:val="007B273D"/>
    <w:rsid w:val="007B279E"/>
    <w:rsid w:val="007B31E6"/>
    <w:rsid w:val="007B33E7"/>
    <w:rsid w:val="007B3AB3"/>
    <w:rsid w:val="007B3D95"/>
    <w:rsid w:val="007B4674"/>
    <w:rsid w:val="007B4796"/>
    <w:rsid w:val="007B4C7D"/>
    <w:rsid w:val="007B71D3"/>
    <w:rsid w:val="007B748A"/>
    <w:rsid w:val="007B7852"/>
    <w:rsid w:val="007C1078"/>
    <w:rsid w:val="007C3F4D"/>
    <w:rsid w:val="007C5297"/>
    <w:rsid w:val="007C5EFD"/>
    <w:rsid w:val="007C6F4D"/>
    <w:rsid w:val="007C7E87"/>
    <w:rsid w:val="007D055C"/>
    <w:rsid w:val="007D0AD6"/>
    <w:rsid w:val="007D0C27"/>
    <w:rsid w:val="007D0EFC"/>
    <w:rsid w:val="007D1D4C"/>
    <w:rsid w:val="007D25E3"/>
    <w:rsid w:val="007D275F"/>
    <w:rsid w:val="007D2C1A"/>
    <w:rsid w:val="007D4916"/>
    <w:rsid w:val="007D5652"/>
    <w:rsid w:val="007D58C5"/>
    <w:rsid w:val="007D6957"/>
    <w:rsid w:val="007D69B9"/>
    <w:rsid w:val="007D6A80"/>
    <w:rsid w:val="007E0063"/>
    <w:rsid w:val="007E051A"/>
    <w:rsid w:val="007E130E"/>
    <w:rsid w:val="007E13B8"/>
    <w:rsid w:val="007E15AD"/>
    <w:rsid w:val="007E323D"/>
    <w:rsid w:val="007E3FB8"/>
    <w:rsid w:val="007E4D77"/>
    <w:rsid w:val="007E4FAA"/>
    <w:rsid w:val="007E5342"/>
    <w:rsid w:val="007E667A"/>
    <w:rsid w:val="007E6F57"/>
    <w:rsid w:val="007E713E"/>
    <w:rsid w:val="007E756A"/>
    <w:rsid w:val="007F0F01"/>
    <w:rsid w:val="007F2EDC"/>
    <w:rsid w:val="007F376A"/>
    <w:rsid w:val="007F38A5"/>
    <w:rsid w:val="007F4624"/>
    <w:rsid w:val="007F4791"/>
    <w:rsid w:val="007F59BC"/>
    <w:rsid w:val="007F5E08"/>
    <w:rsid w:val="007F7B0F"/>
    <w:rsid w:val="0080039C"/>
    <w:rsid w:val="00801451"/>
    <w:rsid w:val="00801C80"/>
    <w:rsid w:val="008020F4"/>
    <w:rsid w:val="00802DDF"/>
    <w:rsid w:val="008034DC"/>
    <w:rsid w:val="00803D49"/>
    <w:rsid w:val="00803ED0"/>
    <w:rsid w:val="00804923"/>
    <w:rsid w:val="00804924"/>
    <w:rsid w:val="00804DF2"/>
    <w:rsid w:val="008050F5"/>
    <w:rsid w:val="00805335"/>
    <w:rsid w:val="00807540"/>
    <w:rsid w:val="00810E65"/>
    <w:rsid w:val="00814855"/>
    <w:rsid w:val="008150A3"/>
    <w:rsid w:val="00815D0B"/>
    <w:rsid w:val="00815D77"/>
    <w:rsid w:val="0081687D"/>
    <w:rsid w:val="0081759F"/>
    <w:rsid w:val="008179FE"/>
    <w:rsid w:val="00822ACB"/>
    <w:rsid w:val="008236C0"/>
    <w:rsid w:val="00823ECC"/>
    <w:rsid w:val="00826879"/>
    <w:rsid w:val="00826FAA"/>
    <w:rsid w:val="00827B76"/>
    <w:rsid w:val="0083072D"/>
    <w:rsid w:val="00830BB1"/>
    <w:rsid w:val="0083177F"/>
    <w:rsid w:val="00831869"/>
    <w:rsid w:val="0083198A"/>
    <w:rsid w:val="0083249D"/>
    <w:rsid w:val="0083268C"/>
    <w:rsid w:val="0083335C"/>
    <w:rsid w:val="008352E6"/>
    <w:rsid w:val="00835587"/>
    <w:rsid w:val="00836338"/>
    <w:rsid w:val="008400C6"/>
    <w:rsid w:val="00840ADC"/>
    <w:rsid w:val="00840EA7"/>
    <w:rsid w:val="00841B2A"/>
    <w:rsid w:val="00841E19"/>
    <w:rsid w:val="00841F55"/>
    <w:rsid w:val="00842045"/>
    <w:rsid w:val="008427BE"/>
    <w:rsid w:val="00843678"/>
    <w:rsid w:val="00844647"/>
    <w:rsid w:val="00845C8B"/>
    <w:rsid w:val="00846C2D"/>
    <w:rsid w:val="0085350A"/>
    <w:rsid w:val="008546CB"/>
    <w:rsid w:val="00854EC4"/>
    <w:rsid w:val="00855123"/>
    <w:rsid w:val="008558EF"/>
    <w:rsid w:val="008567AE"/>
    <w:rsid w:val="00856E6C"/>
    <w:rsid w:val="008608F9"/>
    <w:rsid w:val="00861676"/>
    <w:rsid w:val="0086248C"/>
    <w:rsid w:val="00862C2B"/>
    <w:rsid w:val="00863034"/>
    <w:rsid w:val="008636EB"/>
    <w:rsid w:val="00864C21"/>
    <w:rsid w:val="00864C70"/>
    <w:rsid w:val="00864E46"/>
    <w:rsid w:val="00866F28"/>
    <w:rsid w:val="0086718A"/>
    <w:rsid w:val="0086792D"/>
    <w:rsid w:val="00867E7D"/>
    <w:rsid w:val="008719F0"/>
    <w:rsid w:val="00872706"/>
    <w:rsid w:val="0087330A"/>
    <w:rsid w:val="00874277"/>
    <w:rsid w:val="0087518B"/>
    <w:rsid w:val="00876700"/>
    <w:rsid w:val="00876DC2"/>
    <w:rsid w:val="0088016C"/>
    <w:rsid w:val="00881984"/>
    <w:rsid w:val="00882D6F"/>
    <w:rsid w:val="008832B6"/>
    <w:rsid w:val="008832E8"/>
    <w:rsid w:val="008839C4"/>
    <w:rsid w:val="008847FC"/>
    <w:rsid w:val="00887514"/>
    <w:rsid w:val="00890B5E"/>
    <w:rsid w:val="008916A2"/>
    <w:rsid w:val="00892F71"/>
    <w:rsid w:val="00893D09"/>
    <w:rsid w:val="008947DE"/>
    <w:rsid w:val="00895EF7"/>
    <w:rsid w:val="008961BE"/>
    <w:rsid w:val="008A10FD"/>
    <w:rsid w:val="008A1F97"/>
    <w:rsid w:val="008A3408"/>
    <w:rsid w:val="008A4515"/>
    <w:rsid w:val="008A46A1"/>
    <w:rsid w:val="008A47A3"/>
    <w:rsid w:val="008A5A2C"/>
    <w:rsid w:val="008A5C06"/>
    <w:rsid w:val="008A68D5"/>
    <w:rsid w:val="008B037E"/>
    <w:rsid w:val="008B0567"/>
    <w:rsid w:val="008B0699"/>
    <w:rsid w:val="008B0999"/>
    <w:rsid w:val="008B24A8"/>
    <w:rsid w:val="008B261A"/>
    <w:rsid w:val="008B2F53"/>
    <w:rsid w:val="008B3E08"/>
    <w:rsid w:val="008B49B0"/>
    <w:rsid w:val="008B6DAB"/>
    <w:rsid w:val="008C123C"/>
    <w:rsid w:val="008C164E"/>
    <w:rsid w:val="008C1982"/>
    <w:rsid w:val="008C2225"/>
    <w:rsid w:val="008C27F5"/>
    <w:rsid w:val="008C3907"/>
    <w:rsid w:val="008C3922"/>
    <w:rsid w:val="008C5071"/>
    <w:rsid w:val="008C66CF"/>
    <w:rsid w:val="008C67FB"/>
    <w:rsid w:val="008C7563"/>
    <w:rsid w:val="008D0EF7"/>
    <w:rsid w:val="008D10CF"/>
    <w:rsid w:val="008D11A1"/>
    <w:rsid w:val="008D24C7"/>
    <w:rsid w:val="008D37A5"/>
    <w:rsid w:val="008D3B2A"/>
    <w:rsid w:val="008D3E7C"/>
    <w:rsid w:val="008D4AE4"/>
    <w:rsid w:val="008D5237"/>
    <w:rsid w:val="008D5716"/>
    <w:rsid w:val="008D63F7"/>
    <w:rsid w:val="008D7674"/>
    <w:rsid w:val="008E0AA1"/>
    <w:rsid w:val="008E11C6"/>
    <w:rsid w:val="008E1CDB"/>
    <w:rsid w:val="008E2392"/>
    <w:rsid w:val="008E2A44"/>
    <w:rsid w:val="008E4D4C"/>
    <w:rsid w:val="008E53F7"/>
    <w:rsid w:val="008E5759"/>
    <w:rsid w:val="008E6ADD"/>
    <w:rsid w:val="008E7CA0"/>
    <w:rsid w:val="008F0699"/>
    <w:rsid w:val="008F1CE7"/>
    <w:rsid w:val="008F347E"/>
    <w:rsid w:val="008F36BB"/>
    <w:rsid w:val="008F5E66"/>
    <w:rsid w:val="008F63DD"/>
    <w:rsid w:val="008F67D8"/>
    <w:rsid w:val="008F70B1"/>
    <w:rsid w:val="008F7FDD"/>
    <w:rsid w:val="008F7FE9"/>
    <w:rsid w:val="00900576"/>
    <w:rsid w:val="009024B1"/>
    <w:rsid w:val="00902680"/>
    <w:rsid w:val="00904F1B"/>
    <w:rsid w:val="00905C64"/>
    <w:rsid w:val="00906AB4"/>
    <w:rsid w:val="00907707"/>
    <w:rsid w:val="00907F30"/>
    <w:rsid w:val="00910523"/>
    <w:rsid w:val="00910675"/>
    <w:rsid w:val="00910927"/>
    <w:rsid w:val="00910982"/>
    <w:rsid w:val="0091125D"/>
    <w:rsid w:val="00914C87"/>
    <w:rsid w:val="00914DB8"/>
    <w:rsid w:val="009157A6"/>
    <w:rsid w:val="0091646F"/>
    <w:rsid w:val="0091651E"/>
    <w:rsid w:val="009167CB"/>
    <w:rsid w:val="00916B6D"/>
    <w:rsid w:val="00917F00"/>
    <w:rsid w:val="009215EA"/>
    <w:rsid w:val="009231A8"/>
    <w:rsid w:val="0092487B"/>
    <w:rsid w:val="00924F7B"/>
    <w:rsid w:val="00925587"/>
    <w:rsid w:val="009256E7"/>
    <w:rsid w:val="009257C4"/>
    <w:rsid w:val="009258AF"/>
    <w:rsid w:val="00925E57"/>
    <w:rsid w:val="00926A35"/>
    <w:rsid w:val="009271F1"/>
    <w:rsid w:val="00927250"/>
    <w:rsid w:val="0092730F"/>
    <w:rsid w:val="00932F24"/>
    <w:rsid w:val="009335B4"/>
    <w:rsid w:val="00933AA0"/>
    <w:rsid w:val="00933EEC"/>
    <w:rsid w:val="009342AA"/>
    <w:rsid w:val="00934BCD"/>
    <w:rsid w:val="00934C71"/>
    <w:rsid w:val="009361E3"/>
    <w:rsid w:val="009366C9"/>
    <w:rsid w:val="00936A99"/>
    <w:rsid w:val="009371CA"/>
    <w:rsid w:val="00937C13"/>
    <w:rsid w:val="009411E2"/>
    <w:rsid w:val="00942033"/>
    <w:rsid w:val="0094569A"/>
    <w:rsid w:val="009468E3"/>
    <w:rsid w:val="00946DF9"/>
    <w:rsid w:val="00950F84"/>
    <w:rsid w:val="00951550"/>
    <w:rsid w:val="00952187"/>
    <w:rsid w:val="00953CE2"/>
    <w:rsid w:val="009547B7"/>
    <w:rsid w:val="00954971"/>
    <w:rsid w:val="00954AC7"/>
    <w:rsid w:val="00956293"/>
    <w:rsid w:val="00957698"/>
    <w:rsid w:val="009608E7"/>
    <w:rsid w:val="009628A0"/>
    <w:rsid w:val="00962F4F"/>
    <w:rsid w:val="00963A35"/>
    <w:rsid w:val="00963B4F"/>
    <w:rsid w:val="00963C1F"/>
    <w:rsid w:val="0096559F"/>
    <w:rsid w:val="00967AAB"/>
    <w:rsid w:val="00971898"/>
    <w:rsid w:val="009748EE"/>
    <w:rsid w:val="00975A7E"/>
    <w:rsid w:val="009766B0"/>
    <w:rsid w:val="0097792E"/>
    <w:rsid w:val="00977936"/>
    <w:rsid w:val="009803C3"/>
    <w:rsid w:val="00980716"/>
    <w:rsid w:val="00980B6F"/>
    <w:rsid w:val="0098289D"/>
    <w:rsid w:val="00982B1F"/>
    <w:rsid w:val="009838FD"/>
    <w:rsid w:val="00983E8F"/>
    <w:rsid w:val="0098564E"/>
    <w:rsid w:val="00987338"/>
    <w:rsid w:val="00987EF4"/>
    <w:rsid w:val="00990254"/>
    <w:rsid w:val="00991507"/>
    <w:rsid w:val="00991D42"/>
    <w:rsid w:val="00992AD6"/>
    <w:rsid w:val="009938AC"/>
    <w:rsid w:val="00994026"/>
    <w:rsid w:val="00994A91"/>
    <w:rsid w:val="00994F61"/>
    <w:rsid w:val="00995491"/>
    <w:rsid w:val="00995C84"/>
    <w:rsid w:val="00997EFE"/>
    <w:rsid w:val="009A1958"/>
    <w:rsid w:val="009A2F90"/>
    <w:rsid w:val="009A5771"/>
    <w:rsid w:val="009A6C9C"/>
    <w:rsid w:val="009A6D10"/>
    <w:rsid w:val="009A6D6A"/>
    <w:rsid w:val="009A7865"/>
    <w:rsid w:val="009B1824"/>
    <w:rsid w:val="009B1CD9"/>
    <w:rsid w:val="009B3893"/>
    <w:rsid w:val="009B4F76"/>
    <w:rsid w:val="009B5410"/>
    <w:rsid w:val="009B5BF6"/>
    <w:rsid w:val="009B6C57"/>
    <w:rsid w:val="009B6DA8"/>
    <w:rsid w:val="009B6DB0"/>
    <w:rsid w:val="009C16BA"/>
    <w:rsid w:val="009C1C84"/>
    <w:rsid w:val="009C2A22"/>
    <w:rsid w:val="009C31FD"/>
    <w:rsid w:val="009C3EEB"/>
    <w:rsid w:val="009C3EF8"/>
    <w:rsid w:val="009C416C"/>
    <w:rsid w:val="009C4B4F"/>
    <w:rsid w:val="009C5FBE"/>
    <w:rsid w:val="009D074D"/>
    <w:rsid w:val="009D26C8"/>
    <w:rsid w:val="009D2F11"/>
    <w:rsid w:val="009D4A25"/>
    <w:rsid w:val="009D4BEE"/>
    <w:rsid w:val="009D6713"/>
    <w:rsid w:val="009D6A98"/>
    <w:rsid w:val="009D759A"/>
    <w:rsid w:val="009D7D97"/>
    <w:rsid w:val="009E1BB9"/>
    <w:rsid w:val="009E335F"/>
    <w:rsid w:val="009E3569"/>
    <w:rsid w:val="009E356B"/>
    <w:rsid w:val="009E37D2"/>
    <w:rsid w:val="009E3A98"/>
    <w:rsid w:val="009E48E1"/>
    <w:rsid w:val="009E5E3C"/>
    <w:rsid w:val="009E6BC5"/>
    <w:rsid w:val="009E7111"/>
    <w:rsid w:val="009E7798"/>
    <w:rsid w:val="009F13E0"/>
    <w:rsid w:val="009F15C5"/>
    <w:rsid w:val="009F1F77"/>
    <w:rsid w:val="009F6343"/>
    <w:rsid w:val="009F70EB"/>
    <w:rsid w:val="00A00473"/>
    <w:rsid w:val="00A028CB"/>
    <w:rsid w:val="00A02B6E"/>
    <w:rsid w:val="00A04026"/>
    <w:rsid w:val="00A04B9C"/>
    <w:rsid w:val="00A057B3"/>
    <w:rsid w:val="00A0748A"/>
    <w:rsid w:val="00A07CD0"/>
    <w:rsid w:val="00A11D54"/>
    <w:rsid w:val="00A127E6"/>
    <w:rsid w:val="00A13547"/>
    <w:rsid w:val="00A141C0"/>
    <w:rsid w:val="00A145E4"/>
    <w:rsid w:val="00A15B5D"/>
    <w:rsid w:val="00A15B98"/>
    <w:rsid w:val="00A16D21"/>
    <w:rsid w:val="00A2138C"/>
    <w:rsid w:val="00A21B2E"/>
    <w:rsid w:val="00A225CC"/>
    <w:rsid w:val="00A2404D"/>
    <w:rsid w:val="00A240A5"/>
    <w:rsid w:val="00A24780"/>
    <w:rsid w:val="00A2486E"/>
    <w:rsid w:val="00A2490B"/>
    <w:rsid w:val="00A24E5C"/>
    <w:rsid w:val="00A30856"/>
    <w:rsid w:val="00A31B6B"/>
    <w:rsid w:val="00A31C13"/>
    <w:rsid w:val="00A322AA"/>
    <w:rsid w:val="00A331B6"/>
    <w:rsid w:val="00A337C2"/>
    <w:rsid w:val="00A36732"/>
    <w:rsid w:val="00A369EB"/>
    <w:rsid w:val="00A36EA7"/>
    <w:rsid w:val="00A37263"/>
    <w:rsid w:val="00A41AFC"/>
    <w:rsid w:val="00A4217D"/>
    <w:rsid w:val="00A426FC"/>
    <w:rsid w:val="00A43AAE"/>
    <w:rsid w:val="00A43EA7"/>
    <w:rsid w:val="00A44656"/>
    <w:rsid w:val="00A44B31"/>
    <w:rsid w:val="00A466B3"/>
    <w:rsid w:val="00A478B1"/>
    <w:rsid w:val="00A50003"/>
    <w:rsid w:val="00A50FD2"/>
    <w:rsid w:val="00A5157C"/>
    <w:rsid w:val="00A51CB7"/>
    <w:rsid w:val="00A51D5E"/>
    <w:rsid w:val="00A52725"/>
    <w:rsid w:val="00A528BB"/>
    <w:rsid w:val="00A52D77"/>
    <w:rsid w:val="00A52FDE"/>
    <w:rsid w:val="00A55839"/>
    <w:rsid w:val="00A55888"/>
    <w:rsid w:val="00A55903"/>
    <w:rsid w:val="00A5708D"/>
    <w:rsid w:val="00A600BB"/>
    <w:rsid w:val="00A601AE"/>
    <w:rsid w:val="00A60669"/>
    <w:rsid w:val="00A60E19"/>
    <w:rsid w:val="00A614F0"/>
    <w:rsid w:val="00A623F7"/>
    <w:rsid w:val="00A62F6A"/>
    <w:rsid w:val="00A63F1F"/>
    <w:rsid w:val="00A65155"/>
    <w:rsid w:val="00A66131"/>
    <w:rsid w:val="00A67201"/>
    <w:rsid w:val="00A71E83"/>
    <w:rsid w:val="00A72C2B"/>
    <w:rsid w:val="00A734AE"/>
    <w:rsid w:val="00A73806"/>
    <w:rsid w:val="00A73B63"/>
    <w:rsid w:val="00A73F22"/>
    <w:rsid w:val="00A75489"/>
    <w:rsid w:val="00A7741D"/>
    <w:rsid w:val="00A7750F"/>
    <w:rsid w:val="00A800A8"/>
    <w:rsid w:val="00A8036E"/>
    <w:rsid w:val="00A80706"/>
    <w:rsid w:val="00A80DDA"/>
    <w:rsid w:val="00A80ED8"/>
    <w:rsid w:val="00A81DF9"/>
    <w:rsid w:val="00A82A99"/>
    <w:rsid w:val="00A84D27"/>
    <w:rsid w:val="00A86AB7"/>
    <w:rsid w:val="00A90015"/>
    <w:rsid w:val="00A91A96"/>
    <w:rsid w:val="00A92934"/>
    <w:rsid w:val="00A93D4A"/>
    <w:rsid w:val="00A93E82"/>
    <w:rsid w:val="00A9520F"/>
    <w:rsid w:val="00A969BC"/>
    <w:rsid w:val="00A96E87"/>
    <w:rsid w:val="00AA190A"/>
    <w:rsid w:val="00AA2027"/>
    <w:rsid w:val="00AA3598"/>
    <w:rsid w:val="00AA4003"/>
    <w:rsid w:val="00AA41AC"/>
    <w:rsid w:val="00AA5AD6"/>
    <w:rsid w:val="00AA6B21"/>
    <w:rsid w:val="00AA6E0C"/>
    <w:rsid w:val="00AA7537"/>
    <w:rsid w:val="00AA78C2"/>
    <w:rsid w:val="00AA7E16"/>
    <w:rsid w:val="00AB057F"/>
    <w:rsid w:val="00AB0ADE"/>
    <w:rsid w:val="00AB1DA0"/>
    <w:rsid w:val="00AB2B62"/>
    <w:rsid w:val="00AB332C"/>
    <w:rsid w:val="00AB3F82"/>
    <w:rsid w:val="00AB4403"/>
    <w:rsid w:val="00AB4A6D"/>
    <w:rsid w:val="00AB5503"/>
    <w:rsid w:val="00AB5706"/>
    <w:rsid w:val="00AB6DC6"/>
    <w:rsid w:val="00AB7DCD"/>
    <w:rsid w:val="00AC05A8"/>
    <w:rsid w:val="00AC0706"/>
    <w:rsid w:val="00AC0F6D"/>
    <w:rsid w:val="00AC0F8F"/>
    <w:rsid w:val="00AC113E"/>
    <w:rsid w:val="00AC1368"/>
    <w:rsid w:val="00AC2B78"/>
    <w:rsid w:val="00AC54C8"/>
    <w:rsid w:val="00AC5747"/>
    <w:rsid w:val="00AC57C1"/>
    <w:rsid w:val="00AC644F"/>
    <w:rsid w:val="00AC696F"/>
    <w:rsid w:val="00AC6F43"/>
    <w:rsid w:val="00AC7956"/>
    <w:rsid w:val="00AD0442"/>
    <w:rsid w:val="00AD05EF"/>
    <w:rsid w:val="00AD13EF"/>
    <w:rsid w:val="00AD1486"/>
    <w:rsid w:val="00AD1A9E"/>
    <w:rsid w:val="00AD1C90"/>
    <w:rsid w:val="00AD266D"/>
    <w:rsid w:val="00AD27BD"/>
    <w:rsid w:val="00AD3D03"/>
    <w:rsid w:val="00AD6D98"/>
    <w:rsid w:val="00AD797C"/>
    <w:rsid w:val="00AE1D38"/>
    <w:rsid w:val="00AE25D2"/>
    <w:rsid w:val="00AE28E1"/>
    <w:rsid w:val="00AE3337"/>
    <w:rsid w:val="00AE33E2"/>
    <w:rsid w:val="00AE3D24"/>
    <w:rsid w:val="00AE3DB2"/>
    <w:rsid w:val="00AE5152"/>
    <w:rsid w:val="00AE61A9"/>
    <w:rsid w:val="00AE6D57"/>
    <w:rsid w:val="00AF02E4"/>
    <w:rsid w:val="00AF1AA5"/>
    <w:rsid w:val="00AF253F"/>
    <w:rsid w:val="00AF3123"/>
    <w:rsid w:val="00AF4EA5"/>
    <w:rsid w:val="00AF4EFB"/>
    <w:rsid w:val="00AF732C"/>
    <w:rsid w:val="00B0030E"/>
    <w:rsid w:val="00B024EC"/>
    <w:rsid w:val="00B03077"/>
    <w:rsid w:val="00B03149"/>
    <w:rsid w:val="00B03388"/>
    <w:rsid w:val="00B03A8C"/>
    <w:rsid w:val="00B03CD3"/>
    <w:rsid w:val="00B0513B"/>
    <w:rsid w:val="00B05465"/>
    <w:rsid w:val="00B058EC"/>
    <w:rsid w:val="00B05FA1"/>
    <w:rsid w:val="00B10B08"/>
    <w:rsid w:val="00B11878"/>
    <w:rsid w:val="00B1192F"/>
    <w:rsid w:val="00B11F4D"/>
    <w:rsid w:val="00B12FDF"/>
    <w:rsid w:val="00B135FE"/>
    <w:rsid w:val="00B15192"/>
    <w:rsid w:val="00B16BBE"/>
    <w:rsid w:val="00B21C43"/>
    <w:rsid w:val="00B21D3E"/>
    <w:rsid w:val="00B23C79"/>
    <w:rsid w:val="00B242A5"/>
    <w:rsid w:val="00B24B5C"/>
    <w:rsid w:val="00B251E8"/>
    <w:rsid w:val="00B26C4D"/>
    <w:rsid w:val="00B27B63"/>
    <w:rsid w:val="00B31A4B"/>
    <w:rsid w:val="00B32C11"/>
    <w:rsid w:val="00B333D7"/>
    <w:rsid w:val="00B33581"/>
    <w:rsid w:val="00B35E40"/>
    <w:rsid w:val="00B37375"/>
    <w:rsid w:val="00B37708"/>
    <w:rsid w:val="00B40012"/>
    <w:rsid w:val="00B40883"/>
    <w:rsid w:val="00B41191"/>
    <w:rsid w:val="00B419ED"/>
    <w:rsid w:val="00B42B03"/>
    <w:rsid w:val="00B4392E"/>
    <w:rsid w:val="00B44C23"/>
    <w:rsid w:val="00B4507C"/>
    <w:rsid w:val="00B50D42"/>
    <w:rsid w:val="00B5291F"/>
    <w:rsid w:val="00B52997"/>
    <w:rsid w:val="00B52C70"/>
    <w:rsid w:val="00B5309F"/>
    <w:rsid w:val="00B531EC"/>
    <w:rsid w:val="00B532A8"/>
    <w:rsid w:val="00B53DC5"/>
    <w:rsid w:val="00B55BB9"/>
    <w:rsid w:val="00B5616A"/>
    <w:rsid w:val="00B607A3"/>
    <w:rsid w:val="00B60967"/>
    <w:rsid w:val="00B6203F"/>
    <w:rsid w:val="00B63448"/>
    <w:rsid w:val="00B63558"/>
    <w:rsid w:val="00B65370"/>
    <w:rsid w:val="00B66209"/>
    <w:rsid w:val="00B67B58"/>
    <w:rsid w:val="00B7112C"/>
    <w:rsid w:val="00B731C8"/>
    <w:rsid w:val="00B73490"/>
    <w:rsid w:val="00B75155"/>
    <w:rsid w:val="00B75B89"/>
    <w:rsid w:val="00B766D8"/>
    <w:rsid w:val="00B76802"/>
    <w:rsid w:val="00B76D36"/>
    <w:rsid w:val="00B77A3E"/>
    <w:rsid w:val="00B77BFE"/>
    <w:rsid w:val="00B81927"/>
    <w:rsid w:val="00B824F6"/>
    <w:rsid w:val="00B84235"/>
    <w:rsid w:val="00B84C4D"/>
    <w:rsid w:val="00B8507E"/>
    <w:rsid w:val="00B8606F"/>
    <w:rsid w:val="00B86AEE"/>
    <w:rsid w:val="00B877CD"/>
    <w:rsid w:val="00B87C58"/>
    <w:rsid w:val="00B923DF"/>
    <w:rsid w:val="00B92402"/>
    <w:rsid w:val="00B92530"/>
    <w:rsid w:val="00B92AFB"/>
    <w:rsid w:val="00B9301A"/>
    <w:rsid w:val="00B9337C"/>
    <w:rsid w:val="00B93412"/>
    <w:rsid w:val="00B94792"/>
    <w:rsid w:val="00B94BEF"/>
    <w:rsid w:val="00B95CCF"/>
    <w:rsid w:val="00B97C5E"/>
    <w:rsid w:val="00B97FE5"/>
    <w:rsid w:val="00BA1789"/>
    <w:rsid w:val="00BA29A9"/>
    <w:rsid w:val="00BA45A7"/>
    <w:rsid w:val="00BA5C66"/>
    <w:rsid w:val="00BA672E"/>
    <w:rsid w:val="00BB0225"/>
    <w:rsid w:val="00BB08AD"/>
    <w:rsid w:val="00BB17D8"/>
    <w:rsid w:val="00BB19FB"/>
    <w:rsid w:val="00BB1C95"/>
    <w:rsid w:val="00BB2202"/>
    <w:rsid w:val="00BB2D77"/>
    <w:rsid w:val="00BB320B"/>
    <w:rsid w:val="00BB439A"/>
    <w:rsid w:val="00BB4BA1"/>
    <w:rsid w:val="00BB6669"/>
    <w:rsid w:val="00BB6A68"/>
    <w:rsid w:val="00BC0827"/>
    <w:rsid w:val="00BC1132"/>
    <w:rsid w:val="00BC3498"/>
    <w:rsid w:val="00BC4FE9"/>
    <w:rsid w:val="00BC5837"/>
    <w:rsid w:val="00BC6F41"/>
    <w:rsid w:val="00BC7474"/>
    <w:rsid w:val="00BC78BF"/>
    <w:rsid w:val="00BC7B89"/>
    <w:rsid w:val="00BC7F15"/>
    <w:rsid w:val="00BD0C32"/>
    <w:rsid w:val="00BD17D8"/>
    <w:rsid w:val="00BD185F"/>
    <w:rsid w:val="00BD1E4B"/>
    <w:rsid w:val="00BD20B5"/>
    <w:rsid w:val="00BD2F65"/>
    <w:rsid w:val="00BD4AAD"/>
    <w:rsid w:val="00BD5A41"/>
    <w:rsid w:val="00BD5FF9"/>
    <w:rsid w:val="00BD7C7C"/>
    <w:rsid w:val="00BE11C1"/>
    <w:rsid w:val="00BE17D4"/>
    <w:rsid w:val="00BE25C7"/>
    <w:rsid w:val="00BE2601"/>
    <w:rsid w:val="00BE3662"/>
    <w:rsid w:val="00BE4CDE"/>
    <w:rsid w:val="00BE5085"/>
    <w:rsid w:val="00BE5BBD"/>
    <w:rsid w:val="00BE5D40"/>
    <w:rsid w:val="00BE6D8A"/>
    <w:rsid w:val="00BF10E2"/>
    <w:rsid w:val="00BF1A8E"/>
    <w:rsid w:val="00BF1D8C"/>
    <w:rsid w:val="00BF22A8"/>
    <w:rsid w:val="00BF4726"/>
    <w:rsid w:val="00BF5AE9"/>
    <w:rsid w:val="00BF5F8A"/>
    <w:rsid w:val="00BF768F"/>
    <w:rsid w:val="00C00EBF"/>
    <w:rsid w:val="00C02D65"/>
    <w:rsid w:val="00C03B76"/>
    <w:rsid w:val="00C03EEB"/>
    <w:rsid w:val="00C04326"/>
    <w:rsid w:val="00C04736"/>
    <w:rsid w:val="00C054A9"/>
    <w:rsid w:val="00C05730"/>
    <w:rsid w:val="00C05ED3"/>
    <w:rsid w:val="00C05F7E"/>
    <w:rsid w:val="00C06430"/>
    <w:rsid w:val="00C06895"/>
    <w:rsid w:val="00C0764B"/>
    <w:rsid w:val="00C07793"/>
    <w:rsid w:val="00C1222D"/>
    <w:rsid w:val="00C12380"/>
    <w:rsid w:val="00C12F9B"/>
    <w:rsid w:val="00C1302F"/>
    <w:rsid w:val="00C136AC"/>
    <w:rsid w:val="00C13EA5"/>
    <w:rsid w:val="00C142DD"/>
    <w:rsid w:val="00C14BE4"/>
    <w:rsid w:val="00C14D1D"/>
    <w:rsid w:val="00C14FE6"/>
    <w:rsid w:val="00C15FC4"/>
    <w:rsid w:val="00C1705C"/>
    <w:rsid w:val="00C1754A"/>
    <w:rsid w:val="00C20D46"/>
    <w:rsid w:val="00C228AF"/>
    <w:rsid w:val="00C23026"/>
    <w:rsid w:val="00C231A7"/>
    <w:rsid w:val="00C24522"/>
    <w:rsid w:val="00C248EA"/>
    <w:rsid w:val="00C24DB7"/>
    <w:rsid w:val="00C26827"/>
    <w:rsid w:val="00C2794D"/>
    <w:rsid w:val="00C27F3B"/>
    <w:rsid w:val="00C30B14"/>
    <w:rsid w:val="00C32D17"/>
    <w:rsid w:val="00C3353A"/>
    <w:rsid w:val="00C33D33"/>
    <w:rsid w:val="00C35075"/>
    <w:rsid w:val="00C355A9"/>
    <w:rsid w:val="00C37682"/>
    <w:rsid w:val="00C40041"/>
    <w:rsid w:val="00C4070C"/>
    <w:rsid w:val="00C4307B"/>
    <w:rsid w:val="00C4565E"/>
    <w:rsid w:val="00C46A90"/>
    <w:rsid w:val="00C46C17"/>
    <w:rsid w:val="00C47AB1"/>
    <w:rsid w:val="00C50201"/>
    <w:rsid w:val="00C52179"/>
    <w:rsid w:val="00C53658"/>
    <w:rsid w:val="00C540B6"/>
    <w:rsid w:val="00C540ED"/>
    <w:rsid w:val="00C54139"/>
    <w:rsid w:val="00C547B6"/>
    <w:rsid w:val="00C570AA"/>
    <w:rsid w:val="00C5781F"/>
    <w:rsid w:val="00C6144D"/>
    <w:rsid w:val="00C61757"/>
    <w:rsid w:val="00C623DF"/>
    <w:rsid w:val="00C64C18"/>
    <w:rsid w:val="00C64DBC"/>
    <w:rsid w:val="00C6553D"/>
    <w:rsid w:val="00C6670F"/>
    <w:rsid w:val="00C66E49"/>
    <w:rsid w:val="00C67F4A"/>
    <w:rsid w:val="00C71596"/>
    <w:rsid w:val="00C73308"/>
    <w:rsid w:val="00C73B03"/>
    <w:rsid w:val="00C754A2"/>
    <w:rsid w:val="00C75A34"/>
    <w:rsid w:val="00C75A5A"/>
    <w:rsid w:val="00C75D58"/>
    <w:rsid w:val="00C7614C"/>
    <w:rsid w:val="00C76E49"/>
    <w:rsid w:val="00C76F53"/>
    <w:rsid w:val="00C77033"/>
    <w:rsid w:val="00C77E48"/>
    <w:rsid w:val="00C800AA"/>
    <w:rsid w:val="00C80776"/>
    <w:rsid w:val="00C8187A"/>
    <w:rsid w:val="00C81E15"/>
    <w:rsid w:val="00C84BC1"/>
    <w:rsid w:val="00C85F58"/>
    <w:rsid w:val="00C8748A"/>
    <w:rsid w:val="00C912A0"/>
    <w:rsid w:val="00C91C48"/>
    <w:rsid w:val="00C92D1F"/>
    <w:rsid w:val="00C9333E"/>
    <w:rsid w:val="00C957E0"/>
    <w:rsid w:val="00C962BC"/>
    <w:rsid w:val="00C97E05"/>
    <w:rsid w:val="00CA01EC"/>
    <w:rsid w:val="00CA02E8"/>
    <w:rsid w:val="00CA181A"/>
    <w:rsid w:val="00CA208E"/>
    <w:rsid w:val="00CA2EFE"/>
    <w:rsid w:val="00CA481B"/>
    <w:rsid w:val="00CA6E39"/>
    <w:rsid w:val="00CA751D"/>
    <w:rsid w:val="00CA7AD4"/>
    <w:rsid w:val="00CA7D7D"/>
    <w:rsid w:val="00CB09A6"/>
    <w:rsid w:val="00CB1A1F"/>
    <w:rsid w:val="00CB235B"/>
    <w:rsid w:val="00CB2AEC"/>
    <w:rsid w:val="00CB4538"/>
    <w:rsid w:val="00CB4624"/>
    <w:rsid w:val="00CB517E"/>
    <w:rsid w:val="00CB643D"/>
    <w:rsid w:val="00CB6744"/>
    <w:rsid w:val="00CB68AC"/>
    <w:rsid w:val="00CB6B20"/>
    <w:rsid w:val="00CB6D43"/>
    <w:rsid w:val="00CB6FF0"/>
    <w:rsid w:val="00CB79B9"/>
    <w:rsid w:val="00CC01D6"/>
    <w:rsid w:val="00CC1E4B"/>
    <w:rsid w:val="00CC1E7B"/>
    <w:rsid w:val="00CC2D0E"/>
    <w:rsid w:val="00CC415C"/>
    <w:rsid w:val="00CD1307"/>
    <w:rsid w:val="00CD185A"/>
    <w:rsid w:val="00CD1965"/>
    <w:rsid w:val="00CD25A1"/>
    <w:rsid w:val="00CD3ED9"/>
    <w:rsid w:val="00CD3F51"/>
    <w:rsid w:val="00CD4482"/>
    <w:rsid w:val="00CD45BE"/>
    <w:rsid w:val="00CD4F1E"/>
    <w:rsid w:val="00CD4FB4"/>
    <w:rsid w:val="00CD5103"/>
    <w:rsid w:val="00CD59F9"/>
    <w:rsid w:val="00CD6597"/>
    <w:rsid w:val="00CD6819"/>
    <w:rsid w:val="00CD6829"/>
    <w:rsid w:val="00CD6834"/>
    <w:rsid w:val="00CD73C8"/>
    <w:rsid w:val="00CD7633"/>
    <w:rsid w:val="00CD77FE"/>
    <w:rsid w:val="00CE058E"/>
    <w:rsid w:val="00CE1AAB"/>
    <w:rsid w:val="00CE1AFC"/>
    <w:rsid w:val="00CE2CC7"/>
    <w:rsid w:val="00CE3191"/>
    <w:rsid w:val="00CE407E"/>
    <w:rsid w:val="00CE4346"/>
    <w:rsid w:val="00CE4C72"/>
    <w:rsid w:val="00CE73C9"/>
    <w:rsid w:val="00CE7937"/>
    <w:rsid w:val="00CE7B4F"/>
    <w:rsid w:val="00CF089E"/>
    <w:rsid w:val="00CF1695"/>
    <w:rsid w:val="00CF1A2E"/>
    <w:rsid w:val="00CF3168"/>
    <w:rsid w:val="00CF4B8A"/>
    <w:rsid w:val="00CF60D0"/>
    <w:rsid w:val="00CF648D"/>
    <w:rsid w:val="00D001B6"/>
    <w:rsid w:val="00D00ED1"/>
    <w:rsid w:val="00D00F4D"/>
    <w:rsid w:val="00D012D5"/>
    <w:rsid w:val="00D01664"/>
    <w:rsid w:val="00D01E30"/>
    <w:rsid w:val="00D027D6"/>
    <w:rsid w:val="00D051EC"/>
    <w:rsid w:val="00D068C2"/>
    <w:rsid w:val="00D078C9"/>
    <w:rsid w:val="00D07E94"/>
    <w:rsid w:val="00D1057B"/>
    <w:rsid w:val="00D10676"/>
    <w:rsid w:val="00D1228C"/>
    <w:rsid w:val="00D14840"/>
    <w:rsid w:val="00D152DD"/>
    <w:rsid w:val="00D1547B"/>
    <w:rsid w:val="00D203AA"/>
    <w:rsid w:val="00D20A27"/>
    <w:rsid w:val="00D211A9"/>
    <w:rsid w:val="00D21238"/>
    <w:rsid w:val="00D21363"/>
    <w:rsid w:val="00D213A1"/>
    <w:rsid w:val="00D22EF3"/>
    <w:rsid w:val="00D23731"/>
    <w:rsid w:val="00D2396A"/>
    <w:rsid w:val="00D23FBF"/>
    <w:rsid w:val="00D25988"/>
    <w:rsid w:val="00D263BB"/>
    <w:rsid w:val="00D2709B"/>
    <w:rsid w:val="00D27CE8"/>
    <w:rsid w:val="00D27FE7"/>
    <w:rsid w:val="00D30CD4"/>
    <w:rsid w:val="00D31680"/>
    <w:rsid w:val="00D326BF"/>
    <w:rsid w:val="00D332A2"/>
    <w:rsid w:val="00D35396"/>
    <w:rsid w:val="00D353D9"/>
    <w:rsid w:val="00D365A2"/>
    <w:rsid w:val="00D36D48"/>
    <w:rsid w:val="00D404ED"/>
    <w:rsid w:val="00D40707"/>
    <w:rsid w:val="00D40E46"/>
    <w:rsid w:val="00D42662"/>
    <w:rsid w:val="00D43556"/>
    <w:rsid w:val="00D44507"/>
    <w:rsid w:val="00D44A73"/>
    <w:rsid w:val="00D46022"/>
    <w:rsid w:val="00D4606B"/>
    <w:rsid w:val="00D46560"/>
    <w:rsid w:val="00D5052A"/>
    <w:rsid w:val="00D556FE"/>
    <w:rsid w:val="00D60B33"/>
    <w:rsid w:val="00D60D56"/>
    <w:rsid w:val="00D60E8B"/>
    <w:rsid w:val="00D62C69"/>
    <w:rsid w:val="00D63419"/>
    <w:rsid w:val="00D63575"/>
    <w:rsid w:val="00D676B5"/>
    <w:rsid w:val="00D7022C"/>
    <w:rsid w:val="00D70567"/>
    <w:rsid w:val="00D707EB"/>
    <w:rsid w:val="00D70E1D"/>
    <w:rsid w:val="00D70E44"/>
    <w:rsid w:val="00D71EFB"/>
    <w:rsid w:val="00D73097"/>
    <w:rsid w:val="00D73682"/>
    <w:rsid w:val="00D74654"/>
    <w:rsid w:val="00D763CD"/>
    <w:rsid w:val="00D77E2C"/>
    <w:rsid w:val="00D80222"/>
    <w:rsid w:val="00D80879"/>
    <w:rsid w:val="00D824E6"/>
    <w:rsid w:val="00D85E2F"/>
    <w:rsid w:val="00D86346"/>
    <w:rsid w:val="00D877B7"/>
    <w:rsid w:val="00D87A0B"/>
    <w:rsid w:val="00D90EEE"/>
    <w:rsid w:val="00D9135A"/>
    <w:rsid w:val="00D92AB2"/>
    <w:rsid w:val="00D938DE"/>
    <w:rsid w:val="00D94A52"/>
    <w:rsid w:val="00D94FD3"/>
    <w:rsid w:val="00D954D6"/>
    <w:rsid w:val="00D9605A"/>
    <w:rsid w:val="00D96A6D"/>
    <w:rsid w:val="00D977D3"/>
    <w:rsid w:val="00D97DB3"/>
    <w:rsid w:val="00DA04E9"/>
    <w:rsid w:val="00DA181E"/>
    <w:rsid w:val="00DA1A28"/>
    <w:rsid w:val="00DA3465"/>
    <w:rsid w:val="00DA3DFD"/>
    <w:rsid w:val="00DA4A3E"/>
    <w:rsid w:val="00DA66E2"/>
    <w:rsid w:val="00DA6DE1"/>
    <w:rsid w:val="00DA78A5"/>
    <w:rsid w:val="00DA7FE8"/>
    <w:rsid w:val="00DB178F"/>
    <w:rsid w:val="00DB1FF2"/>
    <w:rsid w:val="00DB2E67"/>
    <w:rsid w:val="00DB38CE"/>
    <w:rsid w:val="00DB4707"/>
    <w:rsid w:val="00DB4A17"/>
    <w:rsid w:val="00DB4E9A"/>
    <w:rsid w:val="00DB64A2"/>
    <w:rsid w:val="00DB77FC"/>
    <w:rsid w:val="00DC27B6"/>
    <w:rsid w:val="00DC3560"/>
    <w:rsid w:val="00DC392E"/>
    <w:rsid w:val="00DC3A39"/>
    <w:rsid w:val="00DC4379"/>
    <w:rsid w:val="00DC43CF"/>
    <w:rsid w:val="00DC4B01"/>
    <w:rsid w:val="00DC5576"/>
    <w:rsid w:val="00DC593F"/>
    <w:rsid w:val="00DC6970"/>
    <w:rsid w:val="00DC70DD"/>
    <w:rsid w:val="00DD013B"/>
    <w:rsid w:val="00DD0EC5"/>
    <w:rsid w:val="00DD1753"/>
    <w:rsid w:val="00DD1DD2"/>
    <w:rsid w:val="00DD3B81"/>
    <w:rsid w:val="00DD3E21"/>
    <w:rsid w:val="00DD3EB8"/>
    <w:rsid w:val="00DD61EA"/>
    <w:rsid w:val="00DD65E8"/>
    <w:rsid w:val="00DD6781"/>
    <w:rsid w:val="00DD765C"/>
    <w:rsid w:val="00DD7996"/>
    <w:rsid w:val="00DD7A8B"/>
    <w:rsid w:val="00DE156B"/>
    <w:rsid w:val="00DE1C68"/>
    <w:rsid w:val="00DE2B21"/>
    <w:rsid w:val="00DE5238"/>
    <w:rsid w:val="00DE527A"/>
    <w:rsid w:val="00DE5580"/>
    <w:rsid w:val="00DE55E4"/>
    <w:rsid w:val="00DE5DDF"/>
    <w:rsid w:val="00DE66A3"/>
    <w:rsid w:val="00DE67A8"/>
    <w:rsid w:val="00DE6A62"/>
    <w:rsid w:val="00DE776F"/>
    <w:rsid w:val="00DF3162"/>
    <w:rsid w:val="00DF3792"/>
    <w:rsid w:val="00DF54D6"/>
    <w:rsid w:val="00DF68BE"/>
    <w:rsid w:val="00DF7283"/>
    <w:rsid w:val="00DF75BF"/>
    <w:rsid w:val="00DF7C10"/>
    <w:rsid w:val="00E00480"/>
    <w:rsid w:val="00E0057F"/>
    <w:rsid w:val="00E00F40"/>
    <w:rsid w:val="00E0123B"/>
    <w:rsid w:val="00E030CD"/>
    <w:rsid w:val="00E03CCE"/>
    <w:rsid w:val="00E04FEF"/>
    <w:rsid w:val="00E05821"/>
    <w:rsid w:val="00E10BBF"/>
    <w:rsid w:val="00E10D16"/>
    <w:rsid w:val="00E11C3D"/>
    <w:rsid w:val="00E11E3F"/>
    <w:rsid w:val="00E1231C"/>
    <w:rsid w:val="00E1351C"/>
    <w:rsid w:val="00E150A0"/>
    <w:rsid w:val="00E1595C"/>
    <w:rsid w:val="00E16B19"/>
    <w:rsid w:val="00E17D7C"/>
    <w:rsid w:val="00E202B0"/>
    <w:rsid w:val="00E223D0"/>
    <w:rsid w:val="00E231A4"/>
    <w:rsid w:val="00E236A5"/>
    <w:rsid w:val="00E23A84"/>
    <w:rsid w:val="00E24CAF"/>
    <w:rsid w:val="00E3159E"/>
    <w:rsid w:val="00E31AA6"/>
    <w:rsid w:val="00E3229D"/>
    <w:rsid w:val="00E33B57"/>
    <w:rsid w:val="00E352FC"/>
    <w:rsid w:val="00E356B1"/>
    <w:rsid w:val="00E35785"/>
    <w:rsid w:val="00E364A5"/>
    <w:rsid w:val="00E3690B"/>
    <w:rsid w:val="00E3717F"/>
    <w:rsid w:val="00E37254"/>
    <w:rsid w:val="00E40BDC"/>
    <w:rsid w:val="00E41194"/>
    <w:rsid w:val="00E4270A"/>
    <w:rsid w:val="00E42776"/>
    <w:rsid w:val="00E42FB1"/>
    <w:rsid w:val="00E44A26"/>
    <w:rsid w:val="00E4603B"/>
    <w:rsid w:val="00E4680A"/>
    <w:rsid w:val="00E47A29"/>
    <w:rsid w:val="00E50DD9"/>
    <w:rsid w:val="00E5147A"/>
    <w:rsid w:val="00E517C5"/>
    <w:rsid w:val="00E51F69"/>
    <w:rsid w:val="00E520A6"/>
    <w:rsid w:val="00E521F9"/>
    <w:rsid w:val="00E52E97"/>
    <w:rsid w:val="00E53661"/>
    <w:rsid w:val="00E5409A"/>
    <w:rsid w:val="00E55302"/>
    <w:rsid w:val="00E55A13"/>
    <w:rsid w:val="00E55FD1"/>
    <w:rsid w:val="00E56FC3"/>
    <w:rsid w:val="00E57126"/>
    <w:rsid w:val="00E57B09"/>
    <w:rsid w:val="00E6246C"/>
    <w:rsid w:val="00E6365C"/>
    <w:rsid w:val="00E63E88"/>
    <w:rsid w:val="00E64B88"/>
    <w:rsid w:val="00E650F8"/>
    <w:rsid w:val="00E65871"/>
    <w:rsid w:val="00E678BF"/>
    <w:rsid w:val="00E67B51"/>
    <w:rsid w:val="00E702CD"/>
    <w:rsid w:val="00E70EA9"/>
    <w:rsid w:val="00E71097"/>
    <w:rsid w:val="00E72E5C"/>
    <w:rsid w:val="00E74F72"/>
    <w:rsid w:val="00E81B50"/>
    <w:rsid w:val="00E82A55"/>
    <w:rsid w:val="00E83327"/>
    <w:rsid w:val="00E84335"/>
    <w:rsid w:val="00E84946"/>
    <w:rsid w:val="00E84965"/>
    <w:rsid w:val="00E84EC9"/>
    <w:rsid w:val="00E852A4"/>
    <w:rsid w:val="00E863DB"/>
    <w:rsid w:val="00E86E24"/>
    <w:rsid w:val="00E8737C"/>
    <w:rsid w:val="00E873C8"/>
    <w:rsid w:val="00E87BAA"/>
    <w:rsid w:val="00E90BB1"/>
    <w:rsid w:val="00E91BB5"/>
    <w:rsid w:val="00E93CBB"/>
    <w:rsid w:val="00E94E8D"/>
    <w:rsid w:val="00E9557F"/>
    <w:rsid w:val="00E96A40"/>
    <w:rsid w:val="00E97590"/>
    <w:rsid w:val="00E97F45"/>
    <w:rsid w:val="00EA0254"/>
    <w:rsid w:val="00EA2B6A"/>
    <w:rsid w:val="00EA30EA"/>
    <w:rsid w:val="00EA328C"/>
    <w:rsid w:val="00EA342A"/>
    <w:rsid w:val="00EA36C6"/>
    <w:rsid w:val="00EA3A3B"/>
    <w:rsid w:val="00EA4C27"/>
    <w:rsid w:val="00EA51ED"/>
    <w:rsid w:val="00EA7937"/>
    <w:rsid w:val="00EB0D74"/>
    <w:rsid w:val="00EB2446"/>
    <w:rsid w:val="00EB3527"/>
    <w:rsid w:val="00EB4C81"/>
    <w:rsid w:val="00EB4E50"/>
    <w:rsid w:val="00EB5113"/>
    <w:rsid w:val="00EB6172"/>
    <w:rsid w:val="00EB6BCE"/>
    <w:rsid w:val="00EC0413"/>
    <w:rsid w:val="00EC2217"/>
    <w:rsid w:val="00EC2472"/>
    <w:rsid w:val="00EC3F11"/>
    <w:rsid w:val="00EC578E"/>
    <w:rsid w:val="00EC63B3"/>
    <w:rsid w:val="00EC693F"/>
    <w:rsid w:val="00EC6D9E"/>
    <w:rsid w:val="00EC6E29"/>
    <w:rsid w:val="00EC6FCB"/>
    <w:rsid w:val="00EC7B3D"/>
    <w:rsid w:val="00ED1208"/>
    <w:rsid w:val="00ED19FC"/>
    <w:rsid w:val="00ED1BB7"/>
    <w:rsid w:val="00ED24B4"/>
    <w:rsid w:val="00ED3712"/>
    <w:rsid w:val="00ED4787"/>
    <w:rsid w:val="00ED6016"/>
    <w:rsid w:val="00ED66F9"/>
    <w:rsid w:val="00ED6E53"/>
    <w:rsid w:val="00EE05AF"/>
    <w:rsid w:val="00EE0A2C"/>
    <w:rsid w:val="00EE224A"/>
    <w:rsid w:val="00EE3023"/>
    <w:rsid w:val="00EE3724"/>
    <w:rsid w:val="00EE499C"/>
    <w:rsid w:val="00EE515A"/>
    <w:rsid w:val="00EE5C06"/>
    <w:rsid w:val="00EE5C2E"/>
    <w:rsid w:val="00EE60C8"/>
    <w:rsid w:val="00EE6E83"/>
    <w:rsid w:val="00EF0711"/>
    <w:rsid w:val="00EF0C5C"/>
    <w:rsid w:val="00EF12AA"/>
    <w:rsid w:val="00EF1AE0"/>
    <w:rsid w:val="00EF2D3B"/>
    <w:rsid w:val="00EF3F62"/>
    <w:rsid w:val="00EF6792"/>
    <w:rsid w:val="00EF6F7D"/>
    <w:rsid w:val="00EF756D"/>
    <w:rsid w:val="00EF7881"/>
    <w:rsid w:val="00F0279A"/>
    <w:rsid w:val="00F0308A"/>
    <w:rsid w:val="00F03D4D"/>
    <w:rsid w:val="00F04414"/>
    <w:rsid w:val="00F0550F"/>
    <w:rsid w:val="00F05FEF"/>
    <w:rsid w:val="00F062C9"/>
    <w:rsid w:val="00F06E7D"/>
    <w:rsid w:val="00F07FE0"/>
    <w:rsid w:val="00F13D7F"/>
    <w:rsid w:val="00F14311"/>
    <w:rsid w:val="00F154A1"/>
    <w:rsid w:val="00F1586A"/>
    <w:rsid w:val="00F22B1B"/>
    <w:rsid w:val="00F23C57"/>
    <w:rsid w:val="00F269EE"/>
    <w:rsid w:val="00F27737"/>
    <w:rsid w:val="00F314A4"/>
    <w:rsid w:val="00F33D5C"/>
    <w:rsid w:val="00F345A7"/>
    <w:rsid w:val="00F372E7"/>
    <w:rsid w:val="00F37CAA"/>
    <w:rsid w:val="00F37F6C"/>
    <w:rsid w:val="00F40B8C"/>
    <w:rsid w:val="00F41345"/>
    <w:rsid w:val="00F41819"/>
    <w:rsid w:val="00F42347"/>
    <w:rsid w:val="00F4254D"/>
    <w:rsid w:val="00F42971"/>
    <w:rsid w:val="00F42CA6"/>
    <w:rsid w:val="00F42D2D"/>
    <w:rsid w:val="00F42E91"/>
    <w:rsid w:val="00F4309D"/>
    <w:rsid w:val="00F43AB3"/>
    <w:rsid w:val="00F43BB5"/>
    <w:rsid w:val="00F44BC3"/>
    <w:rsid w:val="00F47923"/>
    <w:rsid w:val="00F517EE"/>
    <w:rsid w:val="00F52104"/>
    <w:rsid w:val="00F5218E"/>
    <w:rsid w:val="00F536CC"/>
    <w:rsid w:val="00F54001"/>
    <w:rsid w:val="00F547D5"/>
    <w:rsid w:val="00F547F7"/>
    <w:rsid w:val="00F54A5F"/>
    <w:rsid w:val="00F55113"/>
    <w:rsid w:val="00F55BE9"/>
    <w:rsid w:val="00F56443"/>
    <w:rsid w:val="00F564CF"/>
    <w:rsid w:val="00F5742E"/>
    <w:rsid w:val="00F57F64"/>
    <w:rsid w:val="00F61060"/>
    <w:rsid w:val="00F61972"/>
    <w:rsid w:val="00F627AE"/>
    <w:rsid w:val="00F634ED"/>
    <w:rsid w:val="00F6428C"/>
    <w:rsid w:val="00F6461F"/>
    <w:rsid w:val="00F64808"/>
    <w:rsid w:val="00F65997"/>
    <w:rsid w:val="00F660B8"/>
    <w:rsid w:val="00F666DA"/>
    <w:rsid w:val="00F70A10"/>
    <w:rsid w:val="00F7153D"/>
    <w:rsid w:val="00F71A41"/>
    <w:rsid w:val="00F7644C"/>
    <w:rsid w:val="00F76F1E"/>
    <w:rsid w:val="00F7716D"/>
    <w:rsid w:val="00F77F67"/>
    <w:rsid w:val="00F8135F"/>
    <w:rsid w:val="00F816D8"/>
    <w:rsid w:val="00F82797"/>
    <w:rsid w:val="00F827A7"/>
    <w:rsid w:val="00F82C58"/>
    <w:rsid w:val="00F8382D"/>
    <w:rsid w:val="00F84D58"/>
    <w:rsid w:val="00F856B3"/>
    <w:rsid w:val="00F85F6B"/>
    <w:rsid w:val="00F8632A"/>
    <w:rsid w:val="00F90F12"/>
    <w:rsid w:val="00F93A71"/>
    <w:rsid w:val="00F93FC1"/>
    <w:rsid w:val="00F9421C"/>
    <w:rsid w:val="00F9517C"/>
    <w:rsid w:val="00F9660B"/>
    <w:rsid w:val="00F9795F"/>
    <w:rsid w:val="00F97DDD"/>
    <w:rsid w:val="00FA10F9"/>
    <w:rsid w:val="00FA1253"/>
    <w:rsid w:val="00FA1690"/>
    <w:rsid w:val="00FA1B2F"/>
    <w:rsid w:val="00FA3003"/>
    <w:rsid w:val="00FA35DC"/>
    <w:rsid w:val="00FA5B0E"/>
    <w:rsid w:val="00FA5FAA"/>
    <w:rsid w:val="00FA6647"/>
    <w:rsid w:val="00FA7655"/>
    <w:rsid w:val="00FB1563"/>
    <w:rsid w:val="00FB2840"/>
    <w:rsid w:val="00FB376F"/>
    <w:rsid w:val="00FB4E64"/>
    <w:rsid w:val="00FB5893"/>
    <w:rsid w:val="00FB688C"/>
    <w:rsid w:val="00FB7AD2"/>
    <w:rsid w:val="00FC0A8B"/>
    <w:rsid w:val="00FC1547"/>
    <w:rsid w:val="00FC154C"/>
    <w:rsid w:val="00FC1B5F"/>
    <w:rsid w:val="00FC38B7"/>
    <w:rsid w:val="00FC4180"/>
    <w:rsid w:val="00FC4652"/>
    <w:rsid w:val="00FC655D"/>
    <w:rsid w:val="00FC7F4F"/>
    <w:rsid w:val="00FD0386"/>
    <w:rsid w:val="00FD0681"/>
    <w:rsid w:val="00FD0AFE"/>
    <w:rsid w:val="00FD0E43"/>
    <w:rsid w:val="00FD17B4"/>
    <w:rsid w:val="00FD1E0E"/>
    <w:rsid w:val="00FD37B3"/>
    <w:rsid w:val="00FD429E"/>
    <w:rsid w:val="00FD42A6"/>
    <w:rsid w:val="00FD4818"/>
    <w:rsid w:val="00FD49C3"/>
    <w:rsid w:val="00FD4D7F"/>
    <w:rsid w:val="00FD5302"/>
    <w:rsid w:val="00FD663E"/>
    <w:rsid w:val="00FD7579"/>
    <w:rsid w:val="00FE27E7"/>
    <w:rsid w:val="00FE3571"/>
    <w:rsid w:val="00FE5624"/>
    <w:rsid w:val="00FE5633"/>
    <w:rsid w:val="00FE58B8"/>
    <w:rsid w:val="00FE5C81"/>
    <w:rsid w:val="00FF140A"/>
    <w:rsid w:val="00FF1729"/>
    <w:rsid w:val="00FF1AA4"/>
    <w:rsid w:val="00FF2525"/>
    <w:rsid w:val="00FF2A99"/>
    <w:rsid w:val="00FF3139"/>
    <w:rsid w:val="00FF3E28"/>
    <w:rsid w:val="00FF4989"/>
    <w:rsid w:val="00FF59D2"/>
    <w:rsid w:val="00FF704D"/>
    <w:rsid w:val="00FF7379"/>
    <w:rsid w:val="00FF73C7"/>
    <w:rsid w:val="00FF7616"/>
    <w:rsid w:val="00FF77C7"/>
    <w:rsid w:val="00FF7D7E"/>
    <w:rsid w:val="00FF7F4C"/>
    <w:rsid w:val="1F2942F0"/>
    <w:rsid w:val="288F2A33"/>
    <w:rsid w:val="2F2D5FAD"/>
    <w:rsid w:val="4B1A67A0"/>
    <w:rsid w:val="5ACE0BC6"/>
    <w:rsid w:val="5DBA1B7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qFormat="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qFormat="1"/>
    <w:lsdException w:name="header" w:qFormat="1"/>
    <w:lsdException w:name="footer" w:uiPriority="99"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uiPriority="99" w:unhideWhenUsed="1" w:qFormat="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F60D0"/>
    <w:pPr>
      <w:widowControl w:val="0"/>
      <w:jc w:val="both"/>
    </w:pPr>
    <w:rPr>
      <w:kern w:val="2"/>
      <w:sz w:val="21"/>
      <w:szCs w:val="24"/>
    </w:rPr>
  </w:style>
  <w:style w:type="paragraph" w:styleId="1">
    <w:name w:val="heading 1"/>
    <w:basedOn w:val="a"/>
    <w:next w:val="a"/>
    <w:qFormat/>
    <w:rsid w:val="00CF60D0"/>
    <w:pPr>
      <w:keepNext/>
      <w:keepLines/>
      <w:spacing w:before="340" w:after="330" w:line="578" w:lineRule="auto"/>
      <w:outlineLvl w:val="0"/>
    </w:pPr>
    <w:rPr>
      <w:b/>
      <w:bCs/>
      <w:kern w:val="44"/>
      <w:sz w:val="44"/>
      <w:szCs w:val="44"/>
    </w:rPr>
  </w:style>
  <w:style w:type="paragraph" w:styleId="2">
    <w:name w:val="heading 2"/>
    <w:basedOn w:val="a"/>
    <w:next w:val="a"/>
    <w:qFormat/>
    <w:rsid w:val="00CF60D0"/>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CF60D0"/>
    <w:pPr>
      <w:keepNext/>
      <w:keepLines/>
      <w:spacing w:before="260" w:after="260" w:line="416" w:lineRule="auto"/>
      <w:outlineLvl w:val="2"/>
    </w:pPr>
    <w:rPr>
      <w:b/>
      <w:bCs/>
      <w:sz w:val="32"/>
      <w:szCs w:val="32"/>
    </w:rPr>
  </w:style>
  <w:style w:type="paragraph" w:styleId="4">
    <w:name w:val="heading 4"/>
    <w:basedOn w:val="a"/>
    <w:next w:val="a"/>
    <w:qFormat/>
    <w:rsid w:val="00CF60D0"/>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qFormat/>
    <w:rsid w:val="00CF60D0"/>
    <w:pPr>
      <w:keepNext/>
      <w:keepLines/>
      <w:spacing w:before="280" w:after="290" w:line="376" w:lineRule="auto"/>
      <w:outlineLvl w:val="4"/>
    </w:pPr>
    <w:rPr>
      <w:b/>
      <w:bCs/>
      <w:sz w:val="28"/>
      <w:szCs w:val="28"/>
    </w:rPr>
  </w:style>
  <w:style w:type="paragraph" w:styleId="6">
    <w:name w:val="heading 6"/>
    <w:basedOn w:val="a"/>
    <w:next w:val="a"/>
    <w:qFormat/>
    <w:rsid w:val="00CF60D0"/>
    <w:pPr>
      <w:keepNext/>
      <w:keepLines/>
      <w:spacing w:before="240" w:after="64" w:line="320" w:lineRule="auto"/>
      <w:ind w:left="851" w:firstLineChars="200" w:firstLine="200"/>
      <w:outlineLvl w:val="5"/>
    </w:pPr>
    <w:rPr>
      <w:rFonts w:ascii="Arial" w:eastAsia="黑体" w:hAnsi="Arial"/>
      <w:b/>
      <w:bCs/>
      <w:sz w:val="24"/>
    </w:rPr>
  </w:style>
  <w:style w:type="paragraph" w:styleId="7">
    <w:name w:val="heading 7"/>
    <w:basedOn w:val="a"/>
    <w:next w:val="a"/>
    <w:qFormat/>
    <w:rsid w:val="00CF60D0"/>
    <w:pPr>
      <w:keepNext/>
      <w:keepLines/>
      <w:spacing w:before="240" w:after="64" w:line="320" w:lineRule="auto"/>
      <w:ind w:left="851" w:firstLineChars="200" w:firstLine="200"/>
      <w:outlineLvl w:val="6"/>
    </w:pPr>
    <w:rPr>
      <w:b/>
      <w:bCs/>
      <w:sz w:val="24"/>
    </w:rPr>
  </w:style>
  <w:style w:type="paragraph" w:styleId="8">
    <w:name w:val="heading 8"/>
    <w:basedOn w:val="a"/>
    <w:next w:val="a"/>
    <w:qFormat/>
    <w:rsid w:val="00CF60D0"/>
    <w:pPr>
      <w:keepNext/>
      <w:keepLines/>
      <w:spacing w:before="240" w:after="64" w:line="320" w:lineRule="auto"/>
      <w:ind w:left="851" w:firstLineChars="200" w:firstLine="200"/>
      <w:outlineLvl w:val="7"/>
    </w:pPr>
    <w:rPr>
      <w:rFonts w:ascii="Arial" w:eastAsia="黑体" w:hAnsi="Arial"/>
      <w:sz w:val="24"/>
    </w:rPr>
  </w:style>
  <w:style w:type="paragraph" w:styleId="9">
    <w:name w:val="heading 9"/>
    <w:basedOn w:val="a"/>
    <w:next w:val="a"/>
    <w:qFormat/>
    <w:rsid w:val="00CF60D0"/>
    <w:pPr>
      <w:keepNext/>
      <w:keepLines/>
      <w:spacing w:before="240" w:after="64" w:line="320" w:lineRule="auto"/>
      <w:ind w:left="851" w:firstLineChars="200" w:firstLine="200"/>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nhideWhenUsed/>
    <w:qFormat/>
    <w:rsid w:val="00CF60D0"/>
    <w:pPr>
      <w:spacing w:line="360" w:lineRule="auto"/>
      <w:ind w:firstLineChars="200" w:firstLine="200"/>
    </w:pPr>
    <w:rPr>
      <w:rFonts w:ascii="Cambria" w:eastAsia="黑体" w:hAnsi="Cambria"/>
      <w:sz w:val="20"/>
      <w:szCs w:val="20"/>
    </w:rPr>
  </w:style>
  <w:style w:type="paragraph" w:styleId="a4">
    <w:name w:val="Document Map"/>
    <w:basedOn w:val="a"/>
    <w:semiHidden/>
    <w:qFormat/>
    <w:rsid w:val="00CF60D0"/>
    <w:pPr>
      <w:shd w:val="clear" w:color="auto" w:fill="000080"/>
    </w:pPr>
  </w:style>
  <w:style w:type="paragraph" w:styleId="a5">
    <w:name w:val="annotation text"/>
    <w:basedOn w:val="a"/>
    <w:link w:val="Char"/>
    <w:semiHidden/>
    <w:qFormat/>
    <w:rsid w:val="00CF60D0"/>
    <w:pPr>
      <w:jc w:val="left"/>
    </w:pPr>
  </w:style>
  <w:style w:type="paragraph" w:styleId="a6">
    <w:name w:val="Body Text"/>
    <w:basedOn w:val="a"/>
    <w:qFormat/>
    <w:rsid w:val="00CF60D0"/>
    <w:pPr>
      <w:adjustRightInd w:val="0"/>
      <w:snapToGrid w:val="0"/>
      <w:spacing w:line="324" w:lineRule="auto"/>
      <w:ind w:right="28"/>
      <w:jc w:val="left"/>
    </w:pPr>
    <w:rPr>
      <w:rFonts w:ascii="仿宋_GB2312" w:eastAsia="仿宋_GB2312" w:hint="eastAsia"/>
      <w:kern w:val="0"/>
      <w:sz w:val="28"/>
      <w:szCs w:val="20"/>
    </w:rPr>
  </w:style>
  <w:style w:type="paragraph" w:styleId="30">
    <w:name w:val="toc 3"/>
    <w:basedOn w:val="a"/>
    <w:next w:val="a"/>
    <w:qFormat/>
    <w:rsid w:val="00CF60D0"/>
    <w:pPr>
      <w:tabs>
        <w:tab w:val="right" w:leader="dot" w:pos="8820"/>
      </w:tabs>
      <w:ind w:leftChars="400" w:left="840"/>
    </w:pPr>
  </w:style>
  <w:style w:type="paragraph" w:styleId="a7">
    <w:name w:val="Plain Text"/>
    <w:basedOn w:val="a"/>
    <w:qFormat/>
    <w:rsid w:val="00CF60D0"/>
    <w:rPr>
      <w:rFonts w:ascii="宋体" w:hAnsi="Courier New"/>
      <w:szCs w:val="21"/>
    </w:rPr>
  </w:style>
  <w:style w:type="paragraph" w:styleId="a8">
    <w:name w:val="Date"/>
    <w:basedOn w:val="a"/>
    <w:next w:val="a"/>
    <w:qFormat/>
    <w:rsid w:val="00CF60D0"/>
    <w:rPr>
      <w:sz w:val="24"/>
      <w:szCs w:val="20"/>
    </w:rPr>
  </w:style>
  <w:style w:type="paragraph" w:styleId="a9">
    <w:name w:val="endnote text"/>
    <w:basedOn w:val="a"/>
    <w:semiHidden/>
    <w:qFormat/>
    <w:rsid w:val="00CF60D0"/>
    <w:pPr>
      <w:snapToGrid w:val="0"/>
      <w:jc w:val="left"/>
    </w:pPr>
  </w:style>
  <w:style w:type="paragraph" w:styleId="aa">
    <w:name w:val="Balloon Text"/>
    <w:basedOn w:val="a"/>
    <w:semiHidden/>
    <w:qFormat/>
    <w:rsid w:val="00CF60D0"/>
    <w:rPr>
      <w:sz w:val="18"/>
      <w:szCs w:val="18"/>
    </w:rPr>
  </w:style>
  <w:style w:type="paragraph" w:styleId="ab">
    <w:name w:val="footer"/>
    <w:basedOn w:val="a"/>
    <w:link w:val="Char0"/>
    <w:uiPriority w:val="99"/>
    <w:qFormat/>
    <w:rsid w:val="00CF60D0"/>
    <w:pPr>
      <w:tabs>
        <w:tab w:val="center" w:pos="4153"/>
        <w:tab w:val="right" w:pos="8306"/>
      </w:tabs>
      <w:snapToGrid w:val="0"/>
      <w:jc w:val="left"/>
    </w:pPr>
    <w:rPr>
      <w:sz w:val="18"/>
      <w:szCs w:val="18"/>
    </w:rPr>
  </w:style>
  <w:style w:type="paragraph" w:styleId="ac">
    <w:name w:val="header"/>
    <w:basedOn w:val="a"/>
    <w:qFormat/>
    <w:rsid w:val="00CF60D0"/>
    <w:pPr>
      <w:pBdr>
        <w:bottom w:val="single" w:sz="6" w:space="1" w:color="auto"/>
      </w:pBdr>
      <w:tabs>
        <w:tab w:val="center" w:pos="4153"/>
        <w:tab w:val="right" w:pos="8306"/>
      </w:tabs>
      <w:snapToGrid w:val="0"/>
      <w:jc w:val="center"/>
    </w:pPr>
    <w:rPr>
      <w:sz w:val="18"/>
      <w:szCs w:val="18"/>
    </w:rPr>
  </w:style>
  <w:style w:type="paragraph" w:styleId="ad">
    <w:name w:val="footnote text"/>
    <w:basedOn w:val="a"/>
    <w:semiHidden/>
    <w:qFormat/>
    <w:rsid w:val="00CF60D0"/>
    <w:pPr>
      <w:snapToGrid w:val="0"/>
      <w:jc w:val="left"/>
    </w:pPr>
    <w:rPr>
      <w:sz w:val="18"/>
      <w:szCs w:val="18"/>
    </w:rPr>
  </w:style>
  <w:style w:type="paragraph" w:styleId="20">
    <w:name w:val="toc 2"/>
    <w:basedOn w:val="a"/>
    <w:next w:val="a"/>
    <w:qFormat/>
    <w:rsid w:val="00CF60D0"/>
    <w:pPr>
      <w:tabs>
        <w:tab w:val="left" w:pos="1260"/>
        <w:tab w:val="right" w:leader="dot" w:pos="8834"/>
      </w:tabs>
      <w:ind w:leftChars="200" w:left="420"/>
    </w:pPr>
  </w:style>
  <w:style w:type="paragraph" w:styleId="21">
    <w:name w:val="Body Text 2"/>
    <w:basedOn w:val="a"/>
    <w:qFormat/>
    <w:rsid w:val="00CF60D0"/>
    <w:pPr>
      <w:spacing w:after="120" w:line="480" w:lineRule="auto"/>
    </w:pPr>
    <w:rPr>
      <w:szCs w:val="20"/>
    </w:rPr>
  </w:style>
  <w:style w:type="paragraph" w:styleId="HTML">
    <w:name w:val="HTML Preformatted"/>
    <w:basedOn w:val="a"/>
    <w:link w:val="HTMLChar"/>
    <w:uiPriority w:val="99"/>
    <w:unhideWhenUsed/>
    <w:qFormat/>
    <w:rsid w:val="00CF60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e">
    <w:name w:val="Normal (Web)"/>
    <w:basedOn w:val="a"/>
    <w:qFormat/>
    <w:rsid w:val="00CF60D0"/>
    <w:pPr>
      <w:widowControl/>
      <w:spacing w:before="100" w:beforeAutospacing="1" w:after="100" w:afterAutospacing="1"/>
      <w:jc w:val="left"/>
    </w:pPr>
    <w:rPr>
      <w:rFonts w:ascii="宋体" w:hAnsi="宋体"/>
      <w:kern w:val="0"/>
      <w:sz w:val="24"/>
    </w:rPr>
  </w:style>
  <w:style w:type="paragraph" w:styleId="af">
    <w:name w:val="annotation subject"/>
    <w:basedOn w:val="a5"/>
    <w:next w:val="a5"/>
    <w:semiHidden/>
    <w:qFormat/>
    <w:rsid w:val="00CF60D0"/>
    <w:rPr>
      <w:b/>
      <w:bCs/>
    </w:rPr>
  </w:style>
  <w:style w:type="table" w:styleId="af0">
    <w:name w:val="Table Grid"/>
    <w:basedOn w:val="a1"/>
    <w:qFormat/>
    <w:rsid w:val="00CF60D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qFormat/>
    <w:rsid w:val="00CF60D0"/>
    <w:rPr>
      <w:b/>
      <w:bCs/>
    </w:rPr>
  </w:style>
  <w:style w:type="character" w:styleId="af2">
    <w:name w:val="endnote reference"/>
    <w:semiHidden/>
    <w:qFormat/>
    <w:rsid w:val="00CF60D0"/>
    <w:rPr>
      <w:vertAlign w:val="superscript"/>
    </w:rPr>
  </w:style>
  <w:style w:type="character" w:styleId="af3">
    <w:name w:val="page number"/>
    <w:basedOn w:val="a0"/>
    <w:qFormat/>
    <w:rsid w:val="00CF60D0"/>
  </w:style>
  <w:style w:type="character" w:styleId="HTML0">
    <w:name w:val="HTML Typewriter"/>
    <w:uiPriority w:val="99"/>
    <w:unhideWhenUsed/>
    <w:qFormat/>
    <w:rsid w:val="00CF60D0"/>
    <w:rPr>
      <w:rFonts w:ascii="宋体" w:eastAsia="宋体" w:hAnsi="宋体" w:cs="宋体"/>
      <w:sz w:val="24"/>
      <w:szCs w:val="24"/>
    </w:rPr>
  </w:style>
  <w:style w:type="character" w:styleId="af4">
    <w:name w:val="Hyperlink"/>
    <w:qFormat/>
    <w:rsid w:val="00CF60D0"/>
    <w:rPr>
      <w:color w:val="0000FF"/>
      <w:u w:val="single"/>
    </w:rPr>
  </w:style>
  <w:style w:type="character" w:styleId="af5">
    <w:name w:val="annotation reference"/>
    <w:semiHidden/>
    <w:qFormat/>
    <w:rsid w:val="00CF60D0"/>
    <w:rPr>
      <w:sz w:val="21"/>
      <w:szCs w:val="21"/>
    </w:rPr>
  </w:style>
  <w:style w:type="character" w:styleId="af6">
    <w:name w:val="footnote reference"/>
    <w:semiHidden/>
    <w:qFormat/>
    <w:rsid w:val="00CF60D0"/>
    <w:rPr>
      <w:vertAlign w:val="superscript"/>
    </w:rPr>
  </w:style>
  <w:style w:type="paragraph" w:customStyle="1" w:styleId="Char1">
    <w:name w:val="Char"/>
    <w:basedOn w:val="a"/>
    <w:qFormat/>
    <w:rsid w:val="00CF60D0"/>
  </w:style>
  <w:style w:type="character" w:customStyle="1" w:styleId="CharCharCharCharCharCharCharChar">
    <w:name w:val="正文文字 Char Char Char Char Char Char Char Char"/>
    <w:qFormat/>
    <w:rsid w:val="00CF60D0"/>
    <w:rPr>
      <w:rFonts w:ascii="仿宋_GB2312" w:eastAsia="仿宋_GB2312"/>
      <w:sz w:val="28"/>
      <w:lang w:val="en-US" w:eastAsia="zh-CN" w:bidi="ar-SA"/>
    </w:rPr>
  </w:style>
  <w:style w:type="character" w:customStyle="1" w:styleId="afont1">
    <w:name w:val="afont1"/>
    <w:qFormat/>
    <w:rsid w:val="00CF60D0"/>
    <w:rPr>
      <w:rFonts w:ascii="Arial Narrow" w:hAnsi="Arial Narrow" w:hint="default"/>
      <w:sz w:val="21"/>
      <w:szCs w:val="21"/>
    </w:rPr>
  </w:style>
  <w:style w:type="paragraph" w:customStyle="1" w:styleId="CharChar">
    <w:name w:val="Char Char"/>
    <w:basedOn w:val="a"/>
    <w:qFormat/>
    <w:rsid w:val="00CF60D0"/>
  </w:style>
  <w:style w:type="paragraph" w:customStyle="1" w:styleId="Default">
    <w:name w:val="Default"/>
    <w:qFormat/>
    <w:rsid w:val="00CF60D0"/>
    <w:pPr>
      <w:widowControl w:val="0"/>
      <w:autoSpaceDE w:val="0"/>
      <w:autoSpaceDN w:val="0"/>
      <w:adjustRightInd w:val="0"/>
    </w:pPr>
    <w:rPr>
      <w:rFonts w:ascii="宋体" w:cs="宋体"/>
      <w:color w:val="000000"/>
      <w:sz w:val="24"/>
      <w:szCs w:val="24"/>
    </w:rPr>
  </w:style>
  <w:style w:type="paragraph" w:customStyle="1" w:styleId="CharCharCharChar">
    <w:name w:val="Char Char Char Char"/>
    <w:basedOn w:val="a"/>
    <w:qFormat/>
    <w:rsid w:val="00CF60D0"/>
    <w:pPr>
      <w:tabs>
        <w:tab w:val="left" w:pos="840"/>
      </w:tabs>
      <w:adjustRightInd w:val="0"/>
      <w:spacing w:line="360" w:lineRule="atLeast"/>
      <w:ind w:left="840" w:hanging="360"/>
      <w:textAlignment w:val="baseline"/>
    </w:pPr>
    <w:rPr>
      <w:sz w:val="24"/>
    </w:rPr>
  </w:style>
  <w:style w:type="paragraph" w:customStyle="1" w:styleId="xl33">
    <w:name w:val="xl33"/>
    <w:basedOn w:val="a"/>
    <w:qFormat/>
    <w:rsid w:val="00CF60D0"/>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qFormat/>
    <w:rsid w:val="00CF60D0"/>
    <w:pPr>
      <w:keepNext/>
      <w:keepLines/>
      <w:tabs>
        <w:tab w:val="left" w:pos="840"/>
      </w:tabs>
      <w:spacing w:beforeLines="100" w:afterLines="100"/>
      <w:ind w:left="840" w:hanging="420"/>
      <w:outlineLvl w:val="1"/>
    </w:pPr>
    <w:rPr>
      <w:rFonts w:ascii="Arial" w:hAnsi="Arial"/>
      <w:b/>
      <w:bCs/>
      <w:sz w:val="28"/>
      <w:szCs w:val="20"/>
    </w:rPr>
  </w:style>
  <w:style w:type="paragraph" w:customStyle="1" w:styleId="115">
    <w:name w:val="样式 标题 1 + 段前: 1.5 行"/>
    <w:basedOn w:val="a"/>
    <w:qFormat/>
    <w:rsid w:val="00CF60D0"/>
    <w:pPr>
      <w:tabs>
        <w:tab w:val="left" w:pos="360"/>
      </w:tabs>
      <w:ind w:left="360" w:hanging="360"/>
    </w:pPr>
    <w:rPr>
      <w:sz w:val="24"/>
      <w:szCs w:val="20"/>
    </w:rPr>
  </w:style>
  <w:style w:type="paragraph" w:customStyle="1" w:styleId="af7">
    <w:name w:val="简单回函地址"/>
    <w:basedOn w:val="a"/>
    <w:qFormat/>
    <w:rsid w:val="00CF60D0"/>
  </w:style>
  <w:style w:type="paragraph" w:customStyle="1" w:styleId="FormLabel">
    <w:name w:val="Form Label"/>
    <w:basedOn w:val="a"/>
    <w:qFormat/>
    <w:rsid w:val="00CF60D0"/>
    <w:pPr>
      <w:widowControl/>
      <w:spacing w:line="280" w:lineRule="exact"/>
      <w:jc w:val="left"/>
    </w:pPr>
    <w:rPr>
      <w:kern w:val="0"/>
      <w:sz w:val="18"/>
      <w:szCs w:val="20"/>
      <w:lang w:val="en-GB" w:eastAsia="en-US"/>
    </w:rPr>
  </w:style>
  <w:style w:type="paragraph" w:customStyle="1" w:styleId="Char10">
    <w:name w:val="Char1"/>
    <w:basedOn w:val="a"/>
    <w:qFormat/>
    <w:rsid w:val="00CF60D0"/>
  </w:style>
  <w:style w:type="character" w:customStyle="1" w:styleId="2CharCharChar">
    <w:name w:val="标题 2 Char Char Char"/>
    <w:qFormat/>
    <w:rsid w:val="00CF60D0"/>
    <w:rPr>
      <w:rFonts w:ascii="Arial" w:eastAsia="宋体" w:hAnsi="Arial"/>
      <w:b/>
      <w:kern w:val="2"/>
      <w:sz w:val="28"/>
      <w:szCs w:val="28"/>
      <w:lang w:val="en-US" w:eastAsia="zh-CN" w:bidi="ar-SA"/>
    </w:rPr>
  </w:style>
  <w:style w:type="paragraph" w:customStyle="1" w:styleId="xl31">
    <w:name w:val="xl31"/>
    <w:basedOn w:val="a"/>
    <w:qFormat/>
    <w:rsid w:val="00CF60D0"/>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qFormat/>
    <w:rsid w:val="00CF60D0"/>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qFormat/>
    <w:rsid w:val="00CF60D0"/>
    <w:pPr>
      <w:widowControl/>
      <w:spacing w:after="160" w:line="240" w:lineRule="exact"/>
      <w:jc w:val="left"/>
    </w:pPr>
    <w:rPr>
      <w:rFonts w:ascii="Verdana" w:hAnsi="Verdana" w:cs="Verdana"/>
      <w:kern w:val="0"/>
      <w:sz w:val="20"/>
      <w:szCs w:val="20"/>
      <w:lang w:eastAsia="en-US"/>
    </w:rPr>
  </w:style>
  <w:style w:type="character" w:customStyle="1" w:styleId="Char">
    <w:name w:val="批注文字 Char"/>
    <w:link w:val="a5"/>
    <w:qFormat/>
    <w:rsid w:val="00CF60D0"/>
    <w:rPr>
      <w:rFonts w:eastAsia="宋体"/>
      <w:kern w:val="2"/>
      <w:sz w:val="21"/>
      <w:szCs w:val="24"/>
      <w:lang w:val="en-US" w:eastAsia="zh-CN" w:bidi="ar-SA"/>
    </w:rPr>
  </w:style>
  <w:style w:type="paragraph" w:customStyle="1" w:styleId="CharCharCharCharCharChar1CharCharChar">
    <w:name w:val="Char Char Char Char Char Char1 Char Char Char"/>
    <w:basedOn w:val="a"/>
    <w:qFormat/>
    <w:rsid w:val="00CF60D0"/>
    <w:pPr>
      <w:autoSpaceDE w:val="0"/>
      <w:autoSpaceDN w:val="0"/>
      <w:adjustRightInd w:val="0"/>
      <w:jc w:val="left"/>
      <w:textAlignment w:val="baseline"/>
    </w:pPr>
    <w:rPr>
      <w:rFonts w:ascii="宋体"/>
      <w:kern w:val="0"/>
      <w:sz w:val="34"/>
      <w:szCs w:val="20"/>
    </w:rPr>
  </w:style>
  <w:style w:type="paragraph" w:customStyle="1" w:styleId="xl30">
    <w:name w:val="xl30"/>
    <w:basedOn w:val="a"/>
    <w:qFormat/>
    <w:rsid w:val="00CF60D0"/>
    <w:pPr>
      <w:widowControl/>
      <w:spacing w:before="100" w:beforeAutospacing="1" w:after="100" w:afterAutospacing="1"/>
      <w:jc w:val="right"/>
    </w:pPr>
    <w:rPr>
      <w:rFonts w:eastAsia="Arial Unicode MS"/>
      <w:kern w:val="0"/>
      <w:szCs w:val="21"/>
    </w:rPr>
  </w:style>
  <w:style w:type="paragraph" w:customStyle="1" w:styleId="10">
    <w:name w:val="修订1"/>
    <w:hidden/>
    <w:uiPriority w:val="99"/>
    <w:semiHidden/>
    <w:qFormat/>
    <w:rsid w:val="00CF60D0"/>
    <w:rPr>
      <w:kern w:val="2"/>
      <w:sz w:val="21"/>
      <w:szCs w:val="24"/>
    </w:rPr>
  </w:style>
  <w:style w:type="character" w:customStyle="1" w:styleId="HTMLChar">
    <w:name w:val="HTML 预设格式 Char"/>
    <w:link w:val="HTML"/>
    <w:uiPriority w:val="99"/>
    <w:qFormat/>
    <w:rsid w:val="00CF60D0"/>
    <w:rPr>
      <w:rFonts w:ascii="宋体" w:hAnsi="宋体" w:cs="宋体"/>
      <w:sz w:val="24"/>
      <w:szCs w:val="24"/>
    </w:rPr>
  </w:style>
  <w:style w:type="character" w:customStyle="1" w:styleId="Char0">
    <w:name w:val="页脚 Char"/>
    <w:basedOn w:val="a0"/>
    <w:link w:val="ab"/>
    <w:uiPriority w:val="99"/>
    <w:qFormat/>
    <w:rsid w:val="00CF60D0"/>
    <w:rPr>
      <w:kern w:val="2"/>
      <w:sz w:val="18"/>
      <w:szCs w:val="18"/>
    </w:rPr>
  </w:style>
  <w:style w:type="character" w:customStyle="1" w:styleId="11">
    <w:name w:val="未处理的提及1"/>
    <w:basedOn w:val="a0"/>
    <w:uiPriority w:val="99"/>
    <w:semiHidden/>
    <w:unhideWhenUsed/>
    <w:qFormat/>
    <w:rsid w:val="00CF60D0"/>
    <w:rPr>
      <w:color w:val="605E5C"/>
      <w:shd w:val="clear" w:color="auto" w:fill="E1DFDD"/>
    </w:rPr>
  </w:style>
  <w:style w:type="paragraph" w:customStyle="1" w:styleId="22">
    <w:name w:val="修订2"/>
    <w:hidden/>
    <w:uiPriority w:val="99"/>
    <w:semiHidden/>
    <w:qFormat/>
    <w:rsid w:val="00CF60D0"/>
    <w:rPr>
      <w:kern w:val="2"/>
      <w:sz w:val="21"/>
      <w:szCs w:val="24"/>
    </w:rPr>
  </w:style>
  <w:style w:type="table" w:customStyle="1" w:styleId="TableNormal">
    <w:name w:val="Table Normal"/>
    <w:uiPriority w:val="2"/>
    <w:unhideWhenUsed/>
    <w:qFormat/>
    <w:rsid w:val="00CF60D0"/>
    <w:rPr>
      <w:rFonts w:asciiTheme="minorHAnsi" w:eastAsiaTheme="minorEastAsia" w:hAnsiTheme="minorHAnsi" w:cstheme="minorBidi"/>
    </w:rPr>
    <w:tblPr>
      <w:tblCellMar>
        <w:top w:w="0" w:type="dxa"/>
        <w:left w:w="0" w:type="dxa"/>
        <w:bottom w:w="0" w:type="dxa"/>
        <w:right w:w="0" w:type="dxa"/>
      </w:tblCellMar>
    </w:tblPr>
  </w:style>
  <w:style w:type="paragraph" w:customStyle="1" w:styleId="TableParagraph">
    <w:name w:val="Table Paragraph"/>
    <w:basedOn w:val="a"/>
    <w:uiPriority w:val="1"/>
    <w:qFormat/>
    <w:rsid w:val="00CF60D0"/>
    <w:pPr>
      <w:jc w:val="center"/>
    </w:pPr>
    <w:rPr>
      <w:rFonts w:ascii="宋体" w:hAnsi="宋体" w:cs="宋体"/>
      <w:kern w:val="0"/>
      <w:sz w:val="22"/>
      <w:szCs w:val="22"/>
      <w:lang w:eastAsia="en-US"/>
    </w:rPr>
  </w:style>
  <w:style w:type="character" w:customStyle="1" w:styleId="23">
    <w:name w:val="未处理的提及2"/>
    <w:basedOn w:val="a0"/>
    <w:uiPriority w:val="99"/>
    <w:semiHidden/>
    <w:unhideWhenUsed/>
    <w:qFormat/>
    <w:rsid w:val="00CF60D0"/>
    <w:rPr>
      <w:color w:val="605E5C"/>
      <w:shd w:val="clear" w:color="auto" w:fill="E1DFDD"/>
    </w:rPr>
  </w:style>
  <w:style w:type="paragraph" w:customStyle="1" w:styleId="31">
    <w:name w:val="修订3"/>
    <w:hidden/>
    <w:uiPriority w:val="99"/>
    <w:semiHidden/>
    <w:qFormat/>
    <w:rsid w:val="00CF60D0"/>
    <w:rPr>
      <w:kern w:val="2"/>
      <w:sz w:val="21"/>
      <w:szCs w:val="24"/>
    </w:rPr>
  </w:style>
  <w:style w:type="paragraph" w:styleId="af8">
    <w:name w:val="Revision"/>
    <w:hidden/>
    <w:uiPriority w:val="99"/>
    <w:unhideWhenUsed/>
    <w:rsid w:val="003C3506"/>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ngl\Desktop\20141016&#21338;&#26102;&#20248;&#21183;&#25910;&#30410;&#20449;&#29992;&#20538;&#20538;&#21048;&#22411;&#35777;&#21048;&#25237;&#36164;&#22522;&#37329;&#22522;&#37329;&#24320;&#25918;&#26085;&#24120;&#30003;&#36141;&#12289;&#36174;&#22238;&#19994;&#21153;&#30340;&#20844;&#21578;.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80C8B-D277-4CE1-86EE-8AA632D19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20141016博时优势收益信用债债券型证券投资基金基金开放日常申购、赎回业务的公告.dot</Template>
  <TotalTime>0</TotalTime>
  <Pages>3</Pages>
  <Words>875</Words>
  <Characters>4991</Characters>
  <Application>Microsoft Office Word</Application>
  <DocSecurity>4</DocSecurity>
  <Lines>41</Lines>
  <Paragraphs>11</Paragraphs>
  <ScaleCrop>false</ScaleCrop>
  <Company>WwW.YlmF.CoM</Company>
  <LinksUpToDate>false</LinksUpToDate>
  <CharactersWithSpaces>5855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非货币</dc:subject>
  <dc:creator>汤玲</dc:creator>
  <cp:lastModifiedBy>ZHONGM</cp:lastModifiedBy>
  <cp:revision>2</cp:revision>
  <cp:lastPrinted>2012-10-10T05:24:00Z</cp:lastPrinted>
  <dcterms:created xsi:type="dcterms:W3CDTF">2025-04-22T16:02:00Z</dcterms:created>
  <dcterms:modified xsi:type="dcterms:W3CDTF">2025-04-22T16:02:00Z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E7E543B2FD614322BE550248B71416E0</vt:lpwstr>
  </property>
</Properties>
</file>