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5F" w:rsidRPr="00587609" w:rsidRDefault="00BB095F" w:rsidP="00737CDD">
      <w:pPr>
        <w:pStyle w:val="1"/>
        <w:kinsoku w:val="0"/>
        <w:overflowPunct w:val="0"/>
        <w:adjustRightInd/>
        <w:spacing w:line="360" w:lineRule="auto"/>
        <w:ind w:right="120"/>
        <w:jc w:val="center"/>
        <w:rPr>
          <w:rFonts w:hAnsi="宋体" w:cs="Times New Roman"/>
          <w:b/>
        </w:rPr>
      </w:pPr>
      <w:r w:rsidRPr="00587609">
        <w:rPr>
          <w:rFonts w:hAnsi="宋体" w:cs="Times New Roman"/>
          <w:b/>
        </w:rPr>
        <w:t>关于</w:t>
      </w:r>
      <w:r w:rsidR="00762748">
        <w:rPr>
          <w:rFonts w:hAnsi="宋体" w:cs="Times New Roman"/>
          <w:b/>
        </w:rPr>
        <w:t>国投瑞银融华债券型证券投资基金</w:t>
      </w:r>
      <w:r w:rsidR="00B8774A" w:rsidRPr="00587609">
        <w:rPr>
          <w:rFonts w:hAnsi="宋体" w:cs="Times New Roman"/>
          <w:b/>
        </w:rPr>
        <w:t>基金</w:t>
      </w:r>
      <w:r w:rsidRPr="00587609">
        <w:rPr>
          <w:rFonts w:hAnsi="宋体" w:cs="Times New Roman"/>
          <w:b/>
        </w:rPr>
        <w:t>份额持有人大会表决结果暨决议生效的公告</w:t>
      </w:r>
    </w:p>
    <w:p w:rsidR="00BB095F" w:rsidRPr="00587609" w:rsidRDefault="00BB095F">
      <w:pPr>
        <w:kinsoku w:val="0"/>
        <w:overflowPunct w:val="0"/>
        <w:spacing w:before="3" w:line="240" w:lineRule="exact"/>
      </w:pPr>
    </w:p>
    <w:p w:rsidR="00BB095F" w:rsidRPr="00587609" w:rsidRDefault="00C916DF" w:rsidP="00EB242B">
      <w:pPr>
        <w:pStyle w:val="a3"/>
        <w:kinsoku w:val="0"/>
        <w:overflowPunct w:val="0"/>
        <w:adjustRightInd/>
        <w:spacing w:line="360" w:lineRule="auto"/>
        <w:ind w:left="0" w:firstLine="480"/>
        <w:jc w:val="both"/>
        <w:rPr>
          <w:rFonts w:ascii="Times New Roman" w:cs="Times New Roman"/>
        </w:rPr>
      </w:pPr>
      <w:r w:rsidRPr="007C7AB3">
        <w:rPr>
          <w:rFonts w:ascii="Times New Roman" w:cs="Times New Roman"/>
        </w:rPr>
        <w:t>根据</w:t>
      </w:r>
      <w:r w:rsidR="00BB095F" w:rsidRPr="007C7AB3">
        <w:rPr>
          <w:rFonts w:ascii="Times New Roman" w:cs="Times New Roman"/>
        </w:rPr>
        <w:t>《</w:t>
      </w:r>
      <w:r w:rsidR="00BB095F" w:rsidRPr="00587609">
        <w:rPr>
          <w:rFonts w:ascii="Times New Roman" w:cs="Times New Roman"/>
        </w:rPr>
        <w:t>中华人民共和国证券投资基金法</w:t>
      </w:r>
      <w:r w:rsidR="00BB095F" w:rsidRPr="007C7AB3">
        <w:rPr>
          <w:rFonts w:ascii="Times New Roman" w:cs="Times New Roman"/>
        </w:rPr>
        <w:t>》、</w:t>
      </w:r>
      <w:r w:rsidR="00BB095F" w:rsidRPr="00587609">
        <w:rPr>
          <w:rFonts w:ascii="Times New Roman" w:cs="Times New Roman"/>
        </w:rPr>
        <w:t>《公开募集证券投资基金运作管理办法</w:t>
      </w:r>
      <w:r w:rsidR="00BB095F" w:rsidRPr="007C7AB3">
        <w:rPr>
          <w:rFonts w:ascii="Times New Roman" w:cs="Times New Roman"/>
        </w:rPr>
        <w:t>》和</w:t>
      </w:r>
      <w:r w:rsidR="00762748">
        <w:rPr>
          <w:rFonts w:ascii="Times New Roman" w:cs="Times New Roman"/>
        </w:rPr>
        <w:t>国投瑞银融华债券型证券投资基金</w:t>
      </w:r>
      <w:r w:rsidR="0013734B">
        <w:rPr>
          <w:rFonts w:hint="eastAsia"/>
        </w:rPr>
        <w:t>（以下简称“本基金”）</w:t>
      </w:r>
      <w:r w:rsidR="00BB095F" w:rsidRPr="00587609">
        <w:rPr>
          <w:rFonts w:ascii="Times New Roman" w:cs="Times New Roman"/>
        </w:rPr>
        <w:t>的</w:t>
      </w:r>
      <w:r w:rsidR="0013734B">
        <w:rPr>
          <w:rFonts w:ascii="Times New Roman" w:cs="Times New Roman"/>
        </w:rPr>
        <w:t>基金合同</w:t>
      </w:r>
      <w:r w:rsidR="00BB095F" w:rsidRPr="00587609">
        <w:rPr>
          <w:rFonts w:ascii="Times New Roman" w:cs="Times New Roman"/>
        </w:rPr>
        <w:t>有关规</w:t>
      </w:r>
      <w:r w:rsidR="00BB095F" w:rsidRPr="00587609">
        <w:rPr>
          <w:rFonts w:ascii="Times New Roman" w:cs="Times New Roman"/>
          <w:spacing w:val="-1"/>
        </w:rPr>
        <w:t>定</w:t>
      </w:r>
      <w:r w:rsidR="00BB095F" w:rsidRPr="00587609">
        <w:rPr>
          <w:rFonts w:ascii="Times New Roman" w:cs="Times New Roman"/>
        </w:rPr>
        <w:t>，现将本基金基金份额持有人大会的表决结果、决议及相关事项公告如下：</w:t>
      </w:r>
    </w:p>
    <w:p w:rsidR="00BB095F" w:rsidRPr="00587609" w:rsidRDefault="00BB095F" w:rsidP="00FB1569">
      <w:pPr>
        <w:kinsoku w:val="0"/>
        <w:overflowPunct w:val="0"/>
        <w:adjustRightInd/>
        <w:spacing w:line="360" w:lineRule="auto"/>
        <w:rPr>
          <w:sz w:val="10"/>
          <w:szCs w:val="10"/>
        </w:rPr>
      </w:pPr>
    </w:p>
    <w:p w:rsidR="00C916DF" w:rsidRPr="00587609" w:rsidRDefault="00BB095F" w:rsidP="00FB1569">
      <w:pPr>
        <w:pStyle w:val="a3"/>
        <w:kinsoku w:val="0"/>
        <w:overflowPunct w:val="0"/>
        <w:adjustRightInd/>
        <w:spacing w:line="360" w:lineRule="auto"/>
        <w:ind w:left="0" w:firstLineChars="200" w:firstLine="480"/>
        <w:outlineLvl w:val="0"/>
        <w:rPr>
          <w:rFonts w:ascii="Times New Roman" w:cs="Times New Roman"/>
          <w:b/>
        </w:rPr>
      </w:pPr>
      <w:r w:rsidRPr="00587609">
        <w:rPr>
          <w:rFonts w:ascii="Times New Roman" w:cs="Times New Roman"/>
          <w:b/>
        </w:rPr>
        <w:t>一</w:t>
      </w:r>
      <w:r w:rsidRPr="00587609">
        <w:rPr>
          <w:rFonts w:ascii="Times New Roman" w:cs="Times New Roman"/>
          <w:b/>
          <w:spacing w:val="2"/>
        </w:rPr>
        <w:t>、</w:t>
      </w:r>
      <w:r w:rsidRPr="00587609">
        <w:rPr>
          <w:rFonts w:ascii="Times New Roman" w:cs="Times New Roman"/>
          <w:b/>
        </w:rPr>
        <w:t>基</w:t>
      </w:r>
      <w:r w:rsidRPr="00587609">
        <w:rPr>
          <w:rFonts w:ascii="Times New Roman" w:cs="Times New Roman"/>
          <w:b/>
          <w:spacing w:val="2"/>
        </w:rPr>
        <w:t>金</w:t>
      </w:r>
      <w:r w:rsidRPr="00587609">
        <w:rPr>
          <w:rFonts w:ascii="Times New Roman" w:cs="Times New Roman"/>
          <w:b/>
        </w:rPr>
        <w:t>份额</w:t>
      </w:r>
      <w:r w:rsidRPr="00587609">
        <w:rPr>
          <w:rFonts w:ascii="Times New Roman" w:cs="Times New Roman"/>
          <w:b/>
          <w:spacing w:val="2"/>
        </w:rPr>
        <w:t>持</w:t>
      </w:r>
      <w:r w:rsidRPr="00587609">
        <w:rPr>
          <w:rFonts w:ascii="Times New Roman" w:cs="Times New Roman"/>
          <w:b/>
        </w:rPr>
        <w:t>有</w:t>
      </w:r>
      <w:r w:rsidRPr="00587609">
        <w:rPr>
          <w:rFonts w:ascii="Times New Roman" w:cs="Times New Roman"/>
          <w:b/>
          <w:spacing w:val="2"/>
        </w:rPr>
        <w:t>人</w:t>
      </w:r>
      <w:r w:rsidRPr="00587609">
        <w:rPr>
          <w:rFonts w:ascii="Times New Roman" w:cs="Times New Roman"/>
          <w:b/>
        </w:rPr>
        <w:t>大会</w:t>
      </w:r>
      <w:r w:rsidRPr="00587609">
        <w:rPr>
          <w:rFonts w:ascii="Times New Roman" w:cs="Times New Roman"/>
          <w:b/>
          <w:spacing w:val="2"/>
        </w:rPr>
        <w:t>会</w:t>
      </w:r>
      <w:r w:rsidRPr="00587609">
        <w:rPr>
          <w:rFonts w:ascii="Times New Roman" w:cs="Times New Roman"/>
          <w:b/>
        </w:rPr>
        <w:t>议情况</w:t>
      </w:r>
      <w:r w:rsidRPr="00587609">
        <w:rPr>
          <w:rFonts w:ascii="Times New Roman" w:cs="Times New Roman"/>
          <w:b/>
        </w:rPr>
        <w:t xml:space="preserve"> </w:t>
      </w:r>
    </w:p>
    <w:p w:rsidR="00EF1AEA" w:rsidRPr="00587609" w:rsidRDefault="00723365" w:rsidP="00EF1AEA">
      <w:pPr>
        <w:widowControl/>
        <w:adjustRightInd/>
        <w:spacing w:line="360" w:lineRule="auto"/>
        <w:ind w:firstLineChars="200" w:firstLine="480"/>
        <w:jc w:val="both"/>
        <w:rPr>
          <w:rFonts w:hint="eastAsia"/>
        </w:rPr>
      </w:pPr>
      <w:r w:rsidRPr="00587609">
        <w:t>国投瑞银基金管理有限公司（以下简称</w:t>
      </w:r>
      <w:r w:rsidRPr="00587609">
        <w:rPr>
          <w:rFonts w:hint="eastAsia"/>
        </w:rPr>
        <w:t>“</w:t>
      </w:r>
      <w:r w:rsidRPr="00587609">
        <w:t>本公司</w:t>
      </w:r>
      <w:r w:rsidRPr="00587609">
        <w:rPr>
          <w:rFonts w:hint="eastAsia"/>
        </w:rPr>
        <w:t>”</w:t>
      </w:r>
      <w:r w:rsidRPr="00587609">
        <w:t>）旗下</w:t>
      </w:r>
      <w:r w:rsidR="00762748">
        <w:t>国投瑞银融华债券型证券投资基金</w:t>
      </w:r>
      <w:r w:rsidRPr="00587609">
        <w:t>以通讯方式召开了基金份额持有人大会，</w:t>
      </w:r>
      <w:r w:rsidR="00AC27D1" w:rsidRPr="00AC27D1">
        <w:rPr>
          <w:rFonts w:hint="eastAsia"/>
        </w:rPr>
        <w:t>投票时间为</w:t>
      </w:r>
      <w:r w:rsidR="00762748" w:rsidRPr="00762748">
        <w:rPr>
          <w:rFonts w:hint="eastAsia"/>
        </w:rPr>
        <w:t>2025</w:t>
      </w:r>
      <w:r w:rsidR="00762748" w:rsidRPr="00762748">
        <w:rPr>
          <w:rFonts w:hint="eastAsia"/>
        </w:rPr>
        <w:t>年</w:t>
      </w:r>
      <w:r w:rsidR="00762748" w:rsidRPr="00762748">
        <w:rPr>
          <w:rFonts w:hint="eastAsia"/>
        </w:rPr>
        <w:t>3</w:t>
      </w:r>
      <w:r w:rsidR="00762748" w:rsidRPr="00762748">
        <w:rPr>
          <w:rFonts w:hint="eastAsia"/>
        </w:rPr>
        <w:t>月</w:t>
      </w:r>
      <w:r w:rsidR="00762748" w:rsidRPr="00762748">
        <w:rPr>
          <w:rFonts w:hint="eastAsia"/>
        </w:rPr>
        <w:t>21</w:t>
      </w:r>
      <w:r w:rsidR="00762748" w:rsidRPr="00762748">
        <w:rPr>
          <w:rFonts w:hint="eastAsia"/>
        </w:rPr>
        <w:t>日</w:t>
      </w:r>
      <w:r w:rsidR="00AC27D1" w:rsidRPr="00587609">
        <w:t>至</w:t>
      </w:r>
      <w:r w:rsidR="00762748" w:rsidRPr="00762748">
        <w:rPr>
          <w:rFonts w:hint="eastAsia"/>
        </w:rPr>
        <w:t>2025</w:t>
      </w:r>
      <w:r w:rsidR="00762748" w:rsidRPr="00762748">
        <w:rPr>
          <w:rFonts w:hint="eastAsia"/>
        </w:rPr>
        <w:t>年</w:t>
      </w:r>
      <w:r w:rsidR="00762748" w:rsidRPr="00762748">
        <w:rPr>
          <w:rFonts w:hint="eastAsia"/>
        </w:rPr>
        <w:t>4</w:t>
      </w:r>
      <w:r w:rsidR="00762748" w:rsidRPr="00762748">
        <w:rPr>
          <w:rFonts w:hint="eastAsia"/>
        </w:rPr>
        <w:t>月</w:t>
      </w:r>
      <w:r w:rsidR="00762748" w:rsidRPr="00762748">
        <w:rPr>
          <w:rFonts w:hint="eastAsia"/>
        </w:rPr>
        <w:t>21</w:t>
      </w:r>
      <w:r w:rsidR="00762748" w:rsidRPr="00762748">
        <w:rPr>
          <w:rFonts w:hint="eastAsia"/>
        </w:rPr>
        <w:t>日</w:t>
      </w:r>
      <w:r w:rsidR="00762748" w:rsidRPr="00762748">
        <w:rPr>
          <w:rFonts w:hint="eastAsia"/>
        </w:rPr>
        <w:t>17:00</w:t>
      </w:r>
      <w:r w:rsidR="00AC27D1">
        <w:rPr>
          <w:rFonts w:hint="eastAsia"/>
        </w:rPr>
        <w:t>止</w:t>
      </w:r>
      <w:r w:rsidR="00AC27D1">
        <w:t>，</w:t>
      </w:r>
      <w:r w:rsidRPr="00587609">
        <w:t>会议审议并通过了《</w:t>
      </w:r>
      <w:r w:rsidR="00762748">
        <w:rPr>
          <w:rFonts w:hAnsi="宋体" w:hint="eastAsia"/>
          <w:szCs w:val="23"/>
        </w:rPr>
        <w:t>关于国投瑞银融华债券型证券投资基金调整赎回费率有关事项的议案</w:t>
      </w:r>
      <w:r w:rsidRPr="00587609">
        <w:t>》（以下简称</w:t>
      </w:r>
      <w:r w:rsidRPr="00587609">
        <w:rPr>
          <w:rFonts w:hint="eastAsia"/>
        </w:rPr>
        <w:t>“</w:t>
      </w:r>
      <w:r w:rsidRPr="00587609">
        <w:t>本次会议议案</w:t>
      </w:r>
      <w:r w:rsidRPr="00587609">
        <w:rPr>
          <w:rFonts w:hint="eastAsia"/>
        </w:rPr>
        <w:t>”</w:t>
      </w:r>
      <w:r w:rsidRPr="00587609">
        <w:t>）。</w:t>
      </w:r>
    </w:p>
    <w:p w:rsidR="002C1522" w:rsidRPr="00587609" w:rsidRDefault="002C1522" w:rsidP="00EF1AEA">
      <w:pPr>
        <w:widowControl/>
        <w:adjustRightInd/>
        <w:spacing w:line="360" w:lineRule="auto"/>
        <w:ind w:firstLineChars="200" w:firstLine="480"/>
        <w:jc w:val="both"/>
      </w:pPr>
      <w:r w:rsidRPr="00587609">
        <w:t>本次基金份额持有人大会权益登记日为</w:t>
      </w:r>
      <w:r w:rsidR="00762748" w:rsidRPr="00762748">
        <w:rPr>
          <w:rFonts w:hint="eastAsia"/>
        </w:rPr>
        <w:t>2025</w:t>
      </w:r>
      <w:r w:rsidR="00762748" w:rsidRPr="00762748">
        <w:rPr>
          <w:rFonts w:hint="eastAsia"/>
        </w:rPr>
        <w:t>年</w:t>
      </w:r>
      <w:r w:rsidR="00762748" w:rsidRPr="00762748">
        <w:rPr>
          <w:rFonts w:hint="eastAsia"/>
        </w:rPr>
        <w:t>3</w:t>
      </w:r>
      <w:r w:rsidR="00762748" w:rsidRPr="00762748">
        <w:rPr>
          <w:rFonts w:hint="eastAsia"/>
        </w:rPr>
        <w:t>月</w:t>
      </w:r>
      <w:r w:rsidR="00762748" w:rsidRPr="00762748">
        <w:rPr>
          <w:rFonts w:hint="eastAsia"/>
        </w:rPr>
        <w:t>21</w:t>
      </w:r>
      <w:r w:rsidR="00762748" w:rsidRPr="00762748">
        <w:rPr>
          <w:rFonts w:hint="eastAsia"/>
        </w:rPr>
        <w:t>日</w:t>
      </w:r>
      <w:r w:rsidRPr="00587609">
        <w:t>，权益登记日本基金总份额为</w:t>
      </w:r>
      <w:r w:rsidR="00D00CBD" w:rsidRPr="00D00CBD">
        <w:t>898,352,633.29</w:t>
      </w:r>
      <w:r w:rsidRPr="00587609">
        <w:t>份</w:t>
      </w:r>
      <w:r w:rsidRPr="00587609">
        <w:rPr>
          <w:rFonts w:hint="eastAsia"/>
        </w:rPr>
        <w:t>，</w:t>
      </w:r>
      <w:r w:rsidR="0099677E">
        <w:rPr>
          <w:rFonts w:hint="eastAsia"/>
        </w:rPr>
        <w:t>参加</w:t>
      </w:r>
      <w:r w:rsidRPr="00587609">
        <w:t>本次基金份额持有人大会的基金份额持有人或其代理人所持基金份额共计</w:t>
      </w:r>
      <w:r w:rsidR="00272CA7" w:rsidRPr="00272CA7">
        <w:t>782,049,664.23</w:t>
      </w:r>
      <w:r w:rsidRPr="00587609">
        <w:t>份，占权益登记日基金总份额的</w:t>
      </w:r>
      <w:r w:rsidR="00272CA7">
        <w:t>87.05</w:t>
      </w:r>
      <w:r w:rsidR="00F313F1" w:rsidRPr="00587609">
        <w:t>%</w:t>
      </w:r>
      <w:r w:rsidRPr="00587609">
        <w:t>，超过了权益登记日基金总份额的</w:t>
      </w:r>
      <w:r w:rsidR="007776C7">
        <w:rPr>
          <w:rFonts w:hint="eastAsia"/>
        </w:rPr>
        <w:t>50%</w:t>
      </w:r>
      <w:r w:rsidRPr="00587609">
        <w:rPr>
          <w:rFonts w:hint="eastAsia"/>
        </w:rPr>
        <w:t>，</w:t>
      </w:r>
      <w:r w:rsidRPr="00587609">
        <w:t>符合《中华人民共和国证券投资基金法》、《公开募集证券投资基金运作管理办法》和</w:t>
      </w:r>
      <w:r w:rsidR="00816358">
        <w:rPr>
          <w:rFonts w:hint="eastAsia"/>
        </w:rPr>
        <w:t>《</w:t>
      </w:r>
      <w:r w:rsidR="00762748">
        <w:t>国投瑞银融华债券型证券投资基金</w:t>
      </w:r>
      <w:r w:rsidR="00816358">
        <w:t>基金合同</w:t>
      </w:r>
      <w:r w:rsidR="00816358">
        <w:rPr>
          <w:rFonts w:hint="eastAsia"/>
        </w:rPr>
        <w:t>》（以下简称“</w:t>
      </w:r>
      <w:r w:rsidR="00816358">
        <w:t>基金合同</w:t>
      </w:r>
      <w:r w:rsidR="00816358">
        <w:rPr>
          <w:rFonts w:hint="eastAsia"/>
        </w:rPr>
        <w:t>”）</w:t>
      </w:r>
      <w:r w:rsidRPr="00587609">
        <w:t>规定的有关基金份额持有人大会的召开条件。</w:t>
      </w:r>
    </w:p>
    <w:p w:rsidR="00EF1AEA" w:rsidRPr="00587609" w:rsidRDefault="00EF1AEA" w:rsidP="004F5D0A">
      <w:pPr>
        <w:pStyle w:val="Default"/>
        <w:adjustRightInd/>
        <w:spacing w:line="360" w:lineRule="auto"/>
        <w:ind w:firstLineChars="200" w:firstLine="480"/>
        <w:jc w:val="both"/>
        <w:rPr>
          <w:rFonts w:ascii="Times New Roman" w:hAnsi="Times New Roman" w:cs="Times New Roman"/>
        </w:rPr>
      </w:pPr>
      <w:r w:rsidRPr="00587609">
        <w:rPr>
          <w:rFonts w:ascii="Times New Roman" w:hAnsi="Times New Roman" w:cs="Times New Roman"/>
          <w:color w:val="auto"/>
        </w:rPr>
        <w:t>基金份额持有人大会审议了本次会议议案，并由参加会议的基金份额持有人</w:t>
      </w:r>
      <w:r w:rsidRPr="00587609">
        <w:rPr>
          <w:rFonts w:ascii="Times New Roman" w:hAnsi="Times New Roman" w:cs="Times New Roman"/>
        </w:rPr>
        <w:t>或其代理人</w:t>
      </w:r>
      <w:r w:rsidRPr="00587609">
        <w:rPr>
          <w:rFonts w:ascii="Times New Roman" w:hAnsi="Times New Roman" w:cs="Times New Roman"/>
          <w:color w:val="auto"/>
        </w:rPr>
        <w:t>对本次会议议案进行表决，表决结果为：同意本次会议议案的基金份额为</w:t>
      </w:r>
      <w:r w:rsidR="00272CA7" w:rsidRPr="00272CA7">
        <w:rPr>
          <w:rFonts w:ascii="Times New Roman" w:hAnsi="Times New Roman" w:cs="Times New Roman"/>
          <w:color w:val="auto"/>
        </w:rPr>
        <w:t>782,049,664.23</w:t>
      </w:r>
      <w:r w:rsidRPr="00587609">
        <w:rPr>
          <w:rFonts w:ascii="Times New Roman" w:hAnsi="Times New Roman" w:cs="Times New Roman"/>
        </w:rPr>
        <w:t>份</w:t>
      </w:r>
      <w:r w:rsidRPr="00587609">
        <w:rPr>
          <w:rFonts w:ascii="Times New Roman" w:hAnsi="Times New Roman" w:cs="Times New Roman"/>
          <w:color w:val="auto"/>
        </w:rPr>
        <w:t>，占参加本次基金份额持有人大会的基金份额持有人</w:t>
      </w:r>
      <w:r w:rsidRPr="00587609">
        <w:rPr>
          <w:rFonts w:ascii="Times New Roman" w:hAnsi="Times New Roman" w:cs="Times New Roman"/>
        </w:rPr>
        <w:t>（或其代理人）</w:t>
      </w:r>
      <w:r w:rsidRPr="00587609">
        <w:rPr>
          <w:rFonts w:ascii="Times New Roman" w:hAnsi="Times New Roman" w:cs="Times New Roman"/>
          <w:color w:val="auto"/>
        </w:rPr>
        <w:t>所持份额的</w:t>
      </w:r>
      <w:r w:rsidR="00962CCF" w:rsidRPr="00587609">
        <w:rPr>
          <w:rFonts w:ascii="Times New Roman" w:hAnsi="Times New Roman" w:cs="Times New Roman" w:hint="eastAsia"/>
          <w:color w:val="auto"/>
        </w:rPr>
        <w:t>100.00</w:t>
      </w:r>
      <w:r w:rsidR="00962CCF" w:rsidRPr="00587609">
        <w:rPr>
          <w:rFonts w:ascii="Times New Roman" w:hAnsi="Times New Roman" w:cs="Times New Roman"/>
          <w:color w:val="auto"/>
        </w:rPr>
        <w:t>%</w:t>
      </w:r>
      <w:r w:rsidRPr="00587609">
        <w:rPr>
          <w:rFonts w:ascii="Times New Roman" w:hAnsi="Times New Roman" w:cs="Times New Roman"/>
          <w:color w:val="auto"/>
        </w:rPr>
        <w:t>；反对本次会议议案的基金份额为</w:t>
      </w:r>
      <w:r w:rsidRPr="001A6F17">
        <w:rPr>
          <w:rFonts w:ascii="Times New Roman" w:hAnsi="Times New Roman" w:cs="Times New Roman" w:hint="eastAsia"/>
          <w:color w:val="auto"/>
        </w:rPr>
        <w:t>0</w:t>
      </w:r>
      <w:r w:rsidR="00FB0CF1" w:rsidRPr="001A6F17">
        <w:rPr>
          <w:rFonts w:ascii="Times New Roman" w:hAnsi="Times New Roman" w:cs="Times New Roman" w:hint="eastAsia"/>
          <w:color w:val="auto"/>
        </w:rPr>
        <w:t>.</w:t>
      </w:r>
      <w:r w:rsidR="00FB0CF1" w:rsidRPr="001A6F17">
        <w:rPr>
          <w:rFonts w:ascii="Times New Roman" w:hAnsi="Times New Roman" w:cs="Times New Roman"/>
          <w:color w:val="auto"/>
        </w:rPr>
        <w:t>00</w:t>
      </w:r>
      <w:r w:rsidRPr="00587609">
        <w:rPr>
          <w:rFonts w:ascii="Times New Roman" w:hAnsi="Times New Roman" w:cs="Times New Roman"/>
          <w:color w:val="auto"/>
        </w:rPr>
        <w:t>份，占参加本次基金份额持有人大会的基金份额持有人</w:t>
      </w:r>
      <w:r w:rsidRPr="00587609">
        <w:rPr>
          <w:rFonts w:ascii="Times New Roman" w:hAnsi="Times New Roman" w:cs="Times New Roman"/>
        </w:rPr>
        <w:t>（或其代理人）</w:t>
      </w:r>
      <w:r w:rsidRPr="00587609">
        <w:rPr>
          <w:rFonts w:ascii="Times New Roman" w:hAnsi="Times New Roman" w:cs="Times New Roman"/>
          <w:color w:val="auto"/>
        </w:rPr>
        <w:t>所持份额的</w:t>
      </w:r>
      <w:r w:rsidRPr="00587609">
        <w:rPr>
          <w:rFonts w:hint="eastAsia"/>
        </w:rPr>
        <w:t>0</w:t>
      </w:r>
      <w:r w:rsidR="00FB0CF1">
        <w:rPr>
          <w:rFonts w:hint="eastAsia"/>
        </w:rPr>
        <w:t>.</w:t>
      </w:r>
      <w:r w:rsidR="00FB0CF1">
        <w:t>00</w:t>
      </w:r>
      <w:r w:rsidRPr="00587609">
        <w:rPr>
          <w:rFonts w:ascii="Times New Roman" w:hAnsi="Times New Roman" w:cs="Times New Roman"/>
          <w:color w:val="auto"/>
        </w:rPr>
        <w:t>%</w:t>
      </w:r>
      <w:r w:rsidRPr="00587609">
        <w:rPr>
          <w:rFonts w:ascii="Times New Roman" w:hAnsi="Times New Roman" w:cs="Times New Roman"/>
          <w:color w:val="auto"/>
        </w:rPr>
        <w:t>；弃权份额为</w:t>
      </w:r>
      <w:r w:rsidRPr="001A6F17">
        <w:rPr>
          <w:rFonts w:ascii="Times New Roman" w:hAnsi="Times New Roman" w:cs="Times New Roman" w:hint="eastAsia"/>
          <w:color w:val="auto"/>
        </w:rPr>
        <w:t>0</w:t>
      </w:r>
      <w:r w:rsidR="00FB0CF1" w:rsidRPr="001A6F17">
        <w:rPr>
          <w:rFonts w:ascii="Times New Roman" w:hAnsi="Times New Roman" w:cs="Times New Roman" w:hint="eastAsia"/>
          <w:color w:val="auto"/>
        </w:rPr>
        <w:t>.</w:t>
      </w:r>
      <w:r w:rsidR="00FB0CF1" w:rsidRPr="001A6F17">
        <w:rPr>
          <w:rFonts w:ascii="Times New Roman" w:hAnsi="Times New Roman" w:cs="Times New Roman"/>
          <w:color w:val="auto"/>
        </w:rPr>
        <w:t>00</w:t>
      </w:r>
      <w:r w:rsidRPr="00587609">
        <w:rPr>
          <w:rFonts w:ascii="Times New Roman" w:hAnsi="Times New Roman" w:cs="Times New Roman"/>
          <w:color w:val="auto"/>
        </w:rPr>
        <w:t>份，占参加本次基金份额持有人大会的基金份额持有人</w:t>
      </w:r>
      <w:r w:rsidRPr="00587609">
        <w:rPr>
          <w:rFonts w:ascii="Times New Roman" w:hAnsi="Times New Roman" w:cs="Times New Roman"/>
        </w:rPr>
        <w:t>（或其代理人）</w:t>
      </w:r>
      <w:r w:rsidRPr="00587609">
        <w:rPr>
          <w:rFonts w:ascii="Times New Roman" w:hAnsi="Times New Roman" w:cs="Times New Roman"/>
          <w:color w:val="auto"/>
        </w:rPr>
        <w:t>所持份额的</w:t>
      </w:r>
      <w:r w:rsidRPr="00587609">
        <w:rPr>
          <w:rFonts w:hint="eastAsia"/>
        </w:rPr>
        <w:t>0</w:t>
      </w:r>
      <w:r w:rsidR="00FB0CF1">
        <w:rPr>
          <w:rFonts w:hint="eastAsia"/>
        </w:rPr>
        <w:t>.</w:t>
      </w:r>
      <w:r w:rsidR="00FB0CF1">
        <w:t>00</w:t>
      </w:r>
      <w:r w:rsidRPr="00587609">
        <w:rPr>
          <w:rFonts w:ascii="Times New Roman" w:hAnsi="Times New Roman" w:cs="Times New Roman"/>
          <w:color w:val="auto"/>
        </w:rPr>
        <w:t>%</w:t>
      </w:r>
      <w:r w:rsidRPr="00587609">
        <w:rPr>
          <w:rFonts w:ascii="Times New Roman" w:hAnsi="Times New Roman" w:cs="Times New Roman"/>
          <w:color w:val="auto"/>
        </w:rPr>
        <w:t>。同意本次会议议案的基金份额</w:t>
      </w:r>
      <w:r w:rsidRPr="00587609">
        <w:rPr>
          <w:rFonts w:ascii="Times New Roman" w:hAnsi="Times New Roman" w:cs="Times New Roman"/>
        </w:rPr>
        <w:t>达到参加本次基金份额持有人大会的基金份额持有人（或其代理人）所持基金份额总数的</w:t>
      </w:r>
      <w:r w:rsidR="00B253A0">
        <w:rPr>
          <w:rFonts w:ascii="Times New Roman" w:hAnsi="Times New Roman" w:cs="Times New Roman" w:hint="eastAsia"/>
          <w:color w:val="auto"/>
        </w:rPr>
        <w:t>二</w:t>
      </w:r>
      <w:r w:rsidRPr="00587609">
        <w:rPr>
          <w:rFonts w:ascii="Times New Roman" w:hAnsi="Times New Roman" w:cs="Times New Roman" w:hint="eastAsia"/>
          <w:color w:val="auto"/>
        </w:rPr>
        <w:t>分之</w:t>
      </w:r>
      <w:r w:rsidR="00B253A0">
        <w:rPr>
          <w:rFonts w:ascii="Times New Roman" w:hAnsi="Times New Roman" w:cs="Times New Roman" w:hint="eastAsia"/>
          <w:color w:val="auto"/>
        </w:rPr>
        <w:t>一</w:t>
      </w:r>
      <w:r w:rsidRPr="00587609">
        <w:rPr>
          <w:rFonts w:ascii="Times New Roman" w:hAnsi="Times New Roman" w:cs="Times New Roman"/>
        </w:rPr>
        <w:t>以上，</w:t>
      </w:r>
      <w:r w:rsidRPr="00587609">
        <w:rPr>
          <w:rFonts w:ascii="Times New Roman" w:hAnsi="Times New Roman" w:cs="Times New Roman"/>
          <w:color w:val="auto"/>
        </w:rPr>
        <w:t>满足法定条件，</w:t>
      </w:r>
      <w:r w:rsidRPr="00587609">
        <w:rPr>
          <w:rFonts w:ascii="Times New Roman" w:hAnsi="Times New Roman" w:cs="Times New Roman"/>
        </w:rPr>
        <w:t>符合《中华人民共和国证券投资基金法》、《公开募集证券投资基金运作管理办法》和</w:t>
      </w:r>
      <w:r w:rsidR="0013734B">
        <w:rPr>
          <w:rFonts w:hint="eastAsia"/>
        </w:rPr>
        <w:t>本</w:t>
      </w:r>
      <w:r w:rsidR="0013734B">
        <w:t>基金基金合同</w:t>
      </w:r>
      <w:r w:rsidRPr="00587609">
        <w:rPr>
          <w:rFonts w:ascii="Times New Roman" w:hAnsi="Times New Roman" w:cs="Times New Roman"/>
        </w:rPr>
        <w:t>的有关规定，本次会议议案获得通过。</w:t>
      </w:r>
    </w:p>
    <w:p w:rsidR="00EF1AEA" w:rsidRPr="00587609" w:rsidRDefault="00EF1AEA" w:rsidP="00EF1AEA">
      <w:pPr>
        <w:pStyle w:val="a3"/>
        <w:kinsoku w:val="0"/>
        <w:overflowPunct w:val="0"/>
        <w:adjustRightInd/>
        <w:spacing w:line="360" w:lineRule="auto"/>
        <w:ind w:left="0" w:firstLine="480"/>
        <w:jc w:val="both"/>
        <w:rPr>
          <w:rFonts w:ascii="Times New Roman" w:cs="Times New Roman"/>
        </w:rPr>
      </w:pPr>
      <w:r w:rsidRPr="00587609">
        <w:t>本次</w:t>
      </w:r>
      <w:r w:rsidR="00390EBD" w:rsidRPr="00587609">
        <w:t>基金份额</w:t>
      </w:r>
      <w:r w:rsidRPr="00587609">
        <w:t>持有人大会的计票于</w:t>
      </w:r>
      <w:r w:rsidR="00D00CBD" w:rsidRPr="001A6F17">
        <w:rPr>
          <w:rFonts w:ascii="Times New Roman" w:cs="Times New Roman"/>
        </w:rPr>
        <w:t>2025</w:t>
      </w:r>
      <w:r w:rsidRPr="001A6F17">
        <w:rPr>
          <w:rFonts w:ascii="Times New Roman" w:cs="Times New Roman"/>
        </w:rPr>
        <w:t>年</w:t>
      </w:r>
      <w:r w:rsidR="00D00CBD" w:rsidRPr="001A6F17">
        <w:rPr>
          <w:rFonts w:ascii="Times New Roman" w:cs="Times New Roman"/>
        </w:rPr>
        <w:t>4</w:t>
      </w:r>
      <w:r w:rsidRPr="001A6F17">
        <w:rPr>
          <w:rFonts w:ascii="Times New Roman" w:cs="Times New Roman"/>
        </w:rPr>
        <w:t>月</w:t>
      </w:r>
      <w:r w:rsidR="00D00CBD" w:rsidRPr="001A6F17">
        <w:rPr>
          <w:rFonts w:ascii="Times New Roman" w:cs="Times New Roman"/>
        </w:rPr>
        <w:t>22</w:t>
      </w:r>
      <w:r w:rsidRPr="001A6F17">
        <w:rPr>
          <w:rFonts w:ascii="Times New Roman" w:cs="Times New Roman"/>
        </w:rPr>
        <w:t>日上午</w:t>
      </w:r>
      <w:r w:rsidRPr="001A6F17">
        <w:rPr>
          <w:rFonts w:ascii="Times New Roman" w:cs="Times New Roman" w:hint="eastAsia"/>
        </w:rPr>
        <w:t>10:00</w:t>
      </w:r>
      <w:r w:rsidRPr="001A6F17">
        <w:rPr>
          <w:rFonts w:ascii="Times New Roman" w:cs="Times New Roman"/>
        </w:rPr>
        <w:t>在</w:t>
      </w:r>
      <w:r w:rsidRPr="00587609">
        <w:t>本基金的基金</w:t>
      </w:r>
      <w:r w:rsidRPr="00587609">
        <w:lastRenderedPageBreak/>
        <w:t>托管人</w:t>
      </w:r>
      <w:r w:rsidR="007776C7">
        <w:t>中国</w:t>
      </w:r>
      <w:r w:rsidR="00D00CBD">
        <w:rPr>
          <w:rFonts w:hint="eastAsia"/>
        </w:rPr>
        <w:t>光大</w:t>
      </w:r>
      <w:r w:rsidR="007776C7">
        <w:t>银行</w:t>
      </w:r>
      <w:r w:rsidRPr="00587609">
        <w:t>股份有限公司授权代表的监督下进行，并由北京市长安公证处对计票过程及结果进行了公证，上海源泰律师事务所就基金份额持有人大会过程及结果出具了法律意见。本次基金份额持有人大会</w:t>
      </w:r>
      <w:r w:rsidRPr="00587609">
        <w:rPr>
          <w:rFonts w:hint="eastAsia"/>
        </w:rPr>
        <w:t>的公证费、律师费</w:t>
      </w:r>
      <w:r w:rsidRPr="00587609">
        <w:t>由</w:t>
      </w:r>
      <w:r w:rsidR="00B253A0">
        <w:rPr>
          <w:rFonts w:hint="eastAsia"/>
        </w:rPr>
        <w:t>本基金</w:t>
      </w:r>
      <w:r w:rsidR="00B253A0">
        <w:t>基金资产</w:t>
      </w:r>
      <w:r w:rsidRPr="00587609">
        <w:t>承担</w:t>
      </w:r>
      <w:r w:rsidRPr="00587609">
        <w:rPr>
          <w:rFonts w:ascii="Times New Roman" w:cs="Times New Roman" w:hint="eastAsia"/>
        </w:rPr>
        <w:t>，</w:t>
      </w:r>
      <w:r w:rsidRPr="00587609">
        <w:rPr>
          <w:rFonts w:ascii="Times New Roman" w:cs="Times New Roman"/>
        </w:rPr>
        <w:t>费用明细如下表所示：</w:t>
      </w:r>
    </w:p>
    <w:p w:rsidR="00435702" w:rsidRPr="00587609" w:rsidRDefault="00435702" w:rsidP="00435702">
      <w:pPr>
        <w:kinsoku w:val="0"/>
        <w:overflowPunct w:val="0"/>
        <w:adjustRightInd/>
        <w:spacing w:line="360" w:lineRule="auto"/>
        <w:rPr>
          <w:sz w:val="3"/>
          <w:szCs w:val="3"/>
        </w:rPr>
      </w:pPr>
    </w:p>
    <w:tbl>
      <w:tblPr>
        <w:tblW w:w="0" w:type="auto"/>
        <w:tblInd w:w="358" w:type="dxa"/>
        <w:tblLayout w:type="fixed"/>
        <w:tblCellMar>
          <w:left w:w="0" w:type="dxa"/>
          <w:right w:w="0" w:type="dxa"/>
        </w:tblCellMar>
        <w:tblLook w:val="0000"/>
      </w:tblPr>
      <w:tblGrid>
        <w:gridCol w:w="3915"/>
        <w:gridCol w:w="3915"/>
      </w:tblGrid>
      <w:tr w:rsidR="00435702" w:rsidRPr="00587609" w:rsidTr="00913B1E">
        <w:tblPrEx>
          <w:tblCellMar>
            <w:top w:w="0" w:type="dxa"/>
            <w:left w:w="0" w:type="dxa"/>
            <w:bottom w:w="0" w:type="dxa"/>
            <w:right w:w="0" w:type="dxa"/>
          </w:tblCellMar>
        </w:tblPrEx>
        <w:trPr>
          <w:trHeight w:hRule="exact" w:val="478"/>
        </w:trPr>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项目</w:t>
            </w:r>
          </w:p>
        </w:tc>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金</w:t>
            </w:r>
            <w:r w:rsidRPr="00587609">
              <w:rPr>
                <w:spacing w:val="2"/>
              </w:rPr>
              <w:t>额</w:t>
            </w:r>
            <w:r w:rsidRPr="00587609">
              <w:t>（</w:t>
            </w:r>
            <w:r w:rsidRPr="00587609">
              <w:rPr>
                <w:spacing w:val="2"/>
              </w:rPr>
              <w:t>单</w:t>
            </w:r>
            <w:r w:rsidRPr="00587609">
              <w:t>位：</w:t>
            </w:r>
            <w:r w:rsidRPr="00587609">
              <w:rPr>
                <w:spacing w:val="2"/>
              </w:rPr>
              <w:t>元</w:t>
            </w:r>
            <w:r w:rsidRPr="00587609">
              <w:t>）</w:t>
            </w:r>
          </w:p>
        </w:tc>
      </w:tr>
      <w:tr w:rsidR="00435702" w:rsidRPr="00587609" w:rsidTr="00913B1E">
        <w:tblPrEx>
          <w:tblCellMar>
            <w:top w:w="0" w:type="dxa"/>
            <w:left w:w="0" w:type="dxa"/>
            <w:bottom w:w="0" w:type="dxa"/>
            <w:right w:w="0" w:type="dxa"/>
          </w:tblCellMar>
        </w:tblPrEx>
        <w:trPr>
          <w:trHeight w:hRule="exact" w:val="478"/>
        </w:trPr>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律</w:t>
            </w:r>
            <w:r w:rsidRPr="00587609">
              <w:rPr>
                <w:spacing w:val="2"/>
              </w:rPr>
              <w:t>师</w:t>
            </w:r>
            <w:r w:rsidRPr="00587609">
              <w:t>费</w:t>
            </w:r>
          </w:p>
        </w:tc>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D00CBD" w:rsidP="00B253A0">
            <w:pPr>
              <w:pStyle w:val="TableParagraph"/>
              <w:kinsoku w:val="0"/>
              <w:overflowPunct w:val="0"/>
              <w:adjustRightInd/>
              <w:spacing w:line="360" w:lineRule="auto"/>
              <w:jc w:val="center"/>
            </w:pPr>
            <w:r>
              <w:t>25</w:t>
            </w:r>
            <w:r w:rsidR="00435702" w:rsidRPr="00587609">
              <w:t>,000</w:t>
            </w:r>
          </w:p>
        </w:tc>
      </w:tr>
      <w:tr w:rsidR="00435702" w:rsidRPr="00587609" w:rsidTr="00913B1E">
        <w:tblPrEx>
          <w:tblCellMar>
            <w:top w:w="0" w:type="dxa"/>
            <w:left w:w="0" w:type="dxa"/>
            <w:bottom w:w="0" w:type="dxa"/>
            <w:right w:w="0" w:type="dxa"/>
          </w:tblCellMar>
        </w:tblPrEx>
        <w:trPr>
          <w:trHeight w:hRule="exact" w:val="478"/>
        </w:trPr>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公</w:t>
            </w:r>
            <w:r w:rsidRPr="00587609">
              <w:rPr>
                <w:spacing w:val="2"/>
              </w:rPr>
              <w:t>证</w:t>
            </w:r>
            <w:r w:rsidRPr="00587609">
              <w:t>费</w:t>
            </w:r>
          </w:p>
        </w:tc>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10,000</w:t>
            </w:r>
          </w:p>
        </w:tc>
      </w:tr>
      <w:tr w:rsidR="00435702" w:rsidRPr="00587609" w:rsidTr="00913B1E">
        <w:tblPrEx>
          <w:tblCellMar>
            <w:top w:w="0" w:type="dxa"/>
            <w:left w:w="0" w:type="dxa"/>
            <w:bottom w:w="0" w:type="dxa"/>
            <w:right w:w="0" w:type="dxa"/>
          </w:tblCellMar>
        </w:tblPrEx>
        <w:trPr>
          <w:trHeight w:hRule="exact" w:val="478"/>
        </w:trPr>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435702" w:rsidP="00913B1E">
            <w:pPr>
              <w:pStyle w:val="TableParagraph"/>
              <w:kinsoku w:val="0"/>
              <w:overflowPunct w:val="0"/>
              <w:adjustRightInd/>
              <w:spacing w:line="360" w:lineRule="auto"/>
              <w:jc w:val="center"/>
            </w:pPr>
            <w:r w:rsidRPr="00587609">
              <w:t>合计</w:t>
            </w:r>
          </w:p>
        </w:tc>
        <w:tc>
          <w:tcPr>
            <w:tcW w:w="3915" w:type="dxa"/>
            <w:tcBorders>
              <w:top w:val="single" w:sz="4" w:space="0" w:color="000000"/>
              <w:left w:val="single" w:sz="4" w:space="0" w:color="000000"/>
              <w:bottom w:val="single" w:sz="4" w:space="0" w:color="000000"/>
              <w:right w:val="single" w:sz="4" w:space="0" w:color="000000"/>
            </w:tcBorders>
          </w:tcPr>
          <w:p w:rsidR="00435702" w:rsidRPr="00587609" w:rsidRDefault="00D00CBD" w:rsidP="00B253A0">
            <w:pPr>
              <w:pStyle w:val="TableParagraph"/>
              <w:kinsoku w:val="0"/>
              <w:overflowPunct w:val="0"/>
              <w:adjustRightInd/>
              <w:spacing w:line="360" w:lineRule="auto"/>
              <w:jc w:val="center"/>
            </w:pPr>
            <w:r>
              <w:t>35</w:t>
            </w:r>
            <w:r w:rsidR="00435702" w:rsidRPr="00587609">
              <w:t>,000</w:t>
            </w:r>
          </w:p>
        </w:tc>
      </w:tr>
    </w:tbl>
    <w:p w:rsidR="00EF25D4" w:rsidRPr="00587609" w:rsidRDefault="00EF25D4" w:rsidP="00FB1569">
      <w:pPr>
        <w:pStyle w:val="a3"/>
        <w:kinsoku w:val="0"/>
        <w:overflowPunct w:val="0"/>
        <w:adjustRightInd/>
        <w:spacing w:line="360" w:lineRule="auto"/>
        <w:ind w:left="0" w:firstLineChars="200" w:firstLine="480"/>
        <w:rPr>
          <w:rFonts w:ascii="Times New Roman" w:cs="Times New Roman"/>
        </w:rPr>
      </w:pPr>
    </w:p>
    <w:p w:rsidR="00BB095F" w:rsidRPr="00587609" w:rsidRDefault="00BB095F" w:rsidP="00FB1569">
      <w:pPr>
        <w:pStyle w:val="a3"/>
        <w:kinsoku w:val="0"/>
        <w:overflowPunct w:val="0"/>
        <w:adjustRightInd/>
        <w:spacing w:line="360" w:lineRule="auto"/>
        <w:ind w:left="0" w:firstLineChars="200" w:firstLine="480"/>
        <w:outlineLvl w:val="0"/>
        <w:rPr>
          <w:rFonts w:ascii="Times New Roman" w:cs="Times New Roman"/>
          <w:b/>
        </w:rPr>
      </w:pPr>
      <w:r w:rsidRPr="00587609">
        <w:rPr>
          <w:rFonts w:ascii="Times New Roman" w:cs="Times New Roman"/>
          <w:b/>
        </w:rPr>
        <w:t>二、基金份额持有人大会决议生效情况</w:t>
      </w:r>
    </w:p>
    <w:p w:rsidR="00BB095F" w:rsidRPr="00587609" w:rsidRDefault="00BB095F" w:rsidP="001A6F17">
      <w:pPr>
        <w:pStyle w:val="a3"/>
        <w:overflowPunct w:val="0"/>
        <w:adjustRightInd/>
        <w:spacing w:line="360" w:lineRule="auto"/>
        <w:ind w:left="0" w:firstLine="482"/>
        <w:jc w:val="both"/>
        <w:rPr>
          <w:rFonts w:ascii="Times New Roman" w:cs="Times New Roman"/>
        </w:rPr>
      </w:pPr>
      <w:r w:rsidRPr="00587609">
        <w:rPr>
          <w:rFonts w:ascii="Times New Roman" w:cs="Times New Roman"/>
        </w:rPr>
        <w:t>根</w:t>
      </w:r>
      <w:r w:rsidRPr="00587609">
        <w:rPr>
          <w:rFonts w:ascii="Times New Roman" w:cs="Times New Roman"/>
          <w:spacing w:val="-32"/>
        </w:rPr>
        <w:t>据</w:t>
      </w:r>
      <w:r w:rsidRPr="00587609">
        <w:rPr>
          <w:rFonts w:ascii="Times New Roman" w:cs="Times New Roman"/>
        </w:rPr>
        <w:t>《公开募集证券投资基金运作管理办法</w:t>
      </w:r>
      <w:r w:rsidRPr="00587609">
        <w:rPr>
          <w:rFonts w:ascii="Times New Roman" w:cs="Times New Roman"/>
          <w:spacing w:val="-32"/>
        </w:rPr>
        <w:t>》</w:t>
      </w:r>
      <w:r w:rsidRPr="00587609">
        <w:rPr>
          <w:rFonts w:ascii="Times New Roman" w:cs="Times New Roman"/>
        </w:rPr>
        <w:t>的规定</w:t>
      </w:r>
      <w:r w:rsidRPr="00587609">
        <w:rPr>
          <w:rFonts w:ascii="Times New Roman" w:cs="Times New Roman"/>
          <w:spacing w:val="-32"/>
        </w:rPr>
        <w:t>，</w:t>
      </w:r>
      <w:r w:rsidRPr="00587609">
        <w:rPr>
          <w:rFonts w:ascii="Times New Roman" w:cs="Times New Roman"/>
        </w:rPr>
        <w:t>基金份额持有人大会决定的事项自表决通过之日起生效</w:t>
      </w:r>
      <w:r w:rsidRPr="00587609">
        <w:rPr>
          <w:rFonts w:ascii="Times New Roman" w:cs="Times New Roman"/>
          <w:spacing w:val="-94"/>
        </w:rPr>
        <w:t>。</w:t>
      </w:r>
      <w:r w:rsidRPr="00587609">
        <w:rPr>
          <w:rFonts w:ascii="Times New Roman" w:cs="Times New Roman"/>
        </w:rPr>
        <w:t>本基金基金份额持有人大会于</w:t>
      </w:r>
      <w:r w:rsidR="00D00CBD" w:rsidRPr="001A6F17">
        <w:rPr>
          <w:rFonts w:ascii="Times New Roman" w:cs="Times New Roman"/>
        </w:rPr>
        <w:t>2025</w:t>
      </w:r>
      <w:r w:rsidR="00C30412" w:rsidRPr="001A6F17">
        <w:rPr>
          <w:rFonts w:ascii="Times New Roman" w:cs="Times New Roman"/>
        </w:rPr>
        <w:t>年</w:t>
      </w:r>
      <w:r w:rsidR="00D00CBD" w:rsidRPr="001A6F17">
        <w:rPr>
          <w:rFonts w:ascii="Times New Roman" w:cs="Times New Roman"/>
        </w:rPr>
        <w:t>4</w:t>
      </w:r>
      <w:r w:rsidR="00C30412" w:rsidRPr="001A6F17">
        <w:rPr>
          <w:rFonts w:ascii="Times New Roman" w:cs="Times New Roman"/>
        </w:rPr>
        <w:t>月</w:t>
      </w:r>
      <w:r w:rsidR="00D00CBD" w:rsidRPr="001A6F17">
        <w:rPr>
          <w:rFonts w:ascii="Times New Roman" w:cs="Times New Roman"/>
        </w:rPr>
        <w:t>22</w:t>
      </w:r>
      <w:r w:rsidR="00C30412" w:rsidRPr="001A6F17">
        <w:rPr>
          <w:rFonts w:ascii="Times New Roman" w:cs="Times New Roman"/>
        </w:rPr>
        <w:t>日</w:t>
      </w:r>
      <w:r w:rsidRPr="00587609">
        <w:rPr>
          <w:rFonts w:ascii="Times New Roman" w:cs="Times New Roman"/>
        </w:rPr>
        <w:t>表决通过了《</w:t>
      </w:r>
      <w:r w:rsidR="00762748">
        <w:rPr>
          <w:rFonts w:hAnsi="宋体" w:hint="eastAsia"/>
          <w:szCs w:val="23"/>
        </w:rPr>
        <w:t>关于国投瑞银融华债券型证券投资基金调整赎回费率有关事项的议案</w:t>
      </w:r>
      <w:r w:rsidRPr="00587609">
        <w:rPr>
          <w:rFonts w:ascii="Times New Roman" w:cs="Times New Roman"/>
          <w:spacing w:val="-120"/>
        </w:rPr>
        <w:t>》</w:t>
      </w:r>
      <w:r w:rsidRPr="00587609">
        <w:rPr>
          <w:rFonts w:ascii="Times New Roman" w:cs="Times New Roman"/>
        </w:rPr>
        <w:t>，本次大会决议自该日起生效。基金管理人</w:t>
      </w:r>
      <w:r w:rsidR="00EF25D4" w:rsidRPr="00587609">
        <w:rPr>
          <w:rFonts w:ascii="Times New Roman" w:cs="Times New Roman"/>
        </w:rPr>
        <w:t>将</w:t>
      </w:r>
      <w:r w:rsidRPr="00587609">
        <w:rPr>
          <w:rFonts w:ascii="Times New Roman" w:cs="Times New Roman"/>
        </w:rPr>
        <w:t>自</w:t>
      </w:r>
      <w:r w:rsidR="00695ECA" w:rsidRPr="00587609">
        <w:rPr>
          <w:rFonts w:ascii="Times New Roman" w:cs="Times New Roman" w:hint="eastAsia"/>
        </w:rPr>
        <w:t>表决</w:t>
      </w:r>
      <w:r w:rsidRPr="00587609">
        <w:rPr>
          <w:rFonts w:ascii="Times New Roman" w:cs="Times New Roman"/>
        </w:rPr>
        <w:t>通过之日起五日内将表决通过的事项报中国证券监督管理委员会备案。</w:t>
      </w:r>
    </w:p>
    <w:p w:rsidR="00EF25D4" w:rsidRPr="00587609" w:rsidRDefault="00EF25D4" w:rsidP="00FB1569">
      <w:pPr>
        <w:pStyle w:val="a3"/>
        <w:kinsoku w:val="0"/>
        <w:overflowPunct w:val="0"/>
        <w:adjustRightInd/>
        <w:spacing w:line="360" w:lineRule="auto"/>
        <w:ind w:left="0" w:firstLine="480"/>
        <w:jc w:val="both"/>
        <w:rPr>
          <w:rFonts w:ascii="Times New Roman" w:cs="Times New Roman"/>
        </w:rPr>
      </w:pPr>
    </w:p>
    <w:p w:rsidR="00EF25D4" w:rsidRPr="00587609" w:rsidRDefault="00BB095F" w:rsidP="008B6747">
      <w:pPr>
        <w:pStyle w:val="a3"/>
        <w:kinsoku w:val="0"/>
        <w:overflowPunct w:val="0"/>
        <w:adjustRightInd/>
        <w:spacing w:line="360" w:lineRule="auto"/>
        <w:ind w:left="0" w:firstLineChars="200" w:firstLine="480"/>
        <w:outlineLvl w:val="0"/>
        <w:rPr>
          <w:rFonts w:ascii="Times New Roman" w:cs="Times New Roman"/>
          <w:b/>
        </w:rPr>
      </w:pPr>
      <w:r w:rsidRPr="00587609">
        <w:rPr>
          <w:rFonts w:ascii="Times New Roman" w:cs="Times New Roman"/>
          <w:b/>
        </w:rPr>
        <w:t>三、</w:t>
      </w:r>
      <w:r w:rsidR="00C30412" w:rsidRPr="00587609">
        <w:rPr>
          <w:rFonts w:ascii="Times New Roman" w:cs="Times New Roman"/>
          <w:b/>
        </w:rPr>
        <w:t>基金份额持有人大会决议生效</w:t>
      </w:r>
      <w:r w:rsidR="00994F2D" w:rsidRPr="00587609">
        <w:rPr>
          <w:rFonts w:hint="eastAsia"/>
          <w:b/>
        </w:rPr>
        <w:t>后续安排</w:t>
      </w:r>
      <w:r w:rsidRPr="00587609">
        <w:rPr>
          <w:b/>
        </w:rPr>
        <w:t xml:space="preserve"> </w:t>
      </w:r>
    </w:p>
    <w:p w:rsidR="00994F2D" w:rsidRDefault="00653873" w:rsidP="001A6F17">
      <w:pPr>
        <w:widowControl/>
        <w:spacing w:line="360" w:lineRule="auto"/>
        <w:ind w:firstLineChars="200" w:firstLine="480"/>
        <w:jc w:val="both"/>
      </w:pPr>
      <w:r>
        <w:rPr>
          <w:rFonts w:ascii="Simsun" w:hAnsi="Simsun" w:cs="Simsun" w:hint="eastAsia"/>
          <w:color w:val="000000"/>
        </w:rPr>
        <w:t>根据基金份额持有人大会通过的议案及议案的说明，</w:t>
      </w:r>
      <w:r w:rsidR="00C30412">
        <w:rPr>
          <w:rFonts w:ascii="Simsun" w:hAnsi="Simsun" w:cs="Simsun" w:hint="eastAsia"/>
          <w:color w:val="000000"/>
        </w:rPr>
        <w:t>基金管理人对</w:t>
      </w:r>
      <w:r w:rsidR="00C30412" w:rsidRPr="00C30412">
        <w:rPr>
          <w:rFonts w:ascii="Simsun" w:hAnsi="Simsun" w:cs="Simsun" w:hint="eastAsia"/>
          <w:color w:val="000000"/>
        </w:rPr>
        <w:t>本基金</w:t>
      </w:r>
      <w:r w:rsidR="00A32209">
        <w:rPr>
          <w:rFonts w:ascii="Simsun" w:hAnsi="Simsun" w:cs="Simsun" w:hint="eastAsia"/>
          <w:color w:val="000000"/>
        </w:rPr>
        <w:t>基金合同、</w:t>
      </w:r>
      <w:r w:rsidR="00C30412" w:rsidRPr="00C30412">
        <w:rPr>
          <w:rFonts w:ascii="Simsun" w:hAnsi="Simsun" w:cs="Simsun" w:hint="eastAsia"/>
          <w:color w:val="000000"/>
        </w:rPr>
        <w:t>招募说明书及基金产品资料概要中有关赎回费率的内容进行修改</w:t>
      </w:r>
      <w:r w:rsidR="00C30412">
        <w:rPr>
          <w:rFonts w:hint="eastAsia"/>
        </w:rPr>
        <w:t>，</w:t>
      </w:r>
      <w:r w:rsidR="00C30412">
        <w:t>修改内容自</w:t>
      </w:r>
      <w:r w:rsidR="00D00CBD">
        <w:rPr>
          <w:rFonts w:hint="eastAsia"/>
        </w:rPr>
        <w:t>2</w:t>
      </w:r>
      <w:r w:rsidR="00D00CBD">
        <w:t>025</w:t>
      </w:r>
      <w:r w:rsidR="00C30412">
        <w:t>年</w:t>
      </w:r>
      <w:r w:rsidR="00D00CBD">
        <w:t>4</w:t>
      </w:r>
      <w:r w:rsidR="00C30412">
        <w:rPr>
          <w:rFonts w:hint="eastAsia"/>
        </w:rPr>
        <w:t>月</w:t>
      </w:r>
      <w:r w:rsidR="00D00CBD">
        <w:t>23</w:t>
      </w:r>
      <w:r w:rsidR="00C30412">
        <w:t>日起正式生效</w:t>
      </w:r>
      <w:r w:rsidR="00C30412">
        <w:rPr>
          <w:rFonts w:hint="eastAsia"/>
        </w:rPr>
        <w:t>。</w:t>
      </w:r>
      <w:r w:rsidR="00C30412">
        <w:t>本基金自</w:t>
      </w:r>
      <w:r w:rsidR="00D00CBD">
        <w:rPr>
          <w:rFonts w:hint="eastAsia"/>
        </w:rPr>
        <w:t>2</w:t>
      </w:r>
      <w:r w:rsidR="00D00CBD">
        <w:t>025</w:t>
      </w:r>
      <w:r w:rsidR="00C30412">
        <w:t>年</w:t>
      </w:r>
      <w:r w:rsidR="00D00CBD">
        <w:t>4</w:t>
      </w:r>
      <w:r w:rsidR="00C30412">
        <w:rPr>
          <w:rFonts w:hint="eastAsia"/>
        </w:rPr>
        <w:t>月</w:t>
      </w:r>
      <w:r w:rsidR="00D00CBD">
        <w:t>23</w:t>
      </w:r>
      <w:r w:rsidR="00C30412">
        <w:t>日起执行调整后的赎回费率</w:t>
      </w:r>
      <w:r w:rsidR="00E6503F">
        <w:t>，</w:t>
      </w:r>
      <w:r w:rsidR="00E6503F" w:rsidRPr="00E6503F">
        <w:rPr>
          <w:rFonts w:hint="eastAsia"/>
        </w:rPr>
        <w:t>即自该日起投资者</w:t>
      </w:r>
      <w:r w:rsidR="00111C59" w:rsidRPr="00111C59">
        <w:rPr>
          <w:rFonts w:hint="eastAsia"/>
        </w:rPr>
        <w:t>提交的赎回申请</w:t>
      </w:r>
      <w:r w:rsidR="00E6503F" w:rsidRPr="00E6503F">
        <w:rPr>
          <w:rFonts w:hint="eastAsia"/>
        </w:rPr>
        <w:t>按照调整后的赎回费率收取赎回费</w:t>
      </w:r>
      <w:r w:rsidR="00C30412">
        <w:t>。</w:t>
      </w:r>
    </w:p>
    <w:p w:rsidR="000E4F13" w:rsidRPr="00587609" w:rsidRDefault="000E4F13" w:rsidP="007949E7">
      <w:pPr>
        <w:adjustRightInd/>
        <w:spacing w:line="360" w:lineRule="auto"/>
        <w:ind w:firstLineChars="200" w:firstLine="480"/>
        <w:rPr>
          <w:szCs w:val="21"/>
        </w:rPr>
      </w:pPr>
    </w:p>
    <w:p w:rsidR="008B6747" w:rsidRPr="00587609" w:rsidRDefault="008B6747" w:rsidP="00D00CBD">
      <w:pPr>
        <w:pStyle w:val="a3"/>
        <w:kinsoku w:val="0"/>
        <w:overflowPunct w:val="0"/>
        <w:adjustRightInd/>
        <w:spacing w:line="360" w:lineRule="auto"/>
        <w:ind w:left="0" w:firstLineChars="200" w:firstLine="480"/>
        <w:outlineLvl w:val="0"/>
        <w:rPr>
          <w:rFonts w:ascii="Times New Roman" w:cs="Times New Roman"/>
          <w:b/>
        </w:rPr>
      </w:pPr>
      <w:r w:rsidRPr="00587609">
        <w:rPr>
          <w:rFonts w:ascii="Times New Roman" w:cs="Times New Roman"/>
          <w:b/>
        </w:rPr>
        <w:t>四</w:t>
      </w:r>
      <w:r w:rsidR="00BB095F" w:rsidRPr="00587609">
        <w:rPr>
          <w:rFonts w:ascii="Times New Roman" w:cs="Times New Roman"/>
          <w:b/>
          <w:spacing w:val="2"/>
        </w:rPr>
        <w:t>、</w:t>
      </w:r>
      <w:r w:rsidR="00BB095F" w:rsidRPr="00587609">
        <w:rPr>
          <w:rFonts w:ascii="Times New Roman" w:cs="Times New Roman"/>
          <w:b/>
        </w:rPr>
        <w:t>备</w:t>
      </w:r>
      <w:r w:rsidR="00BB095F" w:rsidRPr="00587609">
        <w:rPr>
          <w:rFonts w:ascii="Times New Roman" w:cs="Times New Roman"/>
          <w:b/>
          <w:spacing w:val="2"/>
        </w:rPr>
        <w:t>查</w:t>
      </w:r>
      <w:r w:rsidR="00BB095F" w:rsidRPr="00587609">
        <w:rPr>
          <w:rFonts w:ascii="Times New Roman" w:cs="Times New Roman"/>
          <w:b/>
        </w:rPr>
        <w:t>文件</w:t>
      </w:r>
    </w:p>
    <w:p w:rsidR="008B6747" w:rsidRPr="00587609" w:rsidRDefault="00BB095F" w:rsidP="008B6747">
      <w:pPr>
        <w:pStyle w:val="a3"/>
        <w:kinsoku w:val="0"/>
        <w:overflowPunct w:val="0"/>
        <w:adjustRightInd/>
        <w:spacing w:line="360" w:lineRule="auto"/>
        <w:ind w:left="0" w:firstLineChars="200" w:firstLine="480"/>
        <w:rPr>
          <w:rFonts w:ascii="Times New Roman" w:cs="Times New Roman"/>
        </w:rPr>
      </w:pPr>
      <w:r w:rsidRPr="00587609">
        <w:rPr>
          <w:rFonts w:ascii="Times New Roman" w:cs="Times New Roman"/>
        </w:rPr>
        <w:t>1</w:t>
      </w:r>
      <w:r w:rsidRPr="00587609">
        <w:rPr>
          <w:rFonts w:ascii="Times New Roman" w:cs="Times New Roman"/>
        </w:rPr>
        <w:t>、</w:t>
      </w:r>
      <w:r w:rsidRPr="00587609">
        <w:rPr>
          <w:rFonts w:ascii="Times New Roman" w:cs="Times New Roman"/>
          <w:spacing w:val="2"/>
        </w:rPr>
        <w:t>《</w:t>
      </w:r>
      <w:r w:rsidR="00762748">
        <w:rPr>
          <w:szCs w:val="23"/>
        </w:rPr>
        <w:t>国投瑞银融华债券型证券投资基金</w:t>
      </w:r>
      <w:r w:rsidR="008B6747" w:rsidRPr="00587609">
        <w:rPr>
          <w:rFonts w:ascii="Times New Roman" w:cs="Times New Roman"/>
          <w:szCs w:val="23"/>
        </w:rPr>
        <w:t>召开基金</w:t>
      </w:r>
      <w:r w:rsidRPr="00587609">
        <w:rPr>
          <w:rFonts w:ascii="Times New Roman" w:cs="Times New Roman"/>
        </w:rPr>
        <w:t>份额持有人大会的公告》</w:t>
      </w:r>
      <w:r w:rsidRPr="00587609">
        <w:rPr>
          <w:rFonts w:ascii="Times New Roman" w:cs="Times New Roman"/>
        </w:rPr>
        <w:t xml:space="preserve"> </w:t>
      </w:r>
    </w:p>
    <w:p w:rsidR="008B6747" w:rsidRPr="00587609" w:rsidRDefault="00BB095F" w:rsidP="008B6747">
      <w:pPr>
        <w:pStyle w:val="a3"/>
        <w:kinsoku w:val="0"/>
        <w:overflowPunct w:val="0"/>
        <w:adjustRightInd/>
        <w:spacing w:line="360" w:lineRule="auto"/>
        <w:ind w:left="0" w:firstLineChars="200" w:firstLine="480"/>
        <w:rPr>
          <w:rFonts w:ascii="Times New Roman" w:cs="Times New Roman"/>
        </w:rPr>
      </w:pPr>
      <w:r w:rsidRPr="00587609">
        <w:rPr>
          <w:rFonts w:ascii="Times New Roman" w:cs="Times New Roman"/>
        </w:rPr>
        <w:t>2</w:t>
      </w:r>
      <w:r w:rsidRPr="00587609">
        <w:rPr>
          <w:rFonts w:ascii="Times New Roman" w:cs="Times New Roman"/>
        </w:rPr>
        <w:t>、《</w:t>
      </w:r>
      <w:r w:rsidR="00762748">
        <w:rPr>
          <w:szCs w:val="23"/>
        </w:rPr>
        <w:t>国投瑞银融华债券型证券投资基金</w:t>
      </w:r>
      <w:r w:rsidR="008B6747" w:rsidRPr="00587609">
        <w:rPr>
          <w:rFonts w:ascii="Times New Roman" w:cs="Times New Roman"/>
          <w:szCs w:val="23"/>
        </w:rPr>
        <w:t>召开基金</w:t>
      </w:r>
      <w:r w:rsidR="008B6747" w:rsidRPr="00587609">
        <w:rPr>
          <w:rFonts w:ascii="Times New Roman" w:cs="Times New Roman"/>
        </w:rPr>
        <w:t>份额持有人大会</w:t>
      </w:r>
      <w:r w:rsidRPr="00587609">
        <w:rPr>
          <w:rFonts w:ascii="Times New Roman" w:cs="Times New Roman"/>
        </w:rPr>
        <w:t>的第一次提示性</w:t>
      </w:r>
      <w:r w:rsidR="008B6747" w:rsidRPr="00587609">
        <w:rPr>
          <w:rFonts w:ascii="Times New Roman" w:cs="Times New Roman"/>
        </w:rPr>
        <w:t>公告</w:t>
      </w:r>
      <w:r w:rsidRPr="00587609">
        <w:rPr>
          <w:rFonts w:ascii="Times New Roman" w:cs="Times New Roman"/>
        </w:rPr>
        <w:t>》</w:t>
      </w:r>
      <w:r w:rsidRPr="00587609">
        <w:rPr>
          <w:rFonts w:ascii="Times New Roman" w:cs="Times New Roman"/>
        </w:rPr>
        <w:t xml:space="preserve"> </w:t>
      </w:r>
    </w:p>
    <w:p w:rsidR="008B6747" w:rsidRPr="00587609" w:rsidRDefault="00BB095F" w:rsidP="008B6747">
      <w:pPr>
        <w:pStyle w:val="a3"/>
        <w:kinsoku w:val="0"/>
        <w:overflowPunct w:val="0"/>
        <w:adjustRightInd/>
        <w:spacing w:line="360" w:lineRule="auto"/>
        <w:ind w:left="0" w:firstLineChars="200" w:firstLine="480"/>
        <w:rPr>
          <w:rFonts w:ascii="Times New Roman" w:cs="Times New Roman"/>
        </w:rPr>
      </w:pPr>
      <w:r w:rsidRPr="00587609">
        <w:rPr>
          <w:rFonts w:ascii="Times New Roman" w:cs="Times New Roman"/>
        </w:rPr>
        <w:t>3</w:t>
      </w:r>
      <w:r w:rsidRPr="00587609">
        <w:rPr>
          <w:rFonts w:ascii="Times New Roman" w:cs="Times New Roman"/>
        </w:rPr>
        <w:t>、《</w:t>
      </w:r>
      <w:r w:rsidR="00762748">
        <w:rPr>
          <w:szCs w:val="23"/>
        </w:rPr>
        <w:t>国投瑞银融华债券型证券投资基金</w:t>
      </w:r>
      <w:r w:rsidR="008B6747" w:rsidRPr="00587609">
        <w:rPr>
          <w:rFonts w:ascii="Times New Roman" w:cs="Times New Roman"/>
          <w:szCs w:val="23"/>
        </w:rPr>
        <w:t>召开基金</w:t>
      </w:r>
      <w:r w:rsidR="008B6747" w:rsidRPr="00587609">
        <w:rPr>
          <w:rFonts w:ascii="Times New Roman" w:cs="Times New Roman"/>
        </w:rPr>
        <w:t>份额持有人大会的第二次提示性公告</w:t>
      </w:r>
      <w:r w:rsidRPr="00587609">
        <w:rPr>
          <w:rFonts w:ascii="Times New Roman" w:cs="Times New Roman"/>
        </w:rPr>
        <w:t>》</w:t>
      </w:r>
      <w:r w:rsidRPr="00587609">
        <w:rPr>
          <w:rFonts w:ascii="Times New Roman" w:cs="Times New Roman"/>
        </w:rPr>
        <w:t xml:space="preserve"> </w:t>
      </w:r>
    </w:p>
    <w:p w:rsidR="008B6747" w:rsidRPr="00587609" w:rsidRDefault="008B6747" w:rsidP="008B6747">
      <w:pPr>
        <w:pStyle w:val="a3"/>
        <w:kinsoku w:val="0"/>
        <w:overflowPunct w:val="0"/>
        <w:adjustRightInd/>
        <w:spacing w:line="360" w:lineRule="auto"/>
        <w:ind w:left="0" w:firstLineChars="200" w:firstLine="480"/>
        <w:rPr>
          <w:rFonts w:ascii="Times New Roman" w:cs="Times New Roman" w:hint="eastAsia"/>
        </w:rPr>
      </w:pPr>
      <w:r w:rsidRPr="00587609">
        <w:rPr>
          <w:rFonts w:ascii="Times New Roman" w:cs="Times New Roman"/>
        </w:rPr>
        <w:t>4</w:t>
      </w:r>
      <w:r w:rsidRPr="00587609">
        <w:rPr>
          <w:rFonts w:ascii="Times New Roman" w:cs="Times New Roman"/>
        </w:rPr>
        <w:t>、《</w:t>
      </w:r>
      <w:r w:rsidR="00762748">
        <w:rPr>
          <w:szCs w:val="23"/>
        </w:rPr>
        <w:t>国投瑞银融华债券型证券投资基金</w:t>
      </w:r>
      <w:r w:rsidRPr="00587609">
        <w:rPr>
          <w:rFonts w:ascii="Times New Roman" w:cs="Times New Roman"/>
          <w:szCs w:val="23"/>
        </w:rPr>
        <w:t>召开基金</w:t>
      </w:r>
      <w:r w:rsidRPr="00587609">
        <w:rPr>
          <w:rFonts w:ascii="Times New Roman" w:cs="Times New Roman"/>
        </w:rPr>
        <w:t>份额持有人大会的第三次提示性公告》</w:t>
      </w:r>
      <w:r w:rsidRPr="00587609">
        <w:rPr>
          <w:rFonts w:ascii="Times New Roman" w:cs="Times New Roman"/>
        </w:rPr>
        <w:t xml:space="preserve"> </w:t>
      </w:r>
    </w:p>
    <w:p w:rsidR="009E4430" w:rsidRPr="00587609" w:rsidRDefault="009E4430" w:rsidP="008B6747">
      <w:pPr>
        <w:pStyle w:val="a3"/>
        <w:kinsoku w:val="0"/>
        <w:overflowPunct w:val="0"/>
        <w:adjustRightInd/>
        <w:spacing w:line="360" w:lineRule="auto"/>
        <w:ind w:left="0" w:firstLineChars="200" w:firstLine="480"/>
        <w:rPr>
          <w:rFonts w:ascii="Times New Roman" w:cs="Times New Roman"/>
        </w:rPr>
      </w:pPr>
      <w:r w:rsidRPr="00587609">
        <w:rPr>
          <w:rFonts w:ascii="Times New Roman" w:cs="Times New Roman" w:hint="eastAsia"/>
        </w:rPr>
        <w:lastRenderedPageBreak/>
        <w:t>5</w:t>
      </w:r>
      <w:r w:rsidRPr="00587609">
        <w:rPr>
          <w:rFonts w:ascii="Times New Roman" w:cs="Times New Roman" w:hint="eastAsia"/>
        </w:rPr>
        <w:t>、</w:t>
      </w:r>
      <w:r w:rsidR="00D433E7" w:rsidRPr="00587609">
        <w:rPr>
          <w:rFonts w:ascii="Times New Roman" w:cs="Times New Roman" w:hint="eastAsia"/>
        </w:rPr>
        <w:t>《</w:t>
      </w:r>
      <w:r w:rsidRPr="00587609">
        <w:rPr>
          <w:rFonts w:ascii="Times New Roman" w:cs="Times New Roman" w:hint="eastAsia"/>
        </w:rPr>
        <w:t>公证书</w:t>
      </w:r>
      <w:r w:rsidR="00D433E7" w:rsidRPr="00587609">
        <w:rPr>
          <w:rFonts w:ascii="Times New Roman" w:cs="Times New Roman" w:hint="eastAsia"/>
        </w:rPr>
        <w:t>》</w:t>
      </w:r>
    </w:p>
    <w:p w:rsidR="00BB095F" w:rsidRPr="00587609" w:rsidRDefault="00BB095F" w:rsidP="00A712BE">
      <w:pPr>
        <w:kinsoku w:val="0"/>
        <w:overflowPunct w:val="0"/>
        <w:adjustRightInd/>
        <w:spacing w:line="360" w:lineRule="auto"/>
        <w:rPr>
          <w:sz w:val="10"/>
          <w:szCs w:val="10"/>
        </w:rPr>
      </w:pPr>
    </w:p>
    <w:p w:rsidR="008B6747" w:rsidRPr="00587609" w:rsidRDefault="00BB095F" w:rsidP="008B6747">
      <w:pPr>
        <w:pStyle w:val="a3"/>
        <w:kinsoku w:val="0"/>
        <w:overflowPunct w:val="0"/>
        <w:adjustRightInd/>
        <w:spacing w:line="360" w:lineRule="auto"/>
        <w:ind w:firstLineChars="200" w:firstLine="480"/>
        <w:rPr>
          <w:rFonts w:ascii="Times New Roman" w:cs="Times New Roman" w:hint="eastAsia"/>
        </w:rPr>
      </w:pPr>
      <w:r w:rsidRPr="00587609">
        <w:rPr>
          <w:rFonts w:ascii="Times New Roman" w:cs="Times New Roman"/>
        </w:rPr>
        <w:t>特此公告。</w:t>
      </w:r>
    </w:p>
    <w:p w:rsidR="00994F2D" w:rsidRPr="00587609" w:rsidRDefault="00994F2D" w:rsidP="008B6747">
      <w:pPr>
        <w:pStyle w:val="a3"/>
        <w:kinsoku w:val="0"/>
        <w:overflowPunct w:val="0"/>
        <w:adjustRightInd/>
        <w:spacing w:line="360" w:lineRule="auto"/>
        <w:ind w:firstLineChars="200" w:firstLine="480"/>
        <w:rPr>
          <w:rFonts w:ascii="Times New Roman" w:cs="Times New Roman" w:hint="eastAsia"/>
        </w:rPr>
      </w:pPr>
    </w:p>
    <w:p w:rsidR="00994F2D" w:rsidRPr="00587609" w:rsidRDefault="00994F2D" w:rsidP="008B6747">
      <w:pPr>
        <w:pStyle w:val="a3"/>
        <w:kinsoku w:val="0"/>
        <w:overflowPunct w:val="0"/>
        <w:adjustRightInd/>
        <w:spacing w:line="360" w:lineRule="auto"/>
        <w:ind w:firstLineChars="200" w:firstLine="480"/>
        <w:rPr>
          <w:rFonts w:ascii="Times New Roman" w:cs="Times New Roman"/>
        </w:rPr>
      </w:pPr>
    </w:p>
    <w:p w:rsidR="00BB095F" w:rsidRPr="00587609" w:rsidRDefault="008B6747" w:rsidP="00A712BE">
      <w:pPr>
        <w:pStyle w:val="a3"/>
        <w:kinsoku w:val="0"/>
        <w:overflowPunct w:val="0"/>
        <w:adjustRightInd/>
        <w:spacing w:line="360" w:lineRule="auto"/>
        <w:ind w:left="0" w:right="119"/>
        <w:jc w:val="right"/>
        <w:rPr>
          <w:rFonts w:ascii="Times New Roman" w:cs="Times New Roman"/>
        </w:rPr>
      </w:pPr>
      <w:r w:rsidRPr="00587609">
        <w:rPr>
          <w:rFonts w:ascii="Times New Roman" w:cs="Times New Roman"/>
        </w:rPr>
        <w:t>国投瑞银</w:t>
      </w:r>
      <w:r w:rsidR="00BB095F" w:rsidRPr="00587609">
        <w:rPr>
          <w:rFonts w:ascii="Times New Roman" w:cs="Times New Roman"/>
        </w:rPr>
        <w:t>基金管理有限公司</w:t>
      </w:r>
    </w:p>
    <w:p w:rsidR="00F835CA" w:rsidRDefault="00737CDD" w:rsidP="00714D9A">
      <w:pPr>
        <w:pStyle w:val="a3"/>
        <w:kinsoku w:val="0"/>
        <w:overflowPunct w:val="0"/>
        <w:adjustRightInd/>
        <w:spacing w:line="360" w:lineRule="auto"/>
        <w:ind w:left="0" w:right="119"/>
        <w:jc w:val="right"/>
        <w:rPr>
          <w:rFonts w:ascii="Times New Roman" w:cs="Times New Roman"/>
        </w:rPr>
      </w:pPr>
      <w:r w:rsidRPr="004F5D0A">
        <w:rPr>
          <w:rFonts w:ascii="Times New Roman" w:cs="Times New Roman" w:hint="eastAsia"/>
        </w:rPr>
        <w:t>二〇</w:t>
      </w:r>
      <w:r w:rsidR="00905058" w:rsidRPr="004F5D0A">
        <w:rPr>
          <w:rFonts w:ascii="Times New Roman" w:cs="Times New Roman" w:hint="eastAsia"/>
        </w:rPr>
        <w:t>二</w:t>
      </w:r>
      <w:r w:rsidR="00D00CBD">
        <w:rPr>
          <w:rFonts w:ascii="Times New Roman" w:cs="Times New Roman" w:hint="eastAsia"/>
        </w:rPr>
        <w:t>五</w:t>
      </w:r>
      <w:r w:rsidRPr="004F5D0A">
        <w:rPr>
          <w:rFonts w:ascii="Times New Roman" w:cs="Times New Roman" w:hint="eastAsia"/>
        </w:rPr>
        <w:t>年</w:t>
      </w:r>
      <w:r w:rsidR="00D00CBD">
        <w:rPr>
          <w:rFonts w:ascii="Times New Roman" w:cs="Times New Roman" w:hint="eastAsia"/>
        </w:rPr>
        <w:t>四</w:t>
      </w:r>
      <w:r w:rsidRPr="004F5D0A">
        <w:rPr>
          <w:rFonts w:ascii="Times New Roman" w:cs="Times New Roman" w:hint="eastAsia"/>
        </w:rPr>
        <w:t>月</w:t>
      </w:r>
      <w:r w:rsidR="00D00CBD">
        <w:rPr>
          <w:rFonts w:ascii="Times New Roman" w:cs="Times New Roman" w:hint="eastAsia"/>
        </w:rPr>
        <w:t>二十三</w:t>
      </w:r>
      <w:r w:rsidRPr="004F5D0A">
        <w:rPr>
          <w:rFonts w:ascii="Times New Roman" w:cs="Times New Roman" w:hint="eastAsia"/>
        </w:rPr>
        <w:t>日</w:t>
      </w:r>
    </w:p>
    <w:p w:rsidR="00D276C1" w:rsidRDefault="00D433E7" w:rsidP="00023E7C">
      <w:pPr>
        <w:spacing w:line="520" w:lineRule="exact"/>
        <w:jc w:val="center"/>
        <w:rPr>
          <w:rFonts w:hint="eastAsia"/>
          <w:color w:val="000000"/>
          <w:sz w:val="30"/>
          <w:szCs w:val="30"/>
        </w:rPr>
      </w:pPr>
      <w:r w:rsidRPr="00587609">
        <w:br w:type="page"/>
      </w: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rFonts w:hint="eastAsia"/>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5pt;margin-top:-590.55pt;width:427.05pt;height:611.6pt;z-index:251655680">
            <v:imagedata r:id="rId7" o:title="公证书（国投瑞银融华债券型证券投资基金持有人大会）_页面_1"/>
          </v:shape>
        </w:pict>
      </w: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r>
        <w:rPr>
          <w:noProof/>
        </w:rPr>
        <w:pict>
          <v:shape id="_x0000_s1029" type="#_x0000_t75" style="position:absolute;left:0;text-align:left;margin-left:1.15pt;margin-top:-587.15pt;width:427.05pt;height:608.3pt;z-index:251656704">
            <v:imagedata r:id="rId8" o:title="公证书（国投瑞银融华债券型证券投资基金持有人大会）_页面_2"/>
          </v:shape>
        </w:pict>
      </w: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023E7C" w:rsidRDefault="00023E7C"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r>
        <w:rPr>
          <w:noProof/>
        </w:rPr>
        <w:pict>
          <v:shape id="_x0000_s1030" type="#_x0000_t75" style="position:absolute;left:0;text-align:left;margin-left:1.15pt;margin-top:-584.6pt;width:427.05pt;height:605.8pt;z-index:251657728">
            <v:imagedata r:id="rId9" o:title="公证书（国投瑞银融华债券型证券投资基金持有人大会）_页面_3"/>
          </v:shape>
        </w:pict>
      </w: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r>
        <w:rPr>
          <w:noProof/>
        </w:rPr>
        <w:pict>
          <v:shape id="_x0000_s1031" type="#_x0000_t75" style="position:absolute;left:0;text-align:left;margin-left:1.15pt;margin-top:-585.15pt;width:427.05pt;height:606.6pt;z-index:251658752">
            <v:imagedata r:id="rId10" o:title="公证书（国投瑞银融华债券型证券投资基金持有人大会）_页面_4"/>
          </v:shape>
        </w:pict>
      </w: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p>
    <w:p w:rsidR="00422DE6" w:rsidRDefault="00422DE6" w:rsidP="00023E7C">
      <w:pPr>
        <w:spacing w:line="520" w:lineRule="exact"/>
        <w:jc w:val="center"/>
        <w:rPr>
          <w:color w:val="000000"/>
          <w:sz w:val="30"/>
          <w:szCs w:val="30"/>
        </w:rPr>
      </w:pPr>
      <w:r>
        <w:rPr>
          <w:noProof/>
        </w:rPr>
        <w:pict>
          <v:shape id="_x0000_s1032" type="#_x0000_t75" style="position:absolute;left:0;text-align:left;margin-left:1.15pt;margin-top:-586.85pt;width:427.05pt;height:608.3pt;z-index:251659776">
            <v:imagedata r:id="rId11" o:title="公证书（国投瑞银融华债券型证券投资基金持有人大会）_页面_5"/>
          </v:shape>
        </w:pict>
      </w:r>
    </w:p>
    <w:p w:rsidR="00422DE6" w:rsidRDefault="00422DE6" w:rsidP="00023E7C">
      <w:pPr>
        <w:spacing w:line="520" w:lineRule="exact"/>
        <w:jc w:val="center"/>
        <w:rPr>
          <w:rFonts w:hint="eastAsia"/>
          <w:color w:val="000000"/>
          <w:sz w:val="30"/>
          <w:szCs w:val="30"/>
        </w:rPr>
      </w:pPr>
    </w:p>
    <w:p w:rsidR="00422DE6" w:rsidRPr="00D276C1" w:rsidRDefault="00422DE6" w:rsidP="00023E7C">
      <w:pPr>
        <w:spacing w:line="520" w:lineRule="exact"/>
        <w:jc w:val="center"/>
        <w:rPr>
          <w:rFonts w:hint="eastAsia"/>
          <w:color w:val="000000"/>
          <w:sz w:val="30"/>
          <w:szCs w:val="30"/>
        </w:rPr>
      </w:pPr>
    </w:p>
    <w:sectPr w:rsidR="00422DE6" w:rsidRPr="00D276C1">
      <w:footerReference w:type="default" r:id="rId12"/>
      <w:pgSz w:w="11906" w:h="16840"/>
      <w:pgMar w:top="1560" w:right="1680" w:bottom="280" w:left="16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AC" w:rsidRDefault="009C57AC" w:rsidP="00AD12D1">
      <w:r>
        <w:separator/>
      </w:r>
    </w:p>
  </w:endnote>
  <w:endnote w:type="continuationSeparator" w:id="0">
    <w:p w:rsidR="009C57AC" w:rsidRDefault="009C57AC" w:rsidP="00AD1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5B" w:rsidRDefault="0013705B">
    <w:pPr>
      <w:pStyle w:val="aa"/>
      <w:jc w:val="center"/>
    </w:pPr>
    <w:fldSimple w:instr="PAGE   \* MERGEFORMAT">
      <w:r w:rsidR="00F720EA" w:rsidRPr="00F720EA">
        <w:rPr>
          <w:noProof/>
          <w:lang w:val="zh-CN"/>
        </w:rPr>
        <w:t>1</w:t>
      </w:r>
    </w:fldSimple>
  </w:p>
  <w:p w:rsidR="0013705B" w:rsidRDefault="001370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AC" w:rsidRDefault="009C57AC" w:rsidP="00AD12D1">
      <w:r>
        <w:separator/>
      </w:r>
    </w:p>
  </w:footnote>
  <w:footnote w:type="continuationSeparator" w:id="0">
    <w:p w:rsidR="009C57AC" w:rsidRDefault="009C57AC" w:rsidP="00AD1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2BE"/>
    <w:rsid w:val="000127AC"/>
    <w:rsid w:val="0001369F"/>
    <w:rsid w:val="0001395D"/>
    <w:rsid w:val="000178A9"/>
    <w:rsid w:val="00022261"/>
    <w:rsid w:val="00023D1A"/>
    <w:rsid w:val="00023E7C"/>
    <w:rsid w:val="0004016C"/>
    <w:rsid w:val="000408B1"/>
    <w:rsid w:val="00042BF3"/>
    <w:rsid w:val="00046C01"/>
    <w:rsid w:val="00076120"/>
    <w:rsid w:val="000812F4"/>
    <w:rsid w:val="00092C4C"/>
    <w:rsid w:val="00094B2B"/>
    <w:rsid w:val="000A4007"/>
    <w:rsid w:val="000A7ACB"/>
    <w:rsid w:val="000B47F7"/>
    <w:rsid w:val="000B4EE2"/>
    <w:rsid w:val="000C1725"/>
    <w:rsid w:val="000D2DD4"/>
    <w:rsid w:val="000D73F8"/>
    <w:rsid w:val="000E198E"/>
    <w:rsid w:val="000E37C5"/>
    <w:rsid w:val="000E3E16"/>
    <w:rsid w:val="000E4027"/>
    <w:rsid w:val="000E4F13"/>
    <w:rsid w:val="000E78D5"/>
    <w:rsid w:val="00111C59"/>
    <w:rsid w:val="00133B2A"/>
    <w:rsid w:val="0013705B"/>
    <w:rsid w:val="0013734B"/>
    <w:rsid w:val="001573A4"/>
    <w:rsid w:val="00166DF5"/>
    <w:rsid w:val="00166F19"/>
    <w:rsid w:val="00170FFE"/>
    <w:rsid w:val="00171353"/>
    <w:rsid w:val="00180330"/>
    <w:rsid w:val="001827F8"/>
    <w:rsid w:val="0018324D"/>
    <w:rsid w:val="00184261"/>
    <w:rsid w:val="00184821"/>
    <w:rsid w:val="00185B15"/>
    <w:rsid w:val="001946D3"/>
    <w:rsid w:val="001A35B6"/>
    <w:rsid w:val="001A5531"/>
    <w:rsid w:val="001A6F17"/>
    <w:rsid w:val="001B24D0"/>
    <w:rsid w:val="001B5388"/>
    <w:rsid w:val="001B5444"/>
    <w:rsid w:val="001C316B"/>
    <w:rsid w:val="001D10A4"/>
    <w:rsid w:val="001D32EC"/>
    <w:rsid w:val="001D37AB"/>
    <w:rsid w:val="001D3AEF"/>
    <w:rsid w:val="001E170F"/>
    <w:rsid w:val="001E7F00"/>
    <w:rsid w:val="001F0500"/>
    <w:rsid w:val="001F1D0A"/>
    <w:rsid w:val="001F715A"/>
    <w:rsid w:val="00205CC6"/>
    <w:rsid w:val="002355B9"/>
    <w:rsid w:val="00235ABC"/>
    <w:rsid w:val="00242ED5"/>
    <w:rsid w:val="002455BD"/>
    <w:rsid w:val="00245BA2"/>
    <w:rsid w:val="002529B9"/>
    <w:rsid w:val="002536A4"/>
    <w:rsid w:val="00256373"/>
    <w:rsid w:val="00266BBB"/>
    <w:rsid w:val="00267419"/>
    <w:rsid w:val="00267B20"/>
    <w:rsid w:val="00272CA7"/>
    <w:rsid w:val="00280A61"/>
    <w:rsid w:val="002815B3"/>
    <w:rsid w:val="00283501"/>
    <w:rsid w:val="0028704D"/>
    <w:rsid w:val="00295761"/>
    <w:rsid w:val="00296084"/>
    <w:rsid w:val="002A01A9"/>
    <w:rsid w:val="002A22E8"/>
    <w:rsid w:val="002B19AA"/>
    <w:rsid w:val="002B729D"/>
    <w:rsid w:val="002C1522"/>
    <w:rsid w:val="002E550E"/>
    <w:rsid w:val="002F3823"/>
    <w:rsid w:val="00302CF3"/>
    <w:rsid w:val="0030394F"/>
    <w:rsid w:val="00304157"/>
    <w:rsid w:val="003316A9"/>
    <w:rsid w:val="003432DA"/>
    <w:rsid w:val="00352442"/>
    <w:rsid w:val="00357268"/>
    <w:rsid w:val="003719B6"/>
    <w:rsid w:val="00375086"/>
    <w:rsid w:val="00377EAA"/>
    <w:rsid w:val="00381EDD"/>
    <w:rsid w:val="00385C7C"/>
    <w:rsid w:val="00386034"/>
    <w:rsid w:val="00390EBD"/>
    <w:rsid w:val="00397750"/>
    <w:rsid w:val="003B5A74"/>
    <w:rsid w:val="003C62F2"/>
    <w:rsid w:val="003E5267"/>
    <w:rsid w:val="003E6599"/>
    <w:rsid w:val="003F1FA4"/>
    <w:rsid w:val="003F3D4F"/>
    <w:rsid w:val="00405E11"/>
    <w:rsid w:val="004135E2"/>
    <w:rsid w:val="004151B1"/>
    <w:rsid w:val="00422340"/>
    <w:rsid w:val="00422DE6"/>
    <w:rsid w:val="00425C62"/>
    <w:rsid w:val="0042686A"/>
    <w:rsid w:val="004303AC"/>
    <w:rsid w:val="00435702"/>
    <w:rsid w:val="004409D0"/>
    <w:rsid w:val="00454426"/>
    <w:rsid w:val="00460388"/>
    <w:rsid w:val="00481CD5"/>
    <w:rsid w:val="00485A8E"/>
    <w:rsid w:val="0049767A"/>
    <w:rsid w:val="004A5388"/>
    <w:rsid w:val="004A721C"/>
    <w:rsid w:val="004C1EA6"/>
    <w:rsid w:val="004D69D4"/>
    <w:rsid w:val="004E2133"/>
    <w:rsid w:val="004E4ED2"/>
    <w:rsid w:val="004E5FDF"/>
    <w:rsid w:val="004F5D0A"/>
    <w:rsid w:val="00501726"/>
    <w:rsid w:val="00502AED"/>
    <w:rsid w:val="005205DF"/>
    <w:rsid w:val="00521735"/>
    <w:rsid w:val="00527EAB"/>
    <w:rsid w:val="00532753"/>
    <w:rsid w:val="00534F3A"/>
    <w:rsid w:val="00570682"/>
    <w:rsid w:val="00576B85"/>
    <w:rsid w:val="00576FEE"/>
    <w:rsid w:val="00587609"/>
    <w:rsid w:val="005902C4"/>
    <w:rsid w:val="005A452C"/>
    <w:rsid w:val="005A6BFA"/>
    <w:rsid w:val="005A79BC"/>
    <w:rsid w:val="005C270E"/>
    <w:rsid w:val="005C6516"/>
    <w:rsid w:val="005E0AFC"/>
    <w:rsid w:val="005E33BE"/>
    <w:rsid w:val="005F2A1B"/>
    <w:rsid w:val="005F708F"/>
    <w:rsid w:val="006000F1"/>
    <w:rsid w:val="006049A5"/>
    <w:rsid w:val="00611950"/>
    <w:rsid w:val="00612CBC"/>
    <w:rsid w:val="00623623"/>
    <w:rsid w:val="0064374B"/>
    <w:rsid w:val="00647034"/>
    <w:rsid w:val="00653873"/>
    <w:rsid w:val="00655E0B"/>
    <w:rsid w:val="00656796"/>
    <w:rsid w:val="006629AF"/>
    <w:rsid w:val="0066440B"/>
    <w:rsid w:val="00664B94"/>
    <w:rsid w:val="00670E51"/>
    <w:rsid w:val="00682DB7"/>
    <w:rsid w:val="00687BE5"/>
    <w:rsid w:val="00695ECA"/>
    <w:rsid w:val="006B0E27"/>
    <w:rsid w:val="006B0F66"/>
    <w:rsid w:val="006B65C5"/>
    <w:rsid w:val="006C3E86"/>
    <w:rsid w:val="006E76C4"/>
    <w:rsid w:val="007012D7"/>
    <w:rsid w:val="00713FB5"/>
    <w:rsid w:val="00714D9A"/>
    <w:rsid w:val="00715AFE"/>
    <w:rsid w:val="0071764C"/>
    <w:rsid w:val="00723365"/>
    <w:rsid w:val="00723A37"/>
    <w:rsid w:val="00725C39"/>
    <w:rsid w:val="00726CB2"/>
    <w:rsid w:val="00733AF7"/>
    <w:rsid w:val="00737CDD"/>
    <w:rsid w:val="00741EE9"/>
    <w:rsid w:val="00762748"/>
    <w:rsid w:val="007644B7"/>
    <w:rsid w:val="007651A7"/>
    <w:rsid w:val="00773997"/>
    <w:rsid w:val="007776C7"/>
    <w:rsid w:val="00777B5C"/>
    <w:rsid w:val="0078659F"/>
    <w:rsid w:val="00793BFA"/>
    <w:rsid w:val="007949E7"/>
    <w:rsid w:val="007A7648"/>
    <w:rsid w:val="007B3605"/>
    <w:rsid w:val="007B4EC7"/>
    <w:rsid w:val="007C61BA"/>
    <w:rsid w:val="007C7AB3"/>
    <w:rsid w:val="007D0521"/>
    <w:rsid w:val="007E67DA"/>
    <w:rsid w:val="007E6827"/>
    <w:rsid w:val="007F1277"/>
    <w:rsid w:val="007F5766"/>
    <w:rsid w:val="007F7868"/>
    <w:rsid w:val="008013A7"/>
    <w:rsid w:val="00811782"/>
    <w:rsid w:val="008157C4"/>
    <w:rsid w:val="00816358"/>
    <w:rsid w:val="008256C1"/>
    <w:rsid w:val="00837F5C"/>
    <w:rsid w:val="00841A99"/>
    <w:rsid w:val="008506DB"/>
    <w:rsid w:val="00850AF6"/>
    <w:rsid w:val="00855344"/>
    <w:rsid w:val="00872F9E"/>
    <w:rsid w:val="00880CAF"/>
    <w:rsid w:val="008818A0"/>
    <w:rsid w:val="00884E95"/>
    <w:rsid w:val="008907C9"/>
    <w:rsid w:val="0089667D"/>
    <w:rsid w:val="008975C8"/>
    <w:rsid w:val="008A2D68"/>
    <w:rsid w:val="008B1C2A"/>
    <w:rsid w:val="008B6747"/>
    <w:rsid w:val="008D415C"/>
    <w:rsid w:val="008D5DCC"/>
    <w:rsid w:val="008D6C1A"/>
    <w:rsid w:val="008E2DEA"/>
    <w:rsid w:val="008E396C"/>
    <w:rsid w:val="008E7565"/>
    <w:rsid w:val="008F6978"/>
    <w:rsid w:val="00905058"/>
    <w:rsid w:val="00913B1E"/>
    <w:rsid w:val="00914906"/>
    <w:rsid w:val="0092173A"/>
    <w:rsid w:val="00923D09"/>
    <w:rsid w:val="00955EC7"/>
    <w:rsid w:val="00962CCF"/>
    <w:rsid w:val="00970ABB"/>
    <w:rsid w:val="009910C4"/>
    <w:rsid w:val="00994842"/>
    <w:rsid w:val="00994F2D"/>
    <w:rsid w:val="0099677E"/>
    <w:rsid w:val="009A29AC"/>
    <w:rsid w:val="009A7D4D"/>
    <w:rsid w:val="009C0CFB"/>
    <w:rsid w:val="009C28F3"/>
    <w:rsid w:val="009C2960"/>
    <w:rsid w:val="009C57AC"/>
    <w:rsid w:val="009C7763"/>
    <w:rsid w:val="009D19C2"/>
    <w:rsid w:val="009E3AC3"/>
    <w:rsid w:val="009E4430"/>
    <w:rsid w:val="009F44F5"/>
    <w:rsid w:val="009F5A9C"/>
    <w:rsid w:val="00A042AC"/>
    <w:rsid w:val="00A07449"/>
    <w:rsid w:val="00A25E73"/>
    <w:rsid w:val="00A3035F"/>
    <w:rsid w:val="00A30617"/>
    <w:rsid w:val="00A32209"/>
    <w:rsid w:val="00A35A5F"/>
    <w:rsid w:val="00A400EF"/>
    <w:rsid w:val="00A405A2"/>
    <w:rsid w:val="00A4149C"/>
    <w:rsid w:val="00A41966"/>
    <w:rsid w:val="00A44519"/>
    <w:rsid w:val="00A47D99"/>
    <w:rsid w:val="00A579F1"/>
    <w:rsid w:val="00A6294C"/>
    <w:rsid w:val="00A712BE"/>
    <w:rsid w:val="00A83A22"/>
    <w:rsid w:val="00A84DE9"/>
    <w:rsid w:val="00A877C4"/>
    <w:rsid w:val="00A94814"/>
    <w:rsid w:val="00A954F2"/>
    <w:rsid w:val="00AA784E"/>
    <w:rsid w:val="00AC27D1"/>
    <w:rsid w:val="00AD12D1"/>
    <w:rsid w:val="00AD6641"/>
    <w:rsid w:val="00AE3291"/>
    <w:rsid w:val="00AF15D0"/>
    <w:rsid w:val="00B02955"/>
    <w:rsid w:val="00B03175"/>
    <w:rsid w:val="00B063FA"/>
    <w:rsid w:val="00B156B8"/>
    <w:rsid w:val="00B24EED"/>
    <w:rsid w:val="00B253A0"/>
    <w:rsid w:val="00B27B0E"/>
    <w:rsid w:val="00B33761"/>
    <w:rsid w:val="00B340D8"/>
    <w:rsid w:val="00B51FB5"/>
    <w:rsid w:val="00B558A4"/>
    <w:rsid w:val="00B57A67"/>
    <w:rsid w:val="00B71ED5"/>
    <w:rsid w:val="00B74653"/>
    <w:rsid w:val="00B85877"/>
    <w:rsid w:val="00B8774A"/>
    <w:rsid w:val="00BA03CB"/>
    <w:rsid w:val="00BB095F"/>
    <w:rsid w:val="00BD0414"/>
    <w:rsid w:val="00BD2283"/>
    <w:rsid w:val="00BD2CDA"/>
    <w:rsid w:val="00BD6AA1"/>
    <w:rsid w:val="00BE6303"/>
    <w:rsid w:val="00BE67F5"/>
    <w:rsid w:val="00C1056F"/>
    <w:rsid w:val="00C12FA3"/>
    <w:rsid w:val="00C13A4E"/>
    <w:rsid w:val="00C1742A"/>
    <w:rsid w:val="00C20D9F"/>
    <w:rsid w:val="00C24DAB"/>
    <w:rsid w:val="00C30412"/>
    <w:rsid w:val="00C345E9"/>
    <w:rsid w:val="00C36FFC"/>
    <w:rsid w:val="00C51B35"/>
    <w:rsid w:val="00C52213"/>
    <w:rsid w:val="00C5588F"/>
    <w:rsid w:val="00C6122F"/>
    <w:rsid w:val="00C61B02"/>
    <w:rsid w:val="00C71B13"/>
    <w:rsid w:val="00C72D11"/>
    <w:rsid w:val="00C731EE"/>
    <w:rsid w:val="00C755BA"/>
    <w:rsid w:val="00C82502"/>
    <w:rsid w:val="00C82993"/>
    <w:rsid w:val="00C83FCC"/>
    <w:rsid w:val="00C85E3F"/>
    <w:rsid w:val="00C916DF"/>
    <w:rsid w:val="00C93527"/>
    <w:rsid w:val="00C97EDD"/>
    <w:rsid w:val="00CB3964"/>
    <w:rsid w:val="00CE325E"/>
    <w:rsid w:val="00CF4C09"/>
    <w:rsid w:val="00D00CBD"/>
    <w:rsid w:val="00D11812"/>
    <w:rsid w:val="00D17714"/>
    <w:rsid w:val="00D2056E"/>
    <w:rsid w:val="00D276C1"/>
    <w:rsid w:val="00D32DF7"/>
    <w:rsid w:val="00D34A86"/>
    <w:rsid w:val="00D36E22"/>
    <w:rsid w:val="00D433E7"/>
    <w:rsid w:val="00D50079"/>
    <w:rsid w:val="00D503D3"/>
    <w:rsid w:val="00D51D04"/>
    <w:rsid w:val="00D529E5"/>
    <w:rsid w:val="00D543B2"/>
    <w:rsid w:val="00D610C5"/>
    <w:rsid w:val="00D64452"/>
    <w:rsid w:val="00D70AF1"/>
    <w:rsid w:val="00D75CF9"/>
    <w:rsid w:val="00D82EE9"/>
    <w:rsid w:val="00D868A1"/>
    <w:rsid w:val="00D96605"/>
    <w:rsid w:val="00DA32B8"/>
    <w:rsid w:val="00DA48D8"/>
    <w:rsid w:val="00DA4AFB"/>
    <w:rsid w:val="00DA5009"/>
    <w:rsid w:val="00DA5CF9"/>
    <w:rsid w:val="00DB05E2"/>
    <w:rsid w:val="00DB4947"/>
    <w:rsid w:val="00DB6CEF"/>
    <w:rsid w:val="00DC57EF"/>
    <w:rsid w:val="00DD3920"/>
    <w:rsid w:val="00DD4342"/>
    <w:rsid w:val="00DF4A8C"/>
    <w:rsid w:val="00E00F0B"/>
    <w:rsid w:val="00E07764"/>
    <w:rsid w:val="00E0788F"/>
    <w:rsid w:val="00E26943"/>
    <w:rsid w:val="00E34547"/>
    <w:rsid w:val="00E36D0D"/>
    <w:rsid w:val="00E37DA0"/>
    <w:rsid w:val="00E401F6"/>
    <w:rsid w:val="00E40366"/>
    <w:rsid w:val="00E4788A"/>
    <w:rsid w:val="00E64F1D"/>
    <w:rsid w:val="00E6503F"/>
    <w:rsid w:val="00E7245B"/>
    <w:rsid w:val="00E7427A"/>
    <w:rsid w:val="00E8048B"/>
    <w:rsid w:val="00E82D65"/>
    <w:rsid w:val="00E8368F"/>
    <w:rsid w:val="00E86D33"/>
    <w:rsid w:val="00E91517"/>
    <w:rsid w:val="00EB0E4A"/>
    <w:rsid w:val="00EB242B"/>
    <w:rsid w:val="00EB419E"/>
    <w:rsid w:val="00EB66F4"/>
    <w:rsid w:val="00EB793D"/>
    <w:rsid w:val="00EC13AD"/>
    <w:rsid w:val="00EC536E"/>
    <w:rsid w:val="00ED27AC"/>
    <w:rsid w:val="00ED409C"/>
    <w:rsid w:val="00ED6188"/>
    <w:rsid w:val="00EE3C08"/>
    <w:rsid w:val="00EE52E3"/>
    <w:rsid w:val="00EF1AEA"/>
    <w:rsid w:val="00EF25D4"/>
    <w:rsid w:val="00EF37DA"/>
    <w:rsid w:val="00EF5C9F"/>
    <w:rsid w:val="00EF6DB3"/>
    <w:rsid w:val="00F004A9"/>
    <w:rsid w:val="00F047D1"/>
    <w:rsid w:val="00F22377"/>
    <w:rsid w:val="00F22674"/>
    <w:rsid w:val="00F27D32"/>
    <w:rsid w:val="00F313F1"/>
    <w:rsid w:val="00F340FE"/>
    <w:rsid w:val="00F360A4"/>
    <w:rsid w:val="00F4180F"/>
    <w:rsid w:val="00F5613F"/>
    <w:rsid w:val="00F56169"/>
    <w:rsid w:val="00F667E7"/>
    <w:rsid w:val="00F70060"/>
    <w:rsid w:val="00F720EA"/>
    <w:rsid w:val="00F835CA"/>
    <w:rsid w:val="00F8795C"/>
    <w:rsid w:val="00F92E65"/>
    <w:rsid w:val="00F9429F"/>
    <w:rsid w:val="00F949E0"/>
    <w:rsid w:val="00FA1B60"/>
    <w:rsid w:val="00FB01E9"/>
    <w:rsid w:val="00FB0CF1"/>
    <w:rsid w:val="00FB1569"/>
    <w:rsid w:val="00FB7265"/>
    <w:rsid w:val="00FC4EAC"/>
    <w:rsid w:val="00FC5316"/>
    <w:rsid w:val="00FD36A9"/>
    <w:rsid w:val="00FD55A3"/>
    <w:rsid w:val="00FE48D3"/>
    <w:rsid w:val="00FF0002"/>
    <w:rsid w:val="00FF6E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Char"/>
    <w:uiPriority w:val="1"/>
    <w:qFormat/>
    <w:pPr>
      <w:outlineLvl w:val="0"/>
    </w:pPr>
    <w:rPr>
      <w:rFonts w:ascii="宋体" w:cs="宋体"/>
      <w:sz w:val="32"/>
      <w:szCs w:val="32"/>
    </w:rPr>
  </w:style>
  <w:style w:type="paragraph" w:styleId="2">
    <w:name w:val="heading 2"/>
    <w:basedOn w:val="a"/>
    <w:next w:val="a"/>
    <w:link w:val="2Char"/>
    <w:uiPriority w:val="1"/>
    <w:qFormat/>
    <w:pPr>
      <w:ind w:left="321"/>
      <w:outlineLvl w:val="1"/>
    </w:pPr>
    <w:rPr>
      <w:rFonts w:ascii="宋体" w:cs="宋体"/>
      <w:sz w:val="30"/>
      <w:szCs w:val="30"/>
    </w:rPr>
  </w:style>
  <w:style w:type="paragraph" w:styleId="3">
    <w:name w:val="heading 3"/>
    <w:basedOn w:val="a"/>
    <w:next w:val="a"/>
    <w:link w:val="3Char"/>
    <w:uiPriority w:val="1"/>
    <w:qFormat/>
    <w:pPr>
      <w:outlineLvl w:val="2"/>
    </w:pPr>
    <w:rPr>
      <w:rFonts w:ascii="宋体" w:cs="宋体"/>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Pr>
      <w:rFonts w:ascii="Times New Roman" w:hAnsi="Times New Roman" w:cs="Times New Roman"/>
      <w:b/>
      <w:bCs/>
      <w:kern w:val="44"/>
      <w:sz w:val="44"/>
      <w:szCs w:val="44"/>
    </w:rPr>
  </w:style>
  <w:style w:type="character" w:customStyle="1" w:styleId="2Char">
    <w:name w:val="标题 2 Char"/>
    <w:link w:val="2"/>
    <w:uiPriority w:val="9"/>
    <w:semiHidden/>
    <w:locked/>
    <w:rPr>
      <w:rFonts w:ascii="Cambria" w:eastAsia="宋体" w:hAnsi="Cambria" w:cs="Times New Roman"/>
      <w:b/>
      <w:bCs/>
      <w:kern w:val="0"/>
      <w:sz w:val="32"/>
      <w:szCs w:val="32"/>
    </w:rPr>
  </w:style>
  <w:style w:type="character" w:customStyle="1" w:styleId="3Char">
    <w:name w:val="标题 3 Char"/>
    <w:link w:val="3"/>
    <w:uiPriority w:val="9"/>
    <w:semiHidden/>
    <w:locked/>
    <w:rPr>
      <w:rFonts w:ascii="Times New Roman" w:hAnsi="Times New Roman" w:cs="Times New Roman"/>
      <w:b/>
      <w:bCs/>
      <w:kern w:val="0"/>
      <w:sz w:val="32"/>
      <w:szCs w:val="32"/>
    </w:rPr>
  </w:style>
  <w:style w:type="paragraph" w:styleId="a3">
    <w:name w:val="Body Text"/>
    <w:basedOn w:val="a"/>
    <w:link w:val="Char"/>
    <w:uiPriority w:val="1"/>
    <w:qFormat/>
    <w:pPr>
      <w:ind w:left="120"/>
    </w:pPr>
    <w:rPr>
      <w:rFonts w:ascii="宋体" w:cs="宋体"/>
    </w:rPr>
  </w:style>
  <w:style w:type="character" w:customStyle="1" w:styleId="Char">
    <w:name w:val="正文文本 Char"/>
    <w:link w:val="a3"/>
    <w:uiPriority w:val="1"/>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C916DF"/>
    <w:rPr>
      <w:sz w:val="18"/>
      <w:szCs w:val="18"/>
    </w:rPr>
  </w:style>
  <w:style w:type="character" w:customStyle="1" w:styleId="Char0">
    <w:name w:val="批注框文本 Char"/>
    <w:link w:val="a5"/>
    <w:uiPriority w:val="99"/>
    <w:semiHidden/>
    <w:locked/>
    <w:rsid w:val="00C916DF"/>
    <w:rPr>
      <w:rFonts w:ascii="Times New Roman" w:hAnsi="Times New Roman" w:cs="Times New Roman"/>
      <w:kern w:val="0"/>
      <w:sz w:val="18"/>
      <w:szCs w:val="18"/>
    </w:rPr>
  </w:style>
  <w:style w:type="paragraph" w:customStyle="1" w:styleId="Default">
    <w:name w:val="Default"/>
    <w:rsid w:val="00C916DF"/>
    <w:pPr>
      <w:widowControl w:val="0"/>
      <w:autoSpaceDE w:val="0"/>
      <w:autoSpaceDN w:val="0"/>
      <w:adjustRightInd w:val="0"/>
    </w:pPr>
    <w:rPr>
      <w:rFonts w:ascii="宋体" w:cs="宋体"/>
      <w:color w:val="000000"/>
      <w:sz w:val="24"/>
      <w:szCs w:val="24"/>
    </w:rPr>
  </w:style>
  <w:style w:type="character" w:styleId="a6">
    <w:name w:val="annotation reference"/>
    <w:uiPriority w:val="99"/>
    <w:unhideWhenUsed/>
    <w:rsid w:val="004A721C"/>
    <w:rPr>
      <w:rFonts w:cs="Times New Roman"/>
      <w:sz w:val="21"/>
      <w:szCs w:val="21"/>
    </w:rPr>
  </w:style>
  <w:style w:type="paragraph" w:styleId="a7">
    <w:name w:val="annotation text"/>
    <w:basedOn w:val="a"/>
    <w:link w:val="Char1"/>
    <w:uiPriority w:val="99"/>
    <w:unhideWhenUsed/>
    <w:rsid w:val="004A721C"/>
  </w:style>
  <w:style w:type="character" w:customStyle="1" w:styleId="Char1">
    <w:name w:val="批注文字 Char"/>
    <w:link w:val="a7"/>
    <w:uiPriority w:val="99"/>
    <w:locked/>
    <w:rsid w:val="004A721C"/>
    <w:rPr>
      <w:rFonts w:ascii="Times New Roman" w:hAnsi="Times New Roman" w:cs="Times New Roman"/>
      <w:kern w:val="0"/>
      <w:sz w:val="24"/>
      <w:szCs w:val="24"/>
    </w:rPr>
  </w:style>
  <w:style w:type="paragraph" w:styleId="a8">
    <w:name w:val="annotation subject"/>
    <w:basedOn w:val="a7"/>
    <w:next w:val="a7"/>
    <w:link w:val="Char2"/>
    <w:uiPriority w:val="99"/>
    <w:semiHidden/>
    <w:unhideWhenUsed/>
    <w:rsid w:val="004A721C"/>
    <w:rPr>
      <w:b/>
      <w:bCs/>
    </w:rPr>
  </w:style>
  <w:style w:type="character" w:customStyle="1" w:styleId="Char2">
    <w:name w:val="批注主题 Char"/>
    <w:link w:val="a8"/>
    <w:uiPriority w:val="99"/>
    <w:semiHidden/>
    <w:locked/>
    <w:rsid w:val="004A721C"/>
    <w:rPr>
      <w:rFonts w:ascii="Times New Roman" w:hAnsi="Times New Roman" w:cs="Times New Roman"/>
      <w:b/>
      <w:bCs/>
      <w:kern w:val="0"/>
      <w:sz w:val="24"/>
      <w:szCs w:val="24"/>
    </w:rPr>
  </w:style>
  <w:style w:type="paragraph" w:styleId="a9">
    <w:name w:val="header"/>
    <w:basedOn w:val="a"/>
    <w:link w:val="Char3"/>
    <w:uiPriority w:val="99"/>
    <w:unhideWhenUsed/>
    <w:rsid w:val="00AD12D1"/>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locked/>
    <w:rsid w:val="00AD12D1"/>
    <w:rPr>
      <w:rFonts w:ascii="Times New Roman" w:hAnsi="Times New Roman" w:cs="Times New Roman"/>
      <w:kern w:val="0"/>
      <w:sz w:val="18"/>
      <w:szCs w:val="18"/>
    </w:rPr>
  </w:style>
  <w:style w:type="paragraph" w:styleId="aa">
    <w:name w:val="footer"/>
    <w:basedOn w:val="a"/>
    <w:link w:val="Char4"/>
    <w:uiPriority w:val="99"/>
    <w:unhideWhenUsed/>
    <w:rsid w:val="00AD12D1"/>
    <w:pPr>
      <w:tabs>
        <w:tab w:val="center" w:pos="4153"/>
        <w:tab w:val="right" w:pos="8306"/>
      </w:tabs>
      <w:snapToGrid w:val="0"/>
    </w:pPr>
    <w:rPr>
      <w:sz w:val="18"/>
      <w:szCs w:val="18"/>
    </w:rPr>
  </w:style>
  <w:style w:type="character" w:customStyle="1" w:styleId="Char4">
    <w:name w:val="页脚 Char"/>
    <w:link w:val="aa"/>
    <w:uiPriority w:val="99"/>
    <w:locked/>
    <w:rsid w:val="00AD12D1"/>
    <w:rPr>
      <w:rFonts w:ascii="Times New Roman" w:hAnsi="Times New Roman" w:cs="Times New Roman"/>
      <w:kern w:val="0"/>
      <w:sz w:val="18"/>
      <w:szCs w:val="18"/>
    </w:rPr>
  </w:style>
  <w:style w:type="paragraph" w:styleId="ab">
    <w:name w:val="Date"/>
    <w:basedOn w:val="a"/>
    <w:next w:val="a"/>
    <w:link w:val="Char5"/>
    <w:uiPriority w:val="99"/>
    <w:semiHidden/>
    <w:unhideWhenUsed/>
    <w:rsid w:val="000127AC"/>
    <w:pPr>
      <w:ind w:leftChars="2500" w:left="100"/>
    </w:pPr>
  </w:style>
  <w:style w:type="character" w:customStyle="1" w:styleId="Char5">
    <w:name w:val="日期 Char"/>
    <w:link w:val="ab"/>
    <w:uiPriority w:val="99"/>
    <w:semiHidden/>
    <w:rsid w:val="000127AC"/>
    <w:rPr>
      <w:rFonts w:ascii="Times New Roman" w:hAnsi="Times New Roman"/>
      <w:sz w:val="24"/>
      <w:szCs w:val="24"/>
    </w:rPr>
  </w:style>
  <w:style w:type="paragraph" w:styleId="ac">
    <w:name w:val="Revision"/>
    <w:hidden/>
    <w:uiPriority w:val="99"/>
    <w:semiHidden/>
    <w:rsid w:val="00023E7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444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A19C-4D05-4564-9705-FDFE0813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1553</Characters>
  <Application>Microsoft Office Word</Application>
  <DocSecurity>4</DocSecurity>
  <Lines>12</Lines>
  <Paragraphs>3</Paragraphs>
  <ScaleCrop>false</ScaleCrop>
  <Company>Lenovo</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段雨希</dc:creator>
  <cp:keywords/>
  <dc:description/>
  <cp:lastModifiedBy>ZHONGM</cp:lastModifiedBy>
  <cp:revision>2</cp:revision>
  <cp:lastPrinted>2024-06-13T04:32:00Z</cp:lastPrinted>
  <dcterms:created xsi:type="dcterms:W3CDTF">2025-04-22T16:02:00Z</dcterms:created>
  <dcterms:modified xsi:type="dcterms:W3CDTF">2025-04-22T16:02:00Z</dcterms:modified>
</cp:coreProperties>
</file>