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55" w:rsidRPr="005D1855" w:rsidRDefault="00F6425F">
      <w:pPr>
        <w:widowControl/>
        <w:jc w:val="center"/>
        <w:rPr>
          <w:rFonts w:eastAsia="宋体" w:cs="宋体"/>
          <w:b/>
          <w:kern w:val="0"/>
          <w:sz w:val="30"/>
          <w:szCs w:val="30"/>
        </w:rPr>
      </w:pPr>
      <w:r w:rsidRPr="005D1855">
        <w:rPr>
          <w:rFonts w:eastAsia="宋体" w:cs="宋体" w:hint="eastAsia"/>
          <w:b/>
          <w:kern w:val="0"/>
          <w:sz w:val="30"/>
          <w:szCs w:val="30"/>
        </w:rPr>
        <w:t>易方达基金管理有限公司关于易方达深高速高速公路封闭式基础设施证券投资基金分红的公告</w:t>
      </w:r>
    </w:p>
    <w:p w:rsidR="00694855" w:rsidRPr="005D1855" w:rsidRDefault="00F6425F">
      <w:pPr>
        <w:spacing w:line="560" w:lineRule="exact"/>
        <w:jc w:val="center"/>
        <w:rPr>
          <w:rFonts w:eastAsia="宋体"/>
          <w:b/>
          <w:color w:val="000000"/>
          <w:sz w:val="24"/>
          <w:szCs w:val="24"/>
        </w:rPr>
      </w:pPr>
      <w:r w:rsidRPr="005D1855">
        <w:rPr>
          <w:rFonts w:eastAsia="宋体"/>
          <w:b/>
          <w:color w:val="000000"/>
          <w:sz w:val="24"/>
          <w:szCs w:val="24"/>
        </w:rPr>
        <w:t>公告送出日期：</w:t>
      </w:r>
      <w:r w:rsidRPr="005D1855">
        <w:rPr>
          <w:rFonts w:eastAsia="宋体"/>
          <w:b/>
          <w:color w:val="000000"/>
          <w:sz w:val="24"/>
          <w:szCs w:val="24"/>
        </w:rPr>
        <w:t>2025</w:t>
      </w:r>
      <w:r w:rsidRPr="005D1855">
        <w:rPr>
          <w:rFonts w:eastAsia="宋体"/>
          <w:b/>
          <w:color w:val="000000"/>
          <w:sz w:val="24"/>
          <w:szCs w:val="24"/>
        </w:rPr>
        <w:t>年</w:t>
      </w:r>
      <w:r w:rsidRPr="005D1855">
        <w:rPr>
          <w:rFonts w:eastAsia="宋体"/>
          <w:b/>
          <w:color w:val="000000"/>
          <w:sz w:val="24"/>
          <w:szCs w:val="24"/>
        </w:rPr>
        <w:t>4</w:t>
      </w:r>
      <w:r w:rsidRPr="005D1855">
        <w:rPr>
          <w:rFonts w:eastAsia="宋体"/>
          <w:b/>
          <w:color w:val="000000"/>
          <w:sz w:val="24"/>
          <w:szCs w:val="24"/>
        </w:rPr>
        <w:t>月</w:t>
      </w:r>
      <w:r w:rsidRPr="005D1855">
        <w:rPr>
          <w:rFonts w:eastAsia="宋体"/>
          <w:b/>
          <w:color w:val="000000"/>
          <w:sz w:val="24"/>
          <w:szCs w:val="24"/>
        </w:rPr>
        <w:t>22</w:t>
      </w:r>
      <w:r w:rsidRPr="005D1855">
        <w:rPr>
          <w:rFonts w:eastAsia="宋体"/>
          <w:b/>
          <w:color w:val="000000"/>
          <w:sz w:val="24"/>
          <w:szCs w:val="24"/>
        </w:rPr>
        <w:t>日</w:t>
      </w:r>
    </w:p>
    <w:p w:rsidR="00694855" w:rsidRPr="005D1855" w:rsidRDefault="00694855">
      <w:pPr>
        <w:spacing w:line="360" w:lineRule="auto"/>
        <w:jc w:val="center"/>
        <w:rPr>
          <w:rFonts w:eastAsia="宋体"/>
          <w:color w:val="000000"/>
          <w:sz w:val="24"/>
        </w:rPr>
      </w:pPr>
    </w:p>
    <w:p w:rsidR="005D1855" w:rsidRPr="005D1855" w:rsidRDefault="00F6425F" w:rsidP="005D1855">
      <w:pPr>
        <w:pStyle w:val="3"/>
        <w:keepNext w:val="0"/>
        <w:keepLines w:val="0"/>
        <w:spacing w:before="0" w:after="0" w:line="360" w:lineRule="auto"/>
        <w:rPr>
          <w:bCs w:val="0"/>
          <w:sz w:val="24"/>
          <w:szCs w:val="24"/>
        </w:rPr>
      </w:pPr>
      <w:bookmarkStart w:id="0" w:name="_Toc275961418"/>
      <w:r w:rsidRPr="005D1855">
        <w:rPr>
          <w:rFonts w:hint="eastAsia"/>
          <w:sz w:val="24"/>
          <w:szCs w:val="24"/>
        </w:rPr>
        <w:t>一、公募</w:t>
      </w:r>
      <w:r w:rsidRPr="005D1855">
        <w:rPr>
          <w:sz w:val="24"/>
          <w:szCs w:val="24"/>
        </w:rPr>
        <w:t>REITs</w:t>
      </w:r>
      <w:r w:rsidRPr="005D1855">
        <w:rPr>
          <w:rFonts w:hint="eastAsia"/>
          <w:bCs w:val="0"/>
          <w:sz w:val="24"/>
          <w:szCs w:val="24"/>
        </w:rPr>
        <w:t>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1"/>
        <w:gridCol w:w="3685"/>
        <w:gridCol w:w="4420"/>
      </w:tblGrid>
      <w:tr w:rsidR="005B371C">
        <w:trPr>
          <w:jc w:val="center"/>
        </w:trPr>
        <w:tc>
          <w:tcPr>
            <w:tcW w:w="5186" w:type="dxa"/>
            <w:gridSpan w:val="2"/>
          </w:tcPr>
          <w:p w:rsidR="005D1855" w:rsidRPr="005D1855" w:rsidRDefault="00F6425F" w:rsidP="005D1855">
            <w:pPr>
              <w:rPr>
                <w:rFonts w:eastAsia="宋体"/>
                <w:sz w:val="24"/>
                <w:szCs w:val="24"/>
              </w:rPr>
            </w:pPr>
            <w:r w:rsidRPr="005D1855">
              <w:rPr>
                <w:rFonts w:eastAsia="宋体" w:hint="eastAsia"/>
                <w:sz w:val="24"/>
                <w:szCs w:val="24"/>
              </w:rPr>
              <w:t>公募</w:t>
            </w:r>
            <w:r w:rsidRPr="005D1855">
              <w:rPr>
                <w:rFonts w:eastAsia="宋体"/>
                <w:sz w:val="24"/>
                <w:szCs w:val="24"/>
              </w:rPr>
              <w:t>REITs</w:t>
            </w:r>
            <w:r w:rsidRPr="005D1855">
              <w:rPr>
                <w:rFonts w:eastAsia="宋体" w:hint="eastAsia"/>
                <w:sz w:val="24"/>
                <w:szCs w:val="24"/>
              </w:rPr>
              <w:t>名称</w:t>
            </w:r>
          </w:p>
        </w:tc>
        <w:tc>
          <w:tcPr>
            <w:tcW w:w="4420" w:type="dxa"/>
            <w:vAlign w:val="center"/>
          </w:tcPr>
          <w:p w:rsidR="005D1855" w:rsidRPr="005D1855" w:rsidRDefault="00F6425F" w:rsidP="005D1855">
            <w:pPr>
              <w:rPr>
                <w:rFonts w:eastAsia="宋体"/>
                <w:sz w:val="24"/>
                <w:szCs w:val="24"/>
              </w:rPr>
            </w:pPr>
            <w:r w:rsidRPr="005D1855">
              <w:rPr>
                <w:rFonts w:eastAsia="宋体"/>
                <w:sz w:val="24"/>
                <w:szCs w:val="24"/>
              </w:rPr>
              <w:t>易方达深高速高速公路封闭式基础设施证券投资基金</w:t>
            </w:r>
          </w:p>
        </w:tc>
      </w:tr>
      <w:tr w:rsidR="005B371C">
        <w:trPr>
          <w:jc w:val="center"/>
        </w:trPr>
        <w:tc>
          <w:tcPr>
            <w:tcW w:w="5186" w:type="dxa"/>
            <w:gridSpan w:val="2"/>
          </w:tcPr>
          <w:p w:rsidR="005D1855" w:rsidRPr="005D1855" w:rsidRDefault="00F6425F" w:rsidP="005D1855">
            <w:pPr>
              <w:rPr>
                <w:rFonts w:eastAsia="宋体"/>
                <w:sz w:val="24"/>
                <w:szCs w:val="24"/>
              </w:rPr>
            </w:pPr>
            <w:r w:rsidRPr="005D1855">
              <w:rPr>
                <w:rFonts w:eastAsia="宋体" w:hint="eastAsia"/>
                <w:sz w:val="24"/>
                <w:szCs w:val="24"/>
              </w:rPr>
              <w:t>公募</w:t>
            </w:r>
            <w:r w:rsidRPr="005D1855">
              <w:rPr>
                <w:rFonts w:eastAsia="宋体"/>
                <w:sz w:val="24"/>
                <w:szCs w:val="24"/>
              </w:rPr>
              <w:t>REITs</w:t>
            </w:r>
            <w:r w:rsidRPr="005D1855">
              <w:rPr>
                <w:rFonts w:eastAsia="宋体" w:hint="eastAsia"/>
                <w:sz w:val="24"/>
                <w:szCs w:val="24"/>
              </w:rPr>
              <w:t>简称</w:t>
            </w:r>
          </w:p>
        </w:tc>
        <w:tc>
          <w:tcPr>
            <w:tcW w:w="4420" w:type="dxa"/>
            <w:vAlign w:val="center"/>
          </w:tcPr>
          <w:p w:rsidR="005D1855" w:rsidRPr="005D1855" w:rsidRDefault="00F6425F" w:rsidP="005D1855">
            <w:pPr>
              <w:rPr>
                <w:rFonts w:eastAsia="宋体"/>
                <w:sz w:val="24"/>
                <w:szCs w:val="24"/>
              </w:rPr>
            </w:pPr>
            <w:r w:rsidRPr="005D1855">
              <w:rPr>
                <w:rFonts w:eastAsia="宋体"/>
                <w:sz w:val="24"/>
                <w:szCs w:val="24"/>
              </w:rPr>
              <w:t>易方达深高速</w:t>
            </w:r>
            <w:r w:rsidRPr="005D1855">
              <w:rPr>
                <w:rFonts w:eastAsia="宋体"/>
                <w:sz w:val="24"/>
                <w:szCs w:val="24"/>
              </w:rPr>
              <w:t>REIT</w:t>
            </w:r>
          </w:p>
        </w:tc>
      </w:tr>
      <w:tr w:rsidR="005B371C">
        <w:trPr>
          <w:jc w:val="center"/>
        </w:trPr>
        <w:tc>
          <w:tcPr>
            <w:tcW w:w="5186" w:type="dxa"/>
            <w:gridSpan w:val="2"/>
          </w:tcPr>
          <w:p w:rsidR="005D1855" w:rsidRPr="005D1855" w:rsidRDefault="00F6425F" w:rsidP="005D1855">
            <w:pPr>
              <w:rPr>
                <w:rFonts w:eastAsia="宋体"/>
                <w:sz w:val="24"/>
                <w:szCs w:val="24"/>
              </w:rPr>
            </w:pPr>
            <w:r w:rsidRPr="005D1855">
              <w:rPr>
                <w:rFonts w:eastAsia="宋体" w:hint="eastAsia"/>
                <w:sz w:val="24"/>
                <w:szCs w:val="24"/>
              </w:rPr>
              <w:t>公募</w:t>
            </w:r>
            <w:r w:rsidRPr="005D1855">
              <w:rPr>
                <w:rFonts w:eastAsia="宋体"/>
                <w:sz w:val="24"/>
                <w:szCs w:val="24"/>
              </w:rPr>
              <w:t>REITs</w:t>
            </w:r>
            <w:r w:rsidRPr="005D1855">
              <w:rPr>
                <w:rFonts w:eastAsia="宋体" w:hint="eastAsia"/>
                <w:sz w:val="24"/>
                <w:szCs w:val="24"/>
              </w:rPr>
              <w:t>代码</w:t>
            </w:r>
          </w:p>
        </w:tc>
        <w:tc>
          <w:tcPr>
            <w:tcW w:w="4420" w:type="dxa"/>
            <w:vAlign w:val="center"/>
          </w:tcPr>
          <w:p w:rsidR="005D1855" w:rsidRPr="005D1855" w:rsidRDefault="00F6425F" w:rsidP="005D1855">
            <w:pPr>
              <w:rPr>
                <w:rFonts w:eastAsia="宋体"/>
                <w:sz w:val="24"/>
                <w:szCs w:val="24"/>
              </w:rPr>
            </w:pPr>
            <w:r w:rsidRPr="005D1855">
              <w:rPr>
                <w:rFonts w:eastAsia="宋体"/>
                <w:sz w:val="24"/>
                <w:szCs w:val="24"/>
              </w:rPr>
              <w:t>508033</w:t>
            </w:r>
          </w:p>
        </w:tc>
      </w:tr>
      <w:tr w:rsidR="005B371C">
        <w:trPr>
          <w:jc w:val="center"/>
        </w:trPr>
        <w:tc>
          <w:tcPr>
            <w:tcW w:w="5186" w:type="dxa"/>
            <w:gridSpan w:val="2"/>
            <w:vAlign w:val="center"/>
          </w:tcPr>
          <w:p w:rsidR="005D1855" w:rsidRPr="005D1855" w:rsidRDefault="00F6425F" w:rsidP="005D1855">
            <w:pPr>
              <w:rPr>
                <w:rFonts w:eastAsia="宋体"/>
                <w:sz w:val="24"/>
                <w:szCs w:val="24"/>
              </w:rPr>
            </w:pPr>
            <w:r w:rsidRPr="005D1855">
              <w:rPr>
                <w:rFonts w:eastAsia="宋体" w:hint="eastAsia"/>
                <w:sz w:val="24"/>
                <w:szCs w:val="24"/>
              </w:rPr>
              <w:t>公募</w:t>
            </w:r>
            <w:r w:rsidRPr="005D1855">
              <w:rPr>
                <w:rFonts w:eastAsia="宋体"/>
                <w:sz w:val="24"/>
                <w:szCs w:val="24"/>
              </w:rPr>
              <w:t>REITs</w:t>
            </w:r>
            <w:r w:rsidRPr="005D1855">
              <w:rPr>
                <w:rFonts w:eastAsia="宋体" w:hint="eastAsia"/>
                <w:sz w:val="24"/>
                <w:szCs w:val="24"/>
              </w:rPr>
              <w:t>合同生效日</w:t>
            </w:r>
          </w:p>
        </w:tc>
        <w:tc>
          <w:tcPr>
            <w:tcW w:w="4420" w:type="dxa"/>
            <w:vAlign w:val="center"/>
          </w:tcPr>
          <w:p w:rsidR="005D1855" w:rsidRPr="005D1855" w:rsidRDefault="00F6425F" w:rsidP="005D1855">
            <w:pPr>
              <w:rPr>
                <w:rFonts w:eastAsia="宋体"/>
                <w:sz w:val="24"/>
                <w:szCs w:val="24"/>
              </w:rPr>
            </w:pPr>
            <w:r w:rsidRPr="005D1855">
              <w:rPr>
                <w:rFonts w:eastAsia="宋体"/>
                <w:sz w:val="24"/>
                <w:szCs w:val="24"/>
              </w:rPr>
              <w:t>2024</w:t>
            </w:r>
            <w:r w:rsidRPr="005D1855">
              <w:rPr>
                <w:rFonts w:eastAsia="宋体"/>
                <w:sz w:val="24"/>
                <w:szCs w:val="24"/>
              </w:rPr>
              <w:t>年</w:t>
            </w:r>
            <w:r w:rsidRPr="005D1855">
              <w:rPr>
                <w:rFonts w:eastAsia="宋体"/>
                <w:sz w:val="24"/>
                <w:szCs w:val="24"/>
              </w:rPr>
              <w:t>3</w:t>
            </w:r>
            <w:r w:rsidRPr="005D1855">
              <w:rPr>
                <w:rFonts w:eastAsia="宋体"/>
                <w:sz w:val="24"/>
                <w:szCs w:val="24"/>
              </w:rPr>
              <w:t>月</w:t>
            </w:r>
            <w:r w:rsidRPr="005D1855">
              <w:rPr>
                <w:rFonts w:eastAsia="宋体"/>
                <w:sz w:val="24"/>
                <w:szCs w:val="24"/>
              </w:rPr>
              <w:t>12</w:t>
            </w:r>
            <w:r w:rsidRPr="005D1855">
              <w:rPr>
                <w:rFonts w:eastAsia="宋体"/>
                <w:sz w:val="24"/>
                <w:szCs w:val="24"/>
              </w:rPr>
              <w:t>日</w:t>
            </w:r>
          </w:p>
        </w:tc>
      </w:tr>
      <w:tr w:rsidR="005B371C">
        <w:trPr>
          <w:jc w:val="center"/>
        </w:trPr>
        <w:tc>
          <w:tcPr>
            <w:tcW w:w="5186" w:type="dxa"/>
            <w:gridSpan w:val="2"/>
          </w:tcPr>
          <w:p w:rsidR="00694855" w:rsidRPr="005D1855" w:rsidRDefault="00F6425F">
            <w:pPr>
              <w:rPr>
                <w:rFonts w:eastAsia="宋体"/>
                <w:sz w:val="24"/>
                <w:szCs w:val="24"/>
              </w:rPr>
            </w:pPr>
            <w:r w:rsidRPr="005D1855">
              <w:rPr>
                <w:rFonts w:eastAsia="宋体"/>
                <w:sz w:val="24"/>
                <w:szCs w:val="24"/>
              </w:rPr>
              <w:t>基金管理人名称</w:t>
            </w:r>
          </w:p>
        </w:tc>
        <w:tc>
          <w:tcPr>
            <w:tcW w:w="4420" w:type="dxa"/>
            <w:vAlign w:val="center"/>
          </w:tcPr>
          <w:p w:rsidR="00694855" w:rsidRPr="005D1855" w:rsidRDefault="00F6425F">
            <w:pPr>
              <w:rPr>
                <w:rFonts w:eastAsia="宋体"/>
                <w:sz w:val="24"/>
                <w:szCs w:val="24"/>
              </w:rPr>
            </w:pPr>
            <w:r w:rsidRPr="005D1855">
              <w:rPr>
                <w:rFonts w:eastAsia="宋体"/>
                <w:sz w:val="24"/>
                <w:szCs w:val="24"/>
              </w:rPr>
              <w:t>易方达基金管理有限公司</w:t>
            </w:r>
          </w:p>
        </w:tc>
      </w:tr>
      <w:tr w:rsidR="005B371C">
        <w:trPr>
          <w:jc w:val="center"/>
        </w:trPr>
        <w:tc>
          <w:tcPr>
            <w:tcW w:w="5186" w:type="dxa"/>
            <w:gridSpan w:val="2"/>
          </w:tcPr>
          <w:p w:rsidR="00694855" w:rsidRPr="005D1855" w:rsidRDefault="00F6425F">
            <w:pPr>
              <w:rPr>
                <w:rFonts w:eastAsia="宋体"/>
                <w:sz w:val="24"/>
                <w:szCs w:val="24"/>
              </w:rPr>
            </w:pPr>
            <w:r w:rsidRPr="005D1855">
              <w:rPr>
                <w:rFonts w:eastAsia="宋体"/>
                <w:sz w:val="24"/>
                <w:szCs w:val="24"/>
              </w:rPr>
              <w:t>基金托管人名称</w:t>
            </w:r>
          </w:p>
        </w:tc>
        <w:tc>
          <w:tcPr>
            <w:tcW w:w="4420" w:type="dxa"/>
            <w:vAlign w:val="center"/>
          </w:tcPr>
          <w:p w:rsidR="00694855" w:rsidRPr="005D1855" w:rsidRDefault="00F6425F">
            <w:pPr>
              <w:rPr>
                <w:rFonts w:eastAsia="宋体"/>
                <w:sz w:val="24"/>
                <w:szCs w:val="24"/>
              </w:rPr>
            </w:pPr>
            <w:r w:rsidRPr="005D1855">
              <w:rPr>
                <w:rFonts w:eastAsia="宋体"/>
                <w:sz w:val="24"/>
                <w:szCs w:val="24"/>
              </w:rPr>
              <w:t>中国工商银行股份有限公司</w:t>
            </w:r>
          </w:p>
        </w:tc>
      </w:tr>
      <w:tr w:rsidR="005B371C">
        <w:trPr>
          <w:jc w:val="center"/>
        </w:trPr>
        <w:tc>
          <w:tcPr>
            <w:tcW w:w="5186" w:type="dxa"/>
            <w:gridSpan w:val="2"/>
          </w:tcPr>
          <w:p w:rsidR="00694855" w:rsidRPr="005D1855" w:rsidRDefault="00F6425F">
            <w:pPr>
              <w:rPr>
                <w:rFonts w:eastAsia="宋体"/>
                <w:sz w:val="24"/>
                <w:szCs w:val="24"/>
              </w:rPr>
            </w:pPr>
            <w:r w:rsidRPr="005D1855">
              <w:rPr>
                <w:rFonts w:eastAsia="宋体"/>
                <w:sz w:val="24"/>
                <w:szCs w:val="24"/>
              </w:rPr>
              <w:t>公告依据</w:t>
            </w:r>
          </w:p>
        </w:tc>
        <w:tc>
          <w:tcPr>
            <w:tcW w:w="4420" w:type="dxa"/>
            <w:vAlign w:val="center"/>
          </w:tcPr>
          <w:p w:rsidR="00694855" w:rsidRPr="005D1855" w:rsidRDefault="00F6425F">
            <w:pPr>
              <w:rPr>
                <w:rFonts w:eastAsia="宋体"/>
                <w:sz w:val="24"/>
                <w:szCs w:val="24"/>
              </w:rPr>
            </w:pPr>
            <w:r w:rsidRPr="005D1855">
              <w:rPr>
                <w:rFonts w:eastAsia="宋体"/>
                <w:sz w:val="24"/>
                <w:szCs w:val="24"/>
              </w:rPr>
              <w:t>《公开募集证券投资基金信息披露管理办法》《易方达深高速高速公路封闭式基础设施证券投资基金基金合同》《易方达深高速高速公路封闭式基础设施证券投资基金更新的招募说明书》</w:t>
            </w:r>
          </w:p>
        </w:tc>
      </w:tr>
      <w:tr w:rsidR="005B371C">
        <w:trPr>
          <w:jc w:val="center"/>
        </w:trPr>
        <w:tc>
          <w:tcPr>
            <w:tcW w:w="5186" w:type="dxa"/>
            <w:gridSpan w:val="2"/>
          </w:tcPr>
          <w:p w:rsidR="00694855" w:rsidRPr="005D1855" w:rsidRDefault="00F6425F">
            <w:pPr>
              <w:rPr>
                <w:rFonts w:eastAsia="宋体"/>
                <w:sz w:val="24"/>
                <w:szCs w:val="24"/>
              </w:rPr>
            </w:pPr>
            <w:r w:rsidRPr="005D1855">
              <w:rPr>
                <w:rFonts w:eastAsia="宋体"/>
                <w:sz w:val="24"/>
                <w:szCs w:val="24"/>
              </w:rPr>
              <w:t>收益分配基准日</w:t>
            </w:r>
          </w:p>
        </w:tc>
        <w:tc>
          <w:tcPr>
            <w:tcW w:w="4420" w:type="dxa"/>
          </w:tcPr>
          <w:p w:rsidR="00694855" w:rsidRPr="005D1855" w:rsidRDefault="00F6425F">
            <w:pPr>
              <w:rPr>
                <w:rFonts w:eastAsia="宋体"/>
                <w:sz w:val="24"/>
                <w:szCs w:val="24"/>
              </w:rPr>
            </w:pPr>
            <w:r w:rsidRPr="005D1855">
              <w:rPr>
                <w:rFonts w:eastAsia="宋体"/>
                <w:sz w:val="24"/>
                <w:szCs w:val="24"/>
              </w:rPr>
              <w:t>2024</w:t>
            </w:r>
            <w:r w:rsidRPr="005D1855">
              <w:rPr>
                <w:rFonts w:eastAsia="宋体"/>
                <w:sz w:val="24"/>
                <w:szCs w:val="24"/>
              </w:rPr>
              <w:t>年</w:t>
            </w:r>
            <w:r w:rsidRPr="005D1855">
              <w:rPr>
                <w:rFonts w:eastAsia="宋体"/>
                <w:sz w:val="24"/>
                <w:szCs w:val="24"/>
              </w:rPr>
              <w:t>12</w:t>
            </w:r>
            <w:r w:rsidRPr="005D1855">
              <w:rPr>
                <w:rFonts w:eastAsia="宋体"/>
                <w:sz w:val="24"/>
                <w:szCs w:val="24"/>
              </w:rPr>
              <w:t>月</w:t>
            </w:r>
            <w:r w:rsidRPr="005D1855">
              <w:rPr>
                <w:rFonts w:eastAsia="宋体"/>
                <w:sz w:val="24"/>
                <w:szCs w:val="24"/>
              </w:rPr>
              <w:t>31</w:t>
            </w:r>
            <w:r w:rsidRPr="005D1855">
              <w:rPr>
                <w:rFonts w:eastAsia="宋体"/>
                <w:sz w:val="24"/>
                <w:szCs w:val="24"/>
              </w:rPr>
              <w:t>日</w:t>
            </w:r>
          </w:p>
        </w:tc>
      </w:tr>
      <w:tr w:rsidR="005B371C">
        <w:trPr>
          <w:jc w:val="center"/>
        </w:trPr>
        <w:tc>
          <w:tcPr>
            <w:tcW w:w="1501" w:type="dxa"/>
            <w:vMerge w:val="restart"/>
            <w:vAlign w:val="center"/>
          </w:tcPr>
          <w:p w:rsidR="005D1855" w:rsidRPr="005D1855" w:rsidRDefault="00F6425F" w:rsidP="005D1855">
            <w:pPr>
              <w:rPr>
                <w:rFonts w:eastAsia="宋体"/>
                <w:sz w:val="24"/>
                <w:szCs w:val="24"/>
              </w:rPr>
            </w:pPr>
            <w:r w:rsidRPr="005D1855">
              <w:rPr>
                <w:rFonts w:eastAsia="宋体" w:hint="eastAsia"/>
                <w:sz w:val="24"/>
                <w:szCs w:val="24"/>
              </w:rPr>
              <w:t>截止收益分配基准日基金的相关指标</w:t>
            </w:r>
          </w:p>
        </w:tc>
        <w:tc>
          <w:tcPr>
            <w:tcW w:w="3685" w:type="dxa"/>
          </w:tcPr>
          <w:p w:rsidR="005D1855" w:rsidRPr="005D1855" w:rsidRDefault="00F6425F" w:rsidP="005D1855">
            <w:pPr>
              <w:rPr>
                <w:rFonts w:eastAsia="宋体"/>
                <w:sz w:val="24"/>
                <w:szCs w:val="24"/>
              </w:rPr>
            </w:pPr>
            <w:r w:rsidRPr="005D1855">
              <w:rPr>
                <w:rFonts w:eastAsia="宋体" w:hint="eastAsia"/>
                <w:sz w:val="24"/>
                <w:szCs w:val="24"/>
              </w:rPr>
              <w:t>基准日公募</w:t>
            </w:r>
            <w:r w:rsidRPr="005D1855">
              <w:rPr>
                <w:rFonts w:eastAsia="宋体"/>
                <w:sz w:val="24"/>
                <w:szCs w:val="24"/>
              </w:rPr>
              <w:t>REITs</w:t>
            </w:r>
            <w:r w:rsidRPr="005D1855">
              <w:rPr>
                <w:rFonts w:eastAsia="宋体" w:hint="eastAsia"/>
                <w:sz w:val="24"/>
                <w:szCs w:val="24"/>
              </w:rPr>
              <w:t>份额净值（单位：元）</w:t>
            </w:r>
          </w:p>
        </w:tc>
        <w:tc>
          <w:tcPr>
            <w:tcW w:w="4420" w:type="dxa"/>
          </w:tcPr>
          <w:p w:rsidR="005D1855" w:rsidRPr="005D1855" w:rsidRDefault="00F6425F" w:rsidP="005D1855">
            <w:pPr>
              <w:rPr>
                <w:rFonts w:eastAsia="宋体"/>
                <w:sz w:val="24"/>
                <w:szCs w:val="24"/>
              </w:rPr>
            </w:pPr>
            <w:r w:rsidRPr="005D1855">
              <w:rPr>
                <w:rFonts w:eastAsia="宋体"/>
                <w:sz w:val="24"/>
                <w:szCs w:val="24"/>
              </w:rPr>
              <w:t>6.2505</w:t>
            </w:r>
          </w:p>
        </w:tc>
      </w:tr>
      <w:tr w:rsidR="005B371C" w:rsidTr="00680B48">
        <w:trPr>
          <w:jc w:val="center"/>
        </w:trPr>
        <w:tc>
          <w:tcPr>
            <w:tcW w:w="1501" w:type="dxa"/>
            <w:vMerge/>
            <w:vAlign w:val="center"/>
          </w:tcPr>
          <w:p w:rsidR="005D1855" w:rsidRPr="005D1855" w:rsidRDefault="005D1855" w:rsidP="005D1855">
            <w:pPr>
              <w:rPr>
                <w:rFonts w:eastAsia="宋体"/>
                <w:sz w:val="24"/>
                <w:szCs w:val="24"/>
              </w:rPr>
            </w:pPr>
          </w:p>
        </w:tc>
        <w:tc>
          <w:tcPr>
            <w:tcW w:w="3685" w:type="dxa"/>
          </w:tcPr>
          <w:p w:rsidR="005D1855" w:rsidRPr="005D1855" w:rsidRDefault="00F6425F" w:rsidP="005D1855">
            <w:pPr>
              <w:rPr>
                <w:rFonts w:eastAsia="宋体"/>
                <w:sz w:val="24"/>
                <w:szCs w:val="24"/>
              </w:rPr>
            </w:pPr>
            <w:r w:rsidRPr="005D1855">
              <w:rPr>
                <w:rFonts w:eastAsia="宋体" w:hint="eastAsia"/>
                <w:sz w:val="24"/>
                <w:szCs w:val="24"/>
              </w:rPr>
              <w:t>基准日公募</w:t>
            </w:r>
            <w:r w:rsidRPr="005D1855">
              <w:rPr>
                <w:rFonts w:eastAsia="宋体"/>
                <w:sz w:val="24"/>
                <w:szCs w:val="24"/>
              </w:rPr>
              <w:t>REITs</w:t>
            </w:r>
            <w:r w:rsidRPr="005D1855">
              <w:rPr>
                <w:rFonts w:eastAsia="宋体" w:hint="eastAsia"/>
                <w:sz w:val="24"/>
                <w:szCs w:val="24"/>
              </w:rPr>
              <w:t>可供分配金额（单位：元）</w:t>
            </w:r>
          </w:p>
        </w:tc>
        <w:tc>
          <w:tcPr>
            <w:tcW w:w="4420" w:type="dxa"/>
          </w:tcPr>
          <w:p w:rsidR="005D1855" w:rsidRPr="005D1855" w:rsidRDefault="00F6425F" w:rsidP="005D1855">
            <w:pPr>
              <w:rPr>
                <w:rFonts w:eastAsia="宋体"/>
                <w:sz w:val="24"/>
                <w:szCs w:val="24"/>
              </w:rPr>
            </w:pPr>
            <w:r w:rsidRPr="005D1855">
              <w:rPr>
                <w:rFonts w:eastAsia="宋体"/>
                <w:sz w:val="24"/>
                <w:szCs w:val="24"/>
              </w:rPr>
              <w:t>47,885,158.50</w:t>
            </w:r>
          </w:p>
        </w:tc>
      </w:tr>
      <w:tr w:rsidR="005B371C" w:rsidTr="00680B48">
        <w:trPr>
          <w:jc w:val="center"/>
        </w:trPr>
        <w:tc>
          <w:tcPr>
            <w:tcW w:w="1501" w:type="dxa"/>
            <w:vMerge/>
            <w:vAlign w:val="center"/>
          </w:tcPr>
          <w:p w:rsidR="005D1855" w:rsidRPr="005D1855" w:rsidRDefault="005D1855" w:rsidP="005D1855">
            <w:pPr>
              <w:rPr>
                <w:rFonts w:eastAsia="宋体"/>
                <w:sz w:val="24"/>
                <w:szCs w:val="24"/>
              </w:rPr>
            </w:pPr>
          </w:p>
        </w:tc>
        <w:tc>
          <w:tcPr>
            <w:tcW w:w="3685" w:type="dxa"/>
          </w:tcPr>
          <w:p w:rsidR="005D1855" w:rsidRPr="005D1855" w:rsidRDefault="00F6425F" w:rsidP="005D1855">
            <w:pPr>
              <w:rPr>
                <w:rFonts w:eastAsia="宋体"/>
                <w:sz w:val="24"/>
                <w:szCs w:val="24"/>
              </w:rPr>
            </w:pPr>
            <w:r w:rsidRPr="005D1855">
              <w:rPr>
                <w:rFonts w:eastAsia="宋体" w:hint="eastAsia"/>
                <w:sz w:val="24"/>
                <w:szCs w:val="24"/>
              </w:rPr>
              <w:t>截止基准日公募</w:t>
            </w:r>
            <w:r w:rsidRPr="005D1855">
              <w:rPr>
                <w:rFonts w:eastAsia="宋体"/>
                <w:sz w:val="24"/>
                <w:szCs w:val="24"/>
              </w:rPr>
              <w:t>REITs</w:t>
            </w:r>
            <w:r w:rsidRPr="005D1855">
              <w:rPr>
                <w:rFonts w:eastAsia="宋体" w:hint="eastAsia"/>
                <w:sz w:val="24"/>
                <w:szCs w:val="24"/>
              </w:rPr>
              <w:t>按照合同约定的分红比例计算的应分配金额（单位：元）</w:t>
            </w:r>
          </w:p>
        </w:tc>
        <w:tc>
          <w:tcPr>
            <w:tcW w:w="4420" w:type="dxa"/>
          </w:tcPr>
          <w:p w:rsidR="005D1855" w:rsidRPr="005D1855" w:rsidRDefault="00F6425F" w:rsidP="005D1855">
            <w:pPr>
              <w:rPr>
                <w:rFonts w:eastAsia="宋体"/>
                <w:sz w:val="24"/>
                <w:szCs w:val="24"/>
              </w:rPr>
            </w:pPr>
            <w:r w:rsidRPr="00F83A4F">
              <w:rPr>
                <w:rFonts w:eastAsia="宋体"/>
                <w:sz w:val="24"/>
                <w:szCs w:val="24"/>
              </w:rPr>
              <w:t>19,819,642.62</w:t>
            </w:r>
          </w:p>
        </w:tc>
      </w:tr>
      <w:tr w:rsidR="005B371C">
        <w:trPr>
          <w:jc w:val="center"/>
        </w:trPr>
        <w:tc>
          <w:tcPr>
            <w:tcW w:w="5186" w:type="dxa"/>
            <w:gridSpan w:val="2"/>
          </w:tcPr>
          <w:p w:rsidR="00694855" w:rsidRPr="005D1855" w:rsidRDefault="00F6425F" w:rsidP="005D1855">
            <w:pPr>
              <w:widowControl/>
              <w:jc w:val="left"/>
              <w:rPr>
                <w:rFonts w:eastAsia="宋体" w:cs="宋体"/>
                <w:kern w:val="0"/>
                <w:sz w:val="24"/>
                <w:szCs w:val="24"/>
              </w:rPr>
            </w:pPr>
            <w:r w:rsidRPr="005D1855">
              <w:rPr>
                <w:rFonts w:eastAsia="宋体" w:hint="eastAsia"/>
                <w:sz w:val="24"/>
                <w:szCs w:val="24"/>
              </w:rPr>
              <w:t>本次公募</w:t>
            </w:r>
            <w:r w:rsidRPr="005D1855">
              <w:rPr>
                <w:rFonts w:eastAsia="宋体"/>
                <w:sz w:val="24"/>
                <w:szCs w:val="24"/>
              </w:rPr>
              <w:t>REITs</w:t>
            </w:r>
            <w:r w:rsidRPr="005D1855">
              <w:rPr>
                <w:rFonts w:eastAsia="宋体" w:hint="eastAsia"/>
                <w:sz w:val="24"/>
                <w:szCs w:val="24"/>
              </w:rPr>
              <w:t>分红方案（单位：元</w:t>
            </w:r>
            <w:r w:rsidRPr="005D1855">
              <w:rPr>
                <w:rFonts w:eastAsia="宋体"/>
                <w:sz w:val="24"/>
                <w:szCs w:val="24"/>
              </w:rPr>
              <w:t>/10</w:t>
            </w:r>
            <w:r w:rsidRPr="005D1855">
              <w:rPr>
                <w:rFonts w:eastAsia="宋体" w:hint="eastAsia"/>
                <w:sz w:val="24"/>
                <w:szCs w:val="24"/>
              </w:rPr>
              <w:t>份基金份额）</w:t>
            </w:r>
            <w:r w:rsidRPr="005D1855">
              <w:rPr>
                <w:rFonts w:eastAsia="宋体" w:cs="宋体" w:hint="eastAsia"/>
                <w:kern w:val="0"/>
                <w:sz w:val="24"/>
                <w:szCs w:val="24"/>
              </w:rPr>
              <w:t xml:space="preserve"> </w:t>
            </w:r>
          </w:p>
        </w:tc>
        <w:tc>
          <w:tcPr>
            <w:tcW w:w="4420" w:type="dxa"/>
          </w:tcPr>
          <w:p w:rsidR="00694855" w:rsidRPr="005D1855" w:rsidRDefault="00F6425F">
            <w:pPr>
              <w:rPr>
                <w:rFonts w:eastAsia="宋体"/>
                <w:sz w:val="24"/>
                <w:szCs w:val="24"/>
              </w:rPr>
            </w:pPr>
            <w:r w:rsidRPr="005D1855">
              <w:rPr>
                <w:rFonts w:eastAsia="宋体"/>
                <w:sz w:val="24"/>
                <w:szCs w:val="24"/>
              </w:rPr>
              <w:t>1.596</w:t>
            </w:r>
          </w:p>
        </w:tc>
      </w:tr>
      <w:tr w:rsidR="005B371C">
        <w:trPr>
          <w:jc w:val="center"/>
        </w:trPr>
        <w:tc>
          <w:tcPr>
            <w:tcW w:w="5186" w:type="dxa"/>
            <w:gridSpan w:val="2"/>
            <w:vAlign w:val="center"/>
          </w:tcPr>
          <w:p w:rsidR="00694855" w:rsidRPr="005D1855" w:rsidRDefault="00F6425F">
            <w:pPr>
              <w:rPr>
                <w:rFonts w:eastAsia="宋体"/>
                <w:sz w:val="24"/>
                <w:szCs w:val="24"/>
              </w:rPr>
            </w:pPr>
            <w:r w:rsidRPr="005D1855">
              <w:rPr>
                <w:rFonts w:eastAsia="宋体"/>
                <w:sz w:val="24"/>
                <w:szCs w:val="24"/>
              </w:rPr>
              <w:t>有关年度分红次数的说明</w:t>
            </w:r>
          </w:p>
        </w:tc>
        <w:tc>
          <w:tcPr>
            <w:tcW w:w="4420" w:type="dxa"/>
            <w:vAlign w:val="center"/>
          </w:tcPr>
          <w:p w:rsidR="00694855" w:rsidRPr="005D1855" w:rsidRDefault="00F6425F" w:rsidP="00361443">
            <w:pPr>
              <w:rPr>
                <w:rFonts w:eastAsia="宋体"/>
                <w:sz w:val="24"/>
                <w:szCs w:val="24"/>
              </w:rPr>
            </w:pPr>
            <w:r w:rsidRPr="005D1855">
              <w:rPr>
                <w:rFonts w:eastAsia="宋体"/>
                <w:sz w:val="24"/>
                <w:szCs w:val="24"/>
              </w:rPr>
              <w:t>本次分红为</w:t>
            </w:r>
            <w:r w:rsidRPr="005D1855">
              <w:rPr>
                <w:rFonts w:eastAsia="宋体"/>
                <w:sz w:val="24"/>
                <w:szCs w:val="24"/>
              </w:rPr>
              <w:t>2024</w:t>
            </w:r>
            <w:r w:rsidRPr="005D1855">
              <w:rPr>
                <w:rFonts w:eastAsia="宋体"/>
                <w:sz w:val="24"/>
                <w:szCs w:val="24"/>
              </w:rPr>
              <w:t>年度的第</w:t>
            </w:r>
            <w:r w:rsidR="00361443">
              <w:rPr>
                <w:rFonts w:eastAsia="宋体"/>
                <w:sz w:val="24"/>
                <w:szCs w:val="24"/>
              </w:rPr>
              <w:t>4</w:t>
            </w:r>
            <w:r w:rsidRPr="005D1855">
              <w:rPr>
                <w:rFonts w:eastAsia="宋体"/>
                <w:sz w:val="24"/>
                <w:szCs w:val="24"/>
              </w:rPr>
              <w:t>次分红</w:t>
            </w:r>
          </w:p>
        </w:tc>
      </w:tr>
    </w:tbl>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注：</w:t>
      </w:r>
      <w:r w:rsidRPr="005D1855">
        <w:rPr>
          <w:rFonts w:eastAsia="宋体"/>
          <w:color w:val="000000"/>
          <w:sz w:val="24"/>
          <w:szCs w:val="24"/>
        </w:rPr>
        <w:t>1.</w:t>
      </w:r>
      <w:r w:rsidRPr="005D1855">
        <w:rPr>
          <w:rFonts w:eastAsia="宋体"/>
          <w:color w:val="000000"/>
          <w:sz w:val="24"/>
          <w:szCs w:val="24"/>
        </w:rPr>
        <w:t>本基金场内简称为</w:t>
      </w:r>
      <w:r w:rsidRPr="005D1855">
        <w:rPr>
          <w:rFonts w:eastAsia="宋体"/>
          <w:color w:val="000000"/>
          <w:sz w:val="24"/>
          <w:szCs w:val="24"/>
        </w:rPr>
        <w:t>“</w:t>
      </w:r>
      <w:r w:rsidRPr="005D1855">
        <w:rPr>
          <w:rFonts w:eastAsia="宋体"/>
          <w:color w:val="000000"/>
          <w:sz w:val="24"/>
          <w:szCs w:val="24"/>
        </w:rPr>
        <w:t>深高</w:t>
      </w:r>
      <w:r w:rsidRPr="005D1855">
        <w:rPr>
          <w:rFonts w:eastAsia="宋体"/>
          <w:color w:val="000000"/>
          <w:sz w:val="24"/>
          <w:szCs w:val="24"/>
        </w:rPr>
        <w:t>REIT”</w:t>
      </w:r>
      <w:r w:rsidRPr="005D1855">
        <w:rPr>
          <w:rFonts w:eastAsia="宋体"/>
          <w:color w:val="000000"/>
          <w:sz w:val="24"/>
          <w:szCs w:val="24"/>
        </w:rPr>
        <w:t>，扩位证券简称为</w:t>
      </w:r>
      <w:r w:rsidRPr="005D1855">
        <w:rPr>
          <w:rFonts w:eastAsia="宋体"/>
          <w:color w:val="000000"/>
          <w:sz w:val="24"/>
          <w:szCs w:val="24"/>
        </w:rPr>
        <w:t>“</w:t>
      </w:r>
      <w:r w:rsidRPr="005D1855">
        <w:rPr>
          <w:rFonts w:eastAsia="宋体"/>
          <w:color w:val="000000"/>
          <w:sz w:val="24"/>
          <w:szCs w:val="24"/>
        </w:rPr>
        <w:t>易方达深高速</w:t>
      </w:r>
      <w:r w:rsidRPr="005D1855">
        <w:rPr>
          <w:rFonts w:eastAsia="宋体"/>
          <w:color w:val="000000"/>
          <w:sz w:val="24"/>
          <w:szCs w:val="24"/>
        </w:rPr>
        <w:t>REIT”</w:t>
      </w:r>
      <w:r w:rsidRPr="005D1855">
        <w:rPr>
          <w:rFonts w:eastAsia="宋体"/>
          <w:color w:val="000000"/>
          <w:sz w:val="24"/>
          <w:szCs w:val="24"/>
        </w:rPr>
        <w:t>。</w:t>
      </w:r>
    </w:p>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2.</w:t>
      </w:r>
      <w:r w:rsidRPr="005D1855">
        <w:rPr>
          <w:rFonts w:eastAsia="宋体"/>
          <w:color w:val="000000"/>
          <w:sz w:val="24"/>
          <w:szCs w:val="24"/>
        </w:rPr>
        <w:t>本次收益分配方案已经基金托管人复核。</w:t>
      </w:r>
    </w:p>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3.</w:t>
      </w:r>
      <w:r w:rsidRPr="005D1855">
        <w:rPr>
          <w:rFonts w:eastAsia="宋体"/>
          <w:color w:val="000000"/>
          <w:sz w:val="24"/>
          <w:szCs w:val="24"/>
        </w:rPr>
        <w:t>根据《易方达深高速高速公路封闭式基础设施证券投资基金基金合同》规定，在符合有关基金分红的条件下，本基金每年至少进行收益分配</w:t>
      </w:r>
      <w:r w:rsidRPr="005D1855">
        <w:rPr>
          <w:rFonts w:eastAsia="宋体"/>
          <w:color w:val="000000"/>
          <w:sz w:val="24"/>
          <w:szCs w:val="24"/>
        </w:rPr>
        <w:t>1</w:t>
      </w:r>
      <w:r w:rsidRPr="005D1855">
        <w:rPr>
          <w:rFonts w:eastAsia="宋体"/>
          <w:color w:val="000000"/>
          <w:sz w:val="24"/>
          <w:szCs w:val="24"/>
        </w:rPr>
        <w:t>次，每次收益分配的比例应不低于合并后基金年度可供分配金额的</w:t>
      </w:r>
      <w:r w:rsidRPr="005D1855">
        <w:rPr>
          <w:rFonts w:eastAsia="宋体"/>
          <w:color w:val="000000"/>
          <w:sz w:val="24"/>
          <w:szCs w:val="24"/>
        </w:rPr>
        <w:t>90%</w:t>
      </w:r>
      <w:r w:rsidRPr="005D1855">
        <w:rPr>
          <w:rFonts w:eastAsia="宋体"/>
          <w:color w:val="000000"/>
          <w:sz w:val="24"/>
          <w:szCs w:val="24"/>
        </w:rPr>
        <w:t>。本次拟分配金额为</w:t>
      </w:r>
      <w:r w:rsidRPr="005D1855">
        <w:rPr>
          <w:rFonts w:eastAsia="宋体"/>
          <w:color w:val="000000"/>
          <w:sz w:val="24"/>
          <w:szCs w:val="24"/>
        </w:rPr>
        <w:t>47,880,000.00</w:t>
      </w:r>
      <w:r w:rsidRPr="005D1855">
        <w:rPr>
          <w:rFonts w:eastAsia="宋体"/>
          <w:color w:val="000000"/>
          <w:sz w:val="24"/>
          <w:szCs w:val="24"/>
        </w:rPr>
        <w:t>元，占前述收益分配基准日可供分配金额的</w:t>
      </w:r>
      <w:r w:rsidRPr="005D1855">
        <w:rPr>
          <w:rFonts w:eastAsia="宋体"/>
          <w:color w:val="000000"/>
          <w:sz w:val="24"/>
          <w:szCs w:val="24"/>
        </w:rPr>
        <w:t>99.99%</w:t>
      </w:r>
      <w:r w:rsidR="00F21F6F" w:rsidRPr="008C26E1">
        <w:rPr>
          <w:rFonts w:eastAsia="宋体" w:hint="eastAsia"/>
          <w:color w:val="000000"/>
          <w:sz w:val="24"/>
          <w:szCs w:val="24"/>
        </w:rPr>
        <w:t>，本次分红实施后，本基金</w:t>
      </w:r>
      <w:r w:rsidR="00F21F6F" w:rsidRPr="008C26E1">
        <w:rPr>
          <w:rFonts w:eastAsia="宋体"/>
          <w:color w:val="000000"/>
          <w:sz w:val="24"/>
          <w:szCs w:val="24"/>
        </w:rPr>
        <w:t>2024</w:t>
      </w:r>
      <w:r w:rsidR="00F21F6F" w:rsidRPr="008C26E1">
        <w:rPr>
          <w:rFonts w:eastAsia="宋体" w:hint="eastAsia"/>
          <w:color w:val="000000"/>
          <w:sz w:val="24"/>
          <w:szCs w:val="24"/>
        </w:rPr>
        <w:t>年度收益分配金额符合基金合同约定</w:t>
      </w:r>
      <w:r w:rsidRPr="005D1855">
        <w:rPr>
          <w:rFonts w:eastAsia="宋体"/>
          <w:color w:val="000000"/>
          <w:sz w:val="24"/>
          <w:szCs w:val="24"/>
        </w:rPr>
        <w:t>。截止基准日公募</w:t>
      </w:r>
      <w:r w:rsidRPr="005D1855">
        <w:rPr>
          <w:rFonts w:eastAsia="宋体"/>
          <w:color w:val="000000"/>
          <w:sz w:val="24"/>
          <w:szCs w:val="24"/>
        </w:rPr>
        <w:t>REITs</w:t>
      </w:r>
      <w:r w:rsidRPr="005D1855">
        <w:rPr>
          <w:rFonts w:eastAsia="宋体"/>
          <w:color w:val="000000"/>
          <w:sz w:val="24"/>
          <w:szCs w:val="24"/>
        </w:rPr>
        <w:t>按照本次分红比例计算的应分配金额与实际分配金额间可能存在尾差，具体以注</w:t>
      </w:r>
      <w:r w:rsidRPr="005D1855">
        <w:rPr>
          <w:rFonts w:eastAsia="宋体"/>
          <w:color w:val="000000"/>
          <w:sz w:val="24"/>
          <w:szCs w:val="24"/>
        </w:rPr>
        <w:lastRenderedPageBreak/>
        <w:t>册登记机构的规则为准。</w:t>
      </w:r>
    </w:p>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4.</w:t>
      </w:r>
      <w:r w:rsidRPr="005D1855">
        <w:rPr>
          <w:rFonts w:eastAsia="宋体"/>
          <w:color w:val="000000"/>
          <w:sz w:val="24"/>
          <w:szCs w:val="24"/>
        </w:rPr>
        <w:t>本基金可供分配金额是指在基金合并财务报表净利润基础上通过合理调整计算得出的金额，在可供分配金额计算过程中，应当先将合并财务报表净利润调整为税息折旧及摊销前利润（</w:t>
      </w:r>
      <w:r w:rsidRPr="005D1855">
        <w:rPr>
          <w:rFonts w:eastAsia="宋体"/>
          <w:color w:val="000000"/>
          <w:sz w:val="24"/>
          <w:szCs w:val="24"/>
        </w:rPr>
        <w:t>EBITDA</w:t>
      </w:r>
      <w:r w:rsidRPr="005D1855">
        <w:rPr>
          <w:rFonts w:eastAsia="宋体"/>
          <w:color w:val="000000"/>
          <w:sz w:val="24"/>
          <w:szCs w:val="24"/>
        </w:rPr>
        <w:t>），并在此基础上综合考虑项目公司持续发展、项目公司偿债能力、经营现金流等因素后确定可供分配金额计算调整</w:t>
      </w:r>
      <w:r w:rsidRPr="005D1855">
        <w:rPr>
          <w:rFonts w:eastAsia="宋体"/>
          <w:color w:val="000000"/>
          <w:sz w:val="24"/>
          <w:szCs w:val="24"/>
        </w:rPr>
        <w:t>项。</w:t>
      </w:r>
    </w:p>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本基金</w:t>
      </w:r>
      <w:r w:rsidRPr="005D1855">
        <w:rPr>
          <w:rFonts w:eastAsia="宋体"/>
          <w:color w:val="000000"/>
          <w:sz w:val="24"/>
          <w:szCs w:val="24"/>
        </w:rPr>
        <w:t>2024</w:t>
      </w:r>
      <w:r w:rsidRPr="005D1855">
        <w:rPr>
          <w:rFonts w:eastAsia="宋体"/>
          <w:color w:val="000000"/>
          <w:sz w:val="24"/>
          <w:szCs w:val="24"/>
        </w:rPr>
        <w:t>年</w:t>
      </w:r>
      <w:r w:rsidRPr="005D1855">
        <w:rPr>
          <w:rFonts w:eastAsia="宋体"/>
          <w:color w:val="000000"/>
          <w:sz w:val="24"/>
          <w:szCs w:val="24"/>
        </w:rPr>
        <w:t>3</w:t>
      </w:r>
      <w:r w:rsidRPr="005D1855">
        <w:rPr>
          <w:rFonts w:eastAsia="宋体"/>
          <w:color w:val="000000"/>
          <w:sz w:val="24"/>
          <w:szCs w:val="24"/>
        </w:rPr>
        <w:t>月</w:t>
      </w:r>
      <w:r w:rsidRPr="005D1855">
        <w:rPr>
          <w:rFonts w:eastAsia="宋体"/>
          <w:color w:val="000000"/>
          <w:sz w:val="24"/>
          <w:szCs w:val="24"/>
        </w:rPr>
        <w:t>12</w:t>
      </w:r>
      <w:r w:rsidRPr="005D1855">
        <w:rPr>
          <w:rFonts w:eastAsia="宋体"/>
          <w:color w:val="000000"/>
          <w:sz w:val="24"/>
          <w:szCs w:val="24"/>
        </w:rPr>
        <w:t>日（基金合同生效日）至</w:t>
      </w:r>
      <w:r w:rsidRPr="005D1855">
        <w:rPr>
          <w:rFonts w:eastAsia="宋体"/>
          <w:color w:val="000000"/>
          <w:sz w:val="24"/>
          <w:szCs w:val="24"/>
        </w:rPr>
        <w:t>2024</w:t>
      </w:r>
      <w:r w:rsidRPr="005D1855">
        <w:rPr>
          <w:rFonts w:eastAsia="宋体"/>
          <w:color w:val="000000"/>
          <w:sz w:val="24"/>
          <w:szCs w:val="24"/>
        </w:rPr>
        <w:t>年</w:t>
      </w:r>
      <w:r w:rsidRPr="005D1855">
        <w:rPr>
          <w:rFonts w:eastAsia="宋体"/>
          <w:color w:val="000000"/>
          <w:sz w:val="24"/>
          <w:szCs w:val="24"/>
        </w:rPr>
        <w:t>12</w:t>
      </w:r>
      <w:r w:rsidRPr="005D1855">
        <w:rPr>
          <w:rFonts w:eastAsia="宋体"/>
          <w:color w:val="000000"/>
          <w:sz w:val="24"/>
          <w:szCs w:val="24"/>
        </w:rPr>
        <w:t>月</w:t>
      </w:r>
      <w:r w:rsidRPr="005D1855">
        <w:rPr>
          <w:rFonts w:eastAsia="宋体"/>
          <w:color w:val="000000"/>
          <w:sz w:val="24"/>
          <w:szCs w:val="24"/>
        </w:rPr>
        <w:t>31</w:t>
      </w:r>
      <w:r w:rsidRPr="005D1855">
        <w:rPr>
          <w:rFonts w:eastAsia="宋体"/>
          <w:color w:val="000000"/>
          <w:sz w:val="24"/>
          <w:szCs w:val="24"/>
        </w:rPr>
        <w:t>日合并财务报表净利润为</w:t>
      </w:r>
      <w:r w:rsidRPr="005D1855">
        <w:rPr>
          <w:rFonts w:eastAsia="宋体"/>
          <w:color w:val="000000"/>
          <w:sz w:val="24"/>
          <w:szCs w:val="24"/>
        </w:rPr>
        <w:t>60,412,898.41</w:t>
      </w:r>
      <w:r w:rsidRPr="005D1855">
        <w:rPr>
          <w:rFonts w:eastAsia="宋体"/>
          <w:color w:val="000000"/>
          <w:sz w:val="24"/>
          <w:szCs w:val="24"/>
        </w:rPr>
        <w:t>元，期间可供分配金额计算调整项如下：基础设施基金发行份额募集的资金；</w:t>
      </w:r>
      <w:r w:rsidR="00441D7F" w:rsidRPr="005D1855">
        <w:rPr>
          <w:rFonts w:eastAsia="宋体"/>
          <w:color w:val="000000"/>
          <w:sz w:val="24"/>
          <w:szCs w:val="24"/>
        </w:rPr>
        <w:t>应收和应付项目的变动；期间固定资产处置相关调整；</w:t>
      </w:r>
      <w:r w:rsidRPr="005D1855">
        <w:rPr>
          <w:rFonts w:eastAsia="宋体"/>
          <w:color w:val="000000"/>
          <w:sz w:val="24"/>
          <w:szCs w:val="24"/>
        </w:rPr>
        <w:t>购买基础设施项目的净支出；</w:t>
      </w:r>
      <w:r w:rsidR="00441D7F" w:rsidRPr="005D1855">
        <w:rPr>
          <w:rFonts w:eastAsia="宋体"/>
          <w:color w:val="000000"/>
          <w:sz w:val="24"/>
          <w:szCs w:val="24"/>
        </w:rPr>
        <w:t>支付的利息</w:t>
      </w:r>
      <w:r w:rsidR="00661229">
        <w:rPr>
          <w:rFonts w:eastAsia="宋体"/>
          <w:color w:val="000000"/>
          <w:sz w:val="24"/>
          <w:szCs w:val="24"/>
        </w:rPr>
        <w:t>及</w:t>
      </w:r>
      <w:r w:rsidR="00441D7F" w:rsidRPr="005D1855">
        <w:rPr>
          <w:rFonts w:eastAsia="宋体"/>
          <w:color w:val="000000"/>
          <w:sz w:val="24"/>
          <w:szCs w:val="24"/>
        </w:rPr>
        <w:t>所得税费用；</w:t>
      </w:r>
      <w:r w:rsidR="00062A8C">
        <w:rPr>
          <w:rFonts w:eastAsia="宋体"/>
          <w:color w:val="000000"/>
          <w:sz w:val="24"/>
          <w:szCs w:val="24"/>
        </w:rPr>
        <w:t>期间</w:t>
      </w:r>
      <w:bookmarkStart w:id="1" w:name="_GoBack"/>
      <w:bookmarkEnd w:id="1"/>
      <w:r w:rsidRPr="005D1855">
        <w:rPr>
          <w:rFonts w:eastAsia="宋体"/>
          <w:color w:val="000000"/>
          <w:sz w:val="24"/>
          <w:szCs w:val="24"/>
        </w:rPr>
        <w:t>资本性支出；未来合理的相关支出预留，包括未来合理期间内需偿付的基金管理人的管理费、专项计划管理人的管理费、托管费以及预留的未来合理期间内的运营支出等。经过上述项目调整后，本基金自</w:t>
      </w:r>
      <w:r w:rsidRPr="005D1855">
        <w:rPr>
          <w:rFonts w:eastAsia="宋体"/>
          <w:color w:val="000000"/>
          <w:sz w:val="24"/>
          <w:szCs w:val="24"/>
        </w:rPr>
        <w:t>2024</w:t>
      </w:r>
      <w:r w:rsidRPr="005D1855">
        <w:rPr>
          <w:rFonts w:eastAsia="宋体"/>
          <w:color w:val="000000"/>
          <w:sz w:val="24"/>
          <w:szCs w:val="24"/>
        </w:rPr>
        <w:t>年</w:t>
      </w:r>
      <w:r w:rsidRPr="005D1855">
        <w:rPr>
          <w:rFonts w:eastAsia="宋体"/>
          <w:color w:val="000000"/>
          <w:sz w:val="24"/>
          <w:szCs w:val="24"/>
        </w:rPr>
        <w:t>3</w:t>
      </w:r>
      <w:r w:rsidRPr="005D1855">
        <w:rPr>
          <w:rFonts w:eastAsia="宋体"/>
          <w:color w:val="000000"/>
          <w:sz w:val="24"/>
          <w:szCs w:val="24"/>
        </w:rPr>
        <w:t>月</w:t>
      </w:r>
      <w:r w:rsidRPr="005D1855">
        <w:rPr>
          <w:rFonts w:eastAsia="宋体"/>
          <w:color w:val="000000"/>
          <w:sz w:val="24"/>
          <w:szCs w:val="24"/>
        </w:rPr>
        <w:t>12</w:t>
      </w:r>
      <w:r w:rsidRPr="005D1855">
        <w:rPr>
          <w:rFonts w:eastAsia="宋体"/>
          <w:color w:val="000000"/>
          <w:sz w:val="24"/>
          <w:szCs w:val="24"/>
        </w:rPr>
        <w:t>日（基金合同生效日）至本次收益分配基准日</w:t>
      </w:r>
      <w:r w:rsidRPr="005D1855">
        <w:rPr>
          <w:rFonts w:eastAsia="宋体"/>
          <w:color w:val="000000"/>
          <w:sz w:val="24"/>
          <w:szCs w:val="24"/>
        </w:rPr>
        <w:t>2024</w:t>
      </w:r>
      <w:r w:rsidRPr="005D1855">
        <w:rPr>
          <w:rFonts w:eastAsia="宋体"/>
          <w:color w:val="000000"/>
          <w:sz w:val="24"/>
          <w:szCs w:val="24"/>
        </w:rPr>
        <w:t>年</w:t>
      </w:r>
      <w:r w:rsidRPr="005D1855">
        <w:rPr>
          <w:rFonts w:eastAsia="宋体"/>
          <w:color w:val="000000"/>
          <w:sz w:val="24"/>
          <w:szCs w:val="24"/>
        </w:rPr>
        <w:t>12</w:t>
      </w:r>
      <w:r w:rsidRPr="005D1855">
        <w:rPr>
          <w:rFonts w:eastAsia="宋体"/>
          <w:color w:val="000000"/>
          <w:sz w:val="24"/>
          <w:szCs w:val="24"/>
        </w:rPr>
        <w:t>月</w:t>
      </w:r>
      <w:r w:rsidRPr="005D1855">
        <w:rPr>
          <w:rFonts w:eastAsia="宋体"/>
          <w:color w:val="000000"/>
          <w:sz w:val="24"/>
          <w:szCs w:val="24"/>
        </w:rPr>
        <w:t>31</w:t>
      </w:r>
      <w:r w:rsidRPr="005D1855">
        <w:rPr>
          <w:rFonts w:eastAsia="宋体"/>
          <w:color w:val="000000"/>
          <w:sz w:val="24"/>
          <w:szCs w:val="24"/>
        </w:rPr>
        <w:t>日期间可供分配金额为</w:t>
      </w:r>
      <w:r w:rsidRPr="005D1855">
        <w:rPr>
          <w:rFonts w:eastAsia="宋体"/>
          <w:color w:val="000000"/>
          <w:sz w:val="24"/>
          <w:szCs w:val="24"/>
        </w:rPr>
        <w:t>280,655,158.83</w:t>
      </w:r>
      <w:r w:rsidRPr="005D1855">
        <w:rPr>
          <w:rFonts w:eastAsia="宋体"/>
          <w:color w:val="000000"/>
          <w:sz w:val="24"/>
          <w:szCs w:val="24"/>
        </w:rPr>
        <w:t>元，前期已分配</w:t>
      </w:r>
      <w:r w:rsidRPr="005D1855">
        <w:rPr>
          <w:rFonts w:eastAsia="宋体"/>
          <w:color w:val="000000"/>
          <w:sz w:val="24"/>
          <w:szCs w:val="24"/>
        </w:rPr>
        <w:t>232,770,000.33</w:t>
      </w:r>
      <w:r w:rsidRPr="005D1855">
        <w:rPr>
          <w:rFonts w:eastAsia="宋体"/>
          <w:color w:val="000000"/>
          <w:sz w:val="24"/>
          <w:szCs w:val="24"/>
        </w:rPr>
        <w:t>元，截止本次收益分配基准日尚未分配的可供分配金额为</w:t>
      </w:r>
      <w:r w:rsidRPr="005D1855">
        <w:rPr>
          <w:rFonts w:eastAsia="宋体"/>
          <w:color w:val="000000"/>
          <w:sz w:val="24"/>
          <w:szCs w:val="24"/>
        </w:rPr>
        <w:t>47,885,158.50</w:t>
      </w:r>
      <w:r w:rsidRPr="005D1855">
        <w:rPr>
          <w:rFonts w:eastAsia="宋体"/>
          <w:color w:val="000000"/>
          <w:sz w:val="24"/>
          <w:szCs w:val="24"/>
        </w:rPr>
        <w:t>元。</w:t>
      </w:r>
    </w:p>
    <w:p w:rsidR="00694855" w:rsidRPr="005D1855" w:rsidRDefault="00694855">
      <w:pPr>
        <w:spacing w:line="360" w:lineRule="auto"/>
        <w:rPr>
          <w:rFonts w:eastAsia="宋体"/>
          <w:sz w:val="24"/>
          <w:szCs w:val="24"/>
        </w:rPr>
      </w:pPr>
    </w:p>
    <w:p w:rsidR="003817B5" w:rsidRDefault="00F6425F" w:rsidP="003817B5">
      <w:pPr>
        <w:pStyle w:val="3"/>
        <w:keepNext w:val="0"/>
        <w:keepLines w:val="0"/>
        <w:spacing w:before="0" w:after="0" w:line="360" w:lineRule="auto"/>
        <w:rPr>
          <w:bCs w:val="0"/>
          <w:sz w:val="24"/>
          <w:szCs w:val="24"/>
        </w:rPr>
      </w:pPr>
      <w:bookmarkStart w:id="2" w:name="_Toc275961419"/>
      <w:r>
        <w:rPr>
          <w:rFonts w:hint="eastAsia"/>
          <w:sz w:val="24"/>
          <w:szCs w:val="24"/>
        </w:rPr>
        <w:t>二、</w:t>
      </w:r>
      <w:r>
        <w:rPr>
          <w:rFonts w:hint="eastAsia"/>
          <w:bCs w:val="0"/>
          <w:sz w:val="24"/>
          <w:szCs w:val="24"/>
        </w:rPr>
        <w:t>与分红相关的其他信息</w:t>
      </w:r>
      <w:bookmarkEnd w:id="2"/>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3059"/>
        <w:gridCol w:w="3060"/>
      </w:tblGrid>
      <w:tr w:rsidR="005B371C">
        <w:trPr>
          <w:jc w:val="center"/>
        </w:trPr>
        <w:tc>
          <w:tcPr>
            <w:tcW w:w="3201" w:type="dxa"/>
          </w:tcPr>
          <w:p w:rsidR="00694855" w:rsidRPr="005D1855" w:rsidRDefault="00F6425F">
            <w:pPr>
              <w:rPr>
                <w:rFonts w:eastAsia="宋体"/>
                <w:sz w:val="24"/>
                <w:szCs w:val="24"/>
              </w:rPr>
            </w:pPr>
            <w:r w:rsidRPr="005D1855">
              <w:rPr>
                <w:rFonts w:eastAsia="宋体"/>
                <w:sz w:val="24"/>
                <w:szCs w:val="24"/>
              </w:rPr>
              <w:t>权益登记日</w:t>
            </w:r>
          </w:p>
        </w:tc>
        <w:tc>
          <w:tcPr>
            <w:tcW w:w="6119" w:type="dxa"/>
            <w:gridSpan w:val="2"/>
          </w:tcPr>
          <w:p w:rsidR="00694855" w:rsidRPr="005D1855" w:rsidRDefault="00F6425F">
            <w:pPr>
              <w:rPr>
                <w:rFonts w:eastAsia="宋体"/>
                <w:sz w:val="24"/>
                <w:szCs w:val="24"/>
              </w:rPr>
            </w:pPr>
            <w:r w:rsidRPr="005D1855">
              <w:rPr>
                <w:rFonts w:eastAsia="宋体"/>
                <w:sz w:val="24"/>
                <w:szCs w:val="24"/>
              </w:rPr>
              <w:t>2025</w:t>
            </w:r>
            <w:r w:rsidRPr="005D1855">
              <w:rPr>
                <w:rFonts w:eastAsia="宋体"/>
                <w:sz w:val="24"/>
                <w:szCs w:val="24"/>
              </w:rPr>
              <w:t>年</w:t>
            </w:r>
            <w:r w:rsidRPr="005D1855">
              <w:rPr>
                <w:rFonts w:eastAsia="宋体"/>
                <w:sz w:val="24"/>
                <w:szCs w:val="24"/>
              </w:rPr>
              <w:t>4</w:t>
            </w:r>
            <w:r w:rsidRPr="005D1855">
              <w:rPr>
                <w:rFonts w:eastAsia="宋体"/>
                <w:sz w:val="24"/>
                <w:szCs w:val="24"/>
              </w:rPr>
              <w:t>月</w:t>
            </w:r>
            <w:r w:rsidRPr="005D1855">
              <w:rPr>
                <w:rFonts w:eastAsia="宋体"/>
                <w:sz w:val="24"/>
                <w:szCs w:val="24"/>
              </w:rPr>
              <w:t>24</w:t>
            </w:r>
            <w:r w:rsidRPr="005D1855">
              <w:rPr>
                <w:rFonts w:eastAsia="宋体"/>
                <w:sz w:val="24"/>
                <w:szCs w:val="24"/>
              </w:rPr>
              <w:t>日</w:t>
            </w:r>
          </w:p>
        </w:tc>
      </w:tr>
      <w:tr w:rsidR="005B371C">
        <w:trPr>
          <w:jc w:val="center"/>
        </w:trPr>
        <w:tc>
          <w:tcPr>
            <w:tcW w:w="3201" w:type="dxa"/>
          </w:tcPr>
          <w:p w:rsidR="00694855" w:rsidRPr="005D1855" w:rsidRDefault="00F6425F">
            <w:pPr>
              <w:rPr>
                <w:rFonts w:eastAsia="宋体"/>
                <w:sz w:val="24"/>
                <w:szCs w:val="24"/>
              </w:rPr>
            </w:pPr>
            <w:r w:rsidRPr="005D1855">
              <w:rPr>
                <w:rFonts w:eastAsia="宋体"/>
                <w:sz w:val="24"/>
                <w:szCs w:val="24"/>
              </w:rPr>
              <w:t>除息日</w:t>
            </w:r>
          </w:p>
        </w:tc>
        <w:tc>
          <w:tcPr>
            <w:tcW w:w="3059" w:type="dxa"/>
          </w:tcPr>
          <w:p w:rsidR="00694855" w:rsidRPr="005D1855" w:rsidRDefault="00F6425F">
            <w:pPr>
              <w:rPr>
                <w:rFonts w:eastAsia="宋体"/>
                <w:sz w:val="24"/>
                <w:szCs w:val="24"/>
              </w:rPr>
            </w:pPr>
            <w:r w:rsidRPr="005D1855">
              <w:rPr>
                <w:rFonts w:eastAsia="宋体"/>
                <w:sz w:val="24"/>
                <w:szCs w:val="24"/>
              </w:rPr>
              <w:t>2025</w:t>
            </w:r>
            <w:r w:rsidRPr="005D1855">
              <w:rPr>
                <w:rFonts w:eastAsia="宋体"/>
                <w:sz w:val="24"/>
                <w:szCs w:val="24"/>
              </w:rPr>
              <w:t>年</w:t>
            </w:r>
            <w:r w:rsidRPr="005D1855">
              <w:rPr>
                <w:rFonts w:eastAsia="宋体"/>
                <w:sz w:val="24"/>
                <w:szCs w:val="24"/>
              </w:rPr>
              <w:t>4</w:t>
            </w:r>
            <w:r w:rsidRPr="005D1855">
              <w:rPr>
                <w:rFonts w:eastAsia="宋体"/>
                <w:sz w:val="24"/>
                <w:szCs w:val="24"/>
              </w:rPr>
              <w:t>月</w:t>
            </w:r>
            <w:r w:rsidRPr="005D1855">
              <w:rPr>
                <w:rFonts w:eastAsia="宋体"/>
                <w:sz w:val="24"/>
                <w:szCs w:val="24"/>
              </w:rPr>
              <w:t>25</w:t>
            </w:r>
            <w:r w:rsidRPr="005D1855">
              <w:rPr>
                <w:rFonts w:eastAsia="宋体"/>
                <w:sz w:val="24"/>
                <w:szCs w:val="24"/>
              </w:rPr>
              <w:t>日（场内）</w:t>
            </w:r>
          </w:p>
        </w:tc>
        <w:tc>
          <w:tcPr>
            <w:tcW w:w="3060" w:type="dxa"/>
          </w:tcPr>
          <w:p w:rsidR="00694855" w:rsidRPr="005D1855" w:rsidRDefault="00F6425F">
            <w:pPr>
              <w:rPr>
                <w:rFonts w:eastAsia="宋体"/>
                <w:sz w:val="24"/>
                <w:szCs w:val="24"/>
              </w:rPr>
            </w:pPr>
            <w:r w:rsidRPr="005D1855">
              <w:rPr>
                <w:rFonts w:eastAsia="宋体"/>
                <w:sz w:val="24"/>
                <w:szCs w:val="24"/>
              </w:rPr>
              <w:t>2025</w:t>
            </w:r>
            <w:r w:rsidRPr="005D1855">
              <w:rPr>
                <w:rFonts w:eastAsia="宋体"/>
                <w:sz w:val="24"/>
                <w:szCs w:val="24"/>
              </w:rPr>
              <w:t>年</w:t>
            </w:r>
            <w:r w:rsidRPr="005D1855">
              <w:rPr>
                <w:rFonts w:eastAsia="宋体"/>
                <w:sz w:val="24"/>
                <w:szCs w:val="24"/>
              </w:rPr>
              <w:t>4</w:t>
            </w:r>
            <w:r w:rsidRPr="005D1855">
              <w:rPr>
                <w:rFonts w:eastAsia="宋体"/>
                <w:sz w:val="24"/>
                <w:szCs w:val="24"/>
              </w:rPr>
              <w:t>月</w:t>
            </w:r>
            <w:r w:rsidRPr="005D1855">
              <w:rPr>
                <w:rFonts w:eastAsia="宋体"/>
                <w:sz w:val="24"/>
                <w:szCs w:val="24"/>
              </w:rPr>
              <w:t>24</w:t>
            </w:r>
            <w:r w:rsidRPr="005D1855">
              <w:rPr>
                <w:rFonts w:eastAsia="宋体"/>
                <w:sz w:val="24"/>
                <w:szCs w:val="24"/>
              </w:rPr>
              <w:t>日（场</w:t>
            </w:r>
            <w:r w:rsidRPr="005D1855">
              <w:rPr>
                <w:rFonts w:eastAsia="宋体" w:hint="eastAsia"/>
                <w:sz w:val="24"/>
                <w:szCs w:val="24"/>
              </w:rPr>
              <w:t>外</w:t>
            </w:r>
            <w:r w:rsidRPr="005D1855">
              <w:rPr>
                <w:rFonts w:eastAsia="宋体"/>
                <w:sz w:val="24"/>
                <w:szCs w:val="24"/>
              </w:rPr>
              <w:t>）</w:t>
            </w:r>
          </w:p>
        </w:tc>
      </w:tr>
      <w:tr w:rsidR="005B371C" w:rsidTr="006724B8">
        <w:trPr>
          <w:jc w:val="center"/>
        </w:trPr>
        <w:tc>
          <w:tcPr>
            <w:tcW w:w="3201" w:type="dxa"/>
          </w:tcPr>
          <w:p w:rsidR="003817B5" w:rsidRPr="005D1855" w:rsidRDefault="00F6425F" w:rsidP="003817B5">
            <w:pPr>
              <w:rPr>
                <w:rFonts w:eastAsia="宋体"/>
                <w:sz w:val="24"/>
                <w:szCs w:val="24"/>
              </w:rPr>
            </w:pPr>
            <w:r w:rsidRPr="005D1855">
              <w:rPr>
                <w:rFonts w:eastAsia="宋体"/>
                <w:sz w:val="24"/>
                <w:szCs w:val="24"/>
              </w:rPr>
              <w:t>现金红利发放日</w:t>
            </w:r>
          </w:p>
        </w:tc>
        <w:tc>
          <w:tcPr>
            <w:tcW w:w="3059" w:type="dxa"/>
          </w:tcPr>
          <w:p w:rsidR="003817B5" w:rsidRPr="005D1855" w:rsidRDefault="00F6425F" w:rsidP="003817B5">
            <w:pPr>
              <w:rPr>
                <w:rFonts w:eastAsia="宋体"/>
                <w:sz w:val="24"/>
                <w:szCs w:val="24"/>
              </w:rPr>
            </w:pPr>
            <w:r w:rsidRPr="005D1855">
              <w:rPr>
                <w:rFonts w:eastAsia="宋体"/>
                <w:sz w:val="24"/>
                <w:szCs w:val="24"/>
              </w:rPr>
              <w:t>2025</w:t>
            </w:r>
            <w:r w:rsidRPr="005D1855">
              <w:rPr>
                <w:rFonts w:eastAsia="宋体"/>
                <w:sz w:val="24"/>
                <w:szCs w:val="24"/>
              </w:rPr>
              <w:t>年</w:t>
            </w:r>
            <w:r w:rsidRPr="005D1855">
              <w:rPr>
                <w:rFonts w:eastAsia="宋体"/>
                <w:sz w:val="24"/>
                <w:szCs w:val="24"/>
              </w:rPr>
              <w:t>4</w:t>
            </w:r>
            <w:r w:rsidRPr="005D1855">
              <w:rPr>
                <w:rFonts w:eastAsia="宋体"/>
                <w:sz w:val="24"/>
                <w:szCs w:val="24"/>
              </w:rPr>
              <w:t>月</w:t>
            </w:r>
            <w:r>
              <w:rPr>
                <w:rFonts w:eastAsia="宋体"/>
                <w:sz w:val="24"/>
                <w:szCs w:val="24"/>
              </w:rPr>
              <w:t>30</w:t>
            </w:r>
            <w:r w:rsidRPr="005D1855">
              <w:rPr>
                <w:rFonts w:eastAsia="宋体"/>
                <w:sz w:val="24"/>
                <w:szCs w:val="24"/>
              </w:rPr>
              <w:t>日（场内）</w:t>
            </w:r>
          </w:p>
        </w:tc>
        <w:tc>
          <w:tcPr>
            <w:tcW w:w="3060" w:type="dxa"/>
          </w:tcPr>
          <w:p w:rsidR="003817B5" w:rsidRPr="005D1855" w:rsidRDefault="00F6425F" w:rsidP="003817B5">
            <w:pPr>
              <w:rPr>
                <w:rFonts w:eastAsia="宋体"/>
                <w:sz w:val="24"/>
                <w:szCs w:val="24"/>
              </w:rPr>
            </w:pPr>
            <w:r w:rsidRPr="005D1855">
              <w:rPr>
                <w:rFonts w:eastAsia="宋体"/>
                <w:sz w:val="24"/>
                <w:szCs w:val="24"/>
              </w:rPr>
              <w:t>2025</w:t>
            </w:r>
            <w:r w:rsidRPr="005D1855">
              <w:rPr>
                <w:rFonts w:eastAsia="宋体"/>
                <w:sz w:val="24"/>
                <w:szCs w:val="24"/>
              </w:rPr>
              <w:t>年</w:t>
            </w:r>
            <w:r w:rsidRPr="005D1855">
              <w:rPr>
                <w:rFonts w:eastAsia="宋体"/>
                <w:sz w:val="24"/>
                <w:szCs w:val="24"/>
              </w:rPr>
              <w:t>4</w:t>
            </w:r>
            <w:r w:rsidRPr="005D1855">
              <w:rPr>
                <w:rFonts w:eastAsia="宋体"/>
                <w:sz w:val="24"/>
                <w:szCs w:val="24"/>
              </w:rPr>
              <w:t>月</w:t>
            </w:r>
            <w:r>
              <w:rPr>
                <w:rFonts w:eastAsia="宋体"/>
                <w:sz w:val="24"/>
                <w:szCs w:val="24"/>
              </w:rPr>
              <w:t>28</w:t>
            </w:r>
            <w:r w:rsidRPr="005D1855">
              <w:rPr>
                <w:rFonts w:eastAsia="宋体"/>
                <w:sz w:val="24"/>
                <w:szCs w:val="24"/>
              </w:rPr>
              <w:t>日（场</w:t>
            </w:r>
            <w:r w:rsidRPr="005D1855">
              <w:rPr>
                <w:rFonts w:eastAsia="宋体" w:hint="eastAsia"/>
                <w:sz w:val="24"/>
                <w:szCs w:val="24"/>
              </w:rPr>
              <w:t>外</w:t>
            </w:r>
            <w:r w:rsidRPr="005D1855">
              <w:rPr>
                <w:rFonts w:eastAsia="宋体"/>
                <w:sz w:val="24"/>
                <w:szCs w:val="24"/>
              </w:rPr>
              <w:t>）</w:t>
            </w:r>
          </w:p>
        </w:tc>
      </w:tr>
      <w:tr w:rsidR="005B371C">
        <w:trPr>
          <w:jc w:val="center"/>
        </w:trPr>
        <w:tc>
          <w:tcPr>
            <w:tcW w:w="3201" w:type="dxa"/>
          </w:tcPr>
          <w:p w:rsidR="00694855" w:rsidRPr="005D1855" w:rsidRDefault="00F6425F">
            <w:pPr>
              <w:rPr>
                <w:rFonts w:eastAsia="宋体"/>
                <w:sz w:val="24"/>
                <w:szCs w:val="24"/>
              </w:rPr>
            </w:pPr>
            <w:r w:rsidRPr="005D1855">
              <w:rPr>
                <w:rFonts w:eastAsia="宋体"/>
                <w:sz w:val="24"/>
                <w:szCs w:val="24"/>
              </w:rPr>
              <w:t>分红对象</w:t>
            </w:r>
          </w:p>
        </w:tc>
        <w:tc>
          <w:tcPr>
            <w:tcW w:w="6119" w:type="dxa"/>
            <w:gridSpan w:val="2"/>
            <w:shd w:val="clear" w:color="auto" w:fill="auto"/>
          </w:tcPr>
          <w:p w:rsidR="00694855" w:rsidRPr="005D1855" w:rsidRDefault="00F6425F">
            <w:pPr>
              <w:rPr>
                <w:rFonts w:eastAsia="宋体"/>
                <w:sz w:val="24"/>
                <w:szCs w:val="24"/>
              </w:rPr>
            </w:pPr>
            <w:r w:rsidRPr="005D1855">
              <w:rPr>
                <w:rFonts w:eastAsia="宋体"/>
                <w:sz w:val="24"/>
                <w:szCs w:val="24"/>
              </w:rPr>
              <w:t>权益登记日登记在册的本基金全体持有人。</w:t>
            </w:r>
          </w:p>
        </w:tc>
      </w:tr>
      <w:tr w:rsidR="005B371C">
        <w:trPr>
          <w:jc w:val="center"/>
        </w:trPr>
        <w:tc>
          <w:tcPr>
            <w:tcW w:w="3201" w:type="dxa"/>
            <w:shd w:val="clear" w:color="auto" w:fill="auto"/>
            <w:vAlign w:val="center"/>
          </w:tcPr>
          <w:p w:rsidR="00694855" w:rsidRPr="005D1855" w:rsidRDefault="00F6425F">
            <w:pPr>
              <w:rPr>
                <w:rFonts w:eastAsia="宋体"/>
                <w:sz w:val="24"/>
                <w:szCs w:val="24"/>
              </w:rPr>
            </w:pPr>
            <w:r w:rsidRPr="005D1855">
              <w:rPr>
                <w:rFonts w:eastAsia="宋体"/>
                <w:sz w:val="24"/>
                <w:szCs w:val="24"/>
              </w:rPr>
              <w:t>红利再投资相关事项的说明</w:t>
            </w:r>
          </w:p>
        </w:tc>
        <w:tc>
          <w:tcPr>
            <w:tcW w:w="6119" w:type="dxa"/>
            <w:gridSpan w:val="2"/>
            <w:shd w:val="clear" w:color="auto" w:fill="auto"/>
          </w:tcPr>
          <w:p w:rsidR="00694855" w:rsidRPr="005D1855" w:rsidRDefault="00F6425F">
            <w:pPr>
              <w:rPr>
                <w:rFonts w:eastAsia="宋体"/>
                <w:sz w:val="24"/>
                <w:szCs w:val="24"/>
              </w:rPr>
            </w:pPr>
            <w:r w:rsidRPr="005D1855">
              <w:rPr>
                <w:rFonts w:eastAsia="宋体"/>
                <w:sz w:val="24"/>
                <w:szCs w:val="24"/>
              </w:rPr>
              <w:t>本基金收益分配采取现金分红方式，不支持红利再投资。</w:t>
            </w:r>
          </w:p>
        </w:tc>
      </w:tr>
      <w:tr w:rsidR="005B371C">
        <w:trPr>
          <w:jc w:val="center"/>
        </w:trPr>
        <w:tc>
          <w:tcPr>
            <w:tcW w:w="3201" w:type="dxa"/>
          </w:tcPr>
          <w:p w:rsidR="00694855" w:rsidRPr="005D1855" w:rsidRDefault="00F6425F">
            <w:pPr>
              <w:rPr>
                <w:rFonts w:eastAsia="宋体"/>
                <w:sz w:val="24"/>
                <w:szCs w:val="24"/>
              </w:rPr>
            </w:pPr>
            <w:r w:rsidRPr="005D1855">
              <w:rPr>
                <w:rFonts w:eastAsia="宋体"/>
                <w:sz w:val="24"/>
                <w:szCs w:val="24"/>
              </w:rPr>
              <w:t>税收相关事项的说明</w:t>
            </w:r>
          </w:p>
        </w:tc>
        <w:tc>
          <w:tcPr>
            <w:tcW w:w="6119" w:type="dxa"/>
            <w:gridSpan w:val="2"/>
            <w:shd w:val="clear" w:color="auto" w:fill="auto"/>
          </w:tcPr>
          <w:p w:rsidR="00694855" w:rsidRPr="005D1855" w:rsidRDefault="00F6425F">
            <w:pPr>
              <w:rPr>
                <w:rFonts w:eastAsia="宋体"/>
                <w:sz w:val="24"/>
                <w:szCs w:val="24"/>
              </w:rPr>
            </w:pPr>
            <w:r w:rsidRPr="005D1855">
              <w:rPr>
                <w:rFonts w:eastAsia="宋体"/>
                <w:sz w:val="24"/>
                <w:szCs w:val="24"/>
              </w:rPr>
              <w:t>根据相关法律法规规定，基金向投资者分配的基金收益，暂不征收所得税。</w:t>
            </w:r>
          </w:p>
        </w:tc>
      </w:tr>
      <w:tr w:rsidR="005B371C">
        <w:trPr>
          <w:jc w:val="center"/>
        </w:trPr>
        <w:tc>
          <w:tcPr>
            <w:tcW w:w="3201" w:type="dxa"/>
          </w:tcPr>
          <w:p w:rsidR="00694855" w:rsidRPr="005D1855" w:rsidRDefault="00F6425F">
            <w:pPr>
              <w:rPr>
                <w:rFonts w:eastAsia="宋体"/>
                <w:sz w:val="24"/>
                <w:szCs w:val="24"/>
              </w:rPr>
            </w:pPr>
            <w:r w:rsidRPr="005D1855">
              <w:rPr>
                <w:rFonts w:eastAsia="宋体"/>
                <w:sz w:val="24"/>
                <w:szCs w:val="24"/>
              </w:rPr>
              <w:t>费用相关事项的说明</w:t>
            </w:r>
          </w:p>
        </w:tc>
        <w:tc>
          <w:tcPr>
            <w:tcW w:w="6119" w:type="dxa"/>
            <w:gridSpan w:val="2"/>
            <w:shd w:val="clear" w:color="auto" w:fill="auto"/>
          </w:tcPr>
          <w:p w:rsidR="00694855" w:rsidRPr="005D1855" w:rsidRDefault="00F6425F">
            <w:pPr>
              <w:rPr>
                <w:rFonts w:eastAsia="宋体"/>
                <w:sz w:val="24"/>
                <w:szCs w:val="24"/>
              </w:rPr>
            </w:pPr>
            <w:r w:rsidRPr="005D1855">
              <w:rPr>
                <w:rFonts w:eastAsia="宋体"/>
                <w:sz w:val="24"/>
                <w:szCs w:val="24"/>
              </w:rPr>
              <w:t>本基金本次分红免收分红手续费。</w:t>
            </w:r>
          </w:p>
        </w:tc>
      </w:tr>
    </w:tbl>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注：</w:t>
      </w:r>
      <w:r w:rsidRPr="005D1855">
        <w:rPr>
          <w:rFonts w:eastAsia="宋体"/>
          <w:color w:val="000000"/>
          <w:sz w:val="24"/>
          <w:szCs w:val="24"/>
        </w:rPr>
        <w:t>1.</w:t>
      </w:r>
      <w:r w:rsidRPr="005D1855">
        <w:rPr>
          <w:rFonts w:eastAsia="宋体"/>
          <w:color w:val="000000"/>
          <w:sz w:val="24"/>
          <w:szCs w:val="24"/>
        </w:rPr>
        <w:t>本次向场内、场外基金份额派发的现金红利于</w:t>
      </w:r>
      <w:r w:rsidRPr="005D1855">
        <w:rPr>
          <w:rFonts w:eastAsia="宋体"/>
          <w:color w:val="000000"/>
          <w:sz w:val="24"/>
          <w:szCs w:val="24"/>
        </w:rPr>
        <w:t>2025</w:t>
      </w:r>
      <w:r w:rsidRPr="005D1855">
        <w:rPr>
          <w:rFonts w:eastAsia="宋体"/>
          <w:color w:val="000000"/>
          <w:sz w:val="24"/>
          <w:szCs w:val="24"/>
        </w:rPr>
        <w:t>年</w:t>
      </w:r>
      <w:r w:rsidRPr="005D1855">
        <w:rPr>
          <w:rFonts w:eastAsia="宋体"/>
          <w:color w:val="000000"/>
          <w:sz w:val="24"/>
          <w:szCs w:val="24"/>
        </w:rPr>
        <w:t>4</w:t>
      </w:r>
      <w:r w:rsidRPr="005D1855">
        <w:rPr>
          <w:rFonts w:eastAsia="宋体"/>
          <w:color w:val="000000"/>
          <w:sz w:val="24"/>
          <w:szCs w:val="24"/>
        </w:rPr>
        <w:t>月</w:t>
      </w:r>
      <w:r w:rsidRPr="005D1855">
        <w:rPr>
          <w:rFonts w:eastAsia="宋体"/>
          <w:color w:val="000000"/>
          <w:sz w:val="24"/>
          <w:szCs w:val="24"/>
        </w:rPr>
        <w:t>28</w:t>
      </w:r>
      <w:r w:rsidRPr="005D1855">
        <w:rPr>
          <w:rFonts w:eastAsia="宋体"/>
          <w:color w:val="000000"/>
          <w:sz w:val="24"/>
          <w:szCs w:val="24"/>
        </w:rPr>
        <w:t>日自基金托管账户划出。</w:t>
      </w:r>
    </w:p>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2.</w:t>
      </w:r>
      <w:r w:rsidRPr="005D1855">
        <w:rPr>
          <w:rFonts w:eastAsia="宋体"/>
          <w:color w:val="000000"/>
          <w:sz w:val="24"/>
          <w:szCs w:val="24"/>
        </w:rPr>
        <w:t>本次场外基金份额现金红利发放日为</w:t>
      </w:r>
      <w:r w:rsidRPr="005D1855">
        <w:rPr>
          <w:rFonts w:eastAsia="宋体"/>
          <w:color w:val="000000"/>
          <w:sz w:val="24"/>
          <w:szCs w:val="24"/>
        </w:rPr>
        <w:t>2025</w:t>
      </w:r>
      <w:r w:rsidRPr="005D1855">
        <w:rPr>
          <w:rFonts w:eastAsia="宋体"/>
          <w:color w:val="000000"/>
          <w:sz w:val="24"/>
          <w:szCs w:val="24"/>
        </w:rPr>
        <w:t>年</w:t>
      </w:r>
      <w:r w:rsidRPr="005D1855">
        <w:rPr>
          <w:rFonts w:eastAsia="宋体"/>
          <w:color w:val="000000"/>
          <w:sz w:val="24"/>
          <w:szCs w:val="24"/>
        </w:rPr>
        <w:t>4</w:t>
      </w:r>
      <w:r w:rsidRPr="005D1855">
        <w:rPr>
          <w:rFonts w:eastAsia="宋体"/>
          <w:color w:val="000000"/>
          <w:sz w:val="24"/>
          <w:szCs w:val="24"/>
        </w:rPr>
        <w:t>月</w:t>
      </w:r>
      <w:r w:rsidRPr="005D1855">
        <w:rPr>
          <w:rFonts w:eastAsia="宋体"/>
          <w:color w:val="000000"/>
          <w:sz w:val="24"/>
          <w:szCs w:val="24"/>
        </w:rPr>
        <w:t>28</w:t>
      </w:r>
      <w:r w:rsidRPr="005D1855">
        <w:rPr>
          <w:rFonts w:eastAsia="宋体"/>
          <w:color w:val="000000"/>
          <w:sz w:val="24"/>
          <w:szCs w:val="24"/>
        </w:rPr>
        <w:t>日，场内基金份额现金红利发放日为</w:t>
      </w:r>
      <w:r w:rsidRPr="005D1855">
        <w:rPr>
          <w:rFonts w:eastAsia="宋体"/>
          <w:color w:val="000000"/>
          <w:sz w:val="24"/>
          <w:szCs w:val="24"/>
        </w:rPr>
        <w:t>2025</w:t>
      </w:r>
      <w:r w:rsidRPr="005D1855">
        <w:rPr>
          <w:rFonts w:eastAsia="宋体"/>
          <w:color w:val="000000"/>
          <w:sz w:val="24"/>
          <w:szCs w:val="24"/>
        </w:rPr>
        <w:t>年</w:t>
      </w:r>
      <w:r w:rsidRPr="005D1855">
        <w:rPr>
          <w:rFonts w:eastAsia="宋体"/>
          <w:color w:val="000000"/>
          <w:sz w:val="24"/>
          <w:szCs w:val="24"/>
        </w:rPr>
        <w:t>4</w:t>
      </w:r>
      <w:r w:rsidRPr="005D1855">
        <w:rPr>
          <w:rFonts w:eastAsia="宋体"/>
          <w:color w:val="000000"/>
          <w:sz w:val="24"/>
          <w:szCs w:val="24"/>
        </w:rPr>
        <w:t>月</w:t>
      </w:r>
      <w:r w:rsidRPr="005D1855">
        <w:rPr>
          <w:rFonts w:eastAsia="宋体"/>
          <w:color w:val="000000"/>
          <w:sz w:val="24"/>
          <w:szCs w:val="24"/>
        </w:rPr>
        <w:t>30</w:t>
      </w:r>
      <w:r w:rsidRPr="005D1855">
        <w:rPr>
          <w:rFonts w:eastAsia="宋体"/>
          <w:color w:val="000000"/>
          <w:sz w:val="24"/>
          <w:szCs w:val="24"/>
        </w:rPr>
        <w:t>日。</w:t>
      </w:r>
    </w:p>
    <w:p w:rsidR="00694855" w:rsidRPr="005D1855" w:rsidRDefault="00694855">
      <w:pPr>
        <w:spacing w:line="360" w:lineRule="auto"/>
        <w:rPr>
          <w:rFonts w:eastAsia="宋体"/>
          <w:color w:val="000000"/>
          <w:sz w:val="24"/>
          <w:szCs w:val="24"/>
        </w:rPr>
      </w:pPr>
    </w:p>
    <w:p w:rsidR="003817B5" w:rsidRDefault="00F6425F" w:rsidP="003817B5">
      <w:pPr>
        <w:pStyle w:val="3"/>
        <w:keepNext w:val="0"/>
        <w:keepLines w:val="0"/>
        <w:spacing w:before="0" w:after="0" w:line="360" w:lineRule="auto"/>
        <w:rPr>
          <w:bCs w:val="0"/>
          <w:sz w:val="24"/>
          <w:szCs w:val="24"/>
        </w:rPr>
      </w:pPr>
      <w:bookmarkStart w:id="3" w:name="_Toc275961420"/>
      <w:r>
        <w:rPr>
          <w:rFonts w:hint="eastAsia"/>
          <w:sz w:val="24"/>
          <w:szCs w:val="24"/>
        </w:rPr>
        <w:t>三、</w:t>
      </w:r>
      <w:r>
        <w:rPr>
          <w:rFonts w:hint="eastAsia"/>
          <w:bCs w:val="0"/>
          <w:sz w:val="24"/>
          <w:szCs w:val="24"/>
        </w:rPr>
        <w:t>其他需要提示的事项</w:t>
      </w:r>
      <w:bookmarkEnd w:id="3"/>
    </w:p>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1.</w:t>
      </w:r>
      <w:r w:rsidRPr="005D1855">
        <w:rPr>
          <w:rFonts w:eastAsia="宋体"/>
          <w:color w:val="000000"/>
          <w:sz w:val="24"/>
          <w:szCs w:val="24"/>
        </w:rPr>
        <w:t>权益分派期间（</w:t>
      </w:r>
      <w:r w:rsidRPr="005D1855">
        <w:rPr>
          <w:rFonts w:eastAsia="宋体"/>
          <w:color w:val="000000"/>
          <w:sz w:val="24"/>
          <w:szCs w:val="24"/>
        </w:rPr>
        <w:t>2025</w:t>
      </w:r>
      <w:r w:rsidRPr="005D1855">
        <w:rPr>
          <w:rFonts w:eastAsia="宋体"/>
          <w:color w:val="000000"/>
          <w:sz w:val="24"/>
          <w:szCs w:val="24"/>
        </w:rPr>
        <w:t>年</w:t>
      </w:r>
      <w:r w:rsidRPr="005D1855">
        <w:rPr>
          <w:rFonts w:eastAsia="宋体"/>
          <w:color w:val="000000"/>
          <w:sz w:val="24"/>
          <w:szCs w:val="24"/>
        </w:rPr>
        <w:t>4</w:t>
      </w:r>
      <w:r w:rsidRPr="005D1855">
        <w:rPr>
          <w:rFonts w:eastAsia="宋体"/>
          <w:color w:val="000000"/>
          <w:sz w:val="24"/>
          <w:szCs w:val="24"/>
        </w:rPr>
        <w:t>月</w:t>
      </w:r>
      <w:r w:rsidRPr="005D1855">
        <w:rPr>
          <w:rFonts w:eastAsia="宋体"/>
          <w:color w:val="000000"/>
          <w:sz w:val="24"/>
          <w:szCs w:val="24"/>
        </w:rPr>
        <w:t>22</w:t>
      </w:r>
      <w:r w:rsidRPr="005D1855">
        <w:rPr>
          <w:rFonts w:eastAsia="宋体"/>
          <w:color w:val="000000"/>
          <w:sz w:val="24"/>
          <w:szCs w:val="24"/>
        </w:rPr>
        <w:t>日至</w:t>
      </w:r>
      <w:r w:rsidRPr="005D1855">
        <w:rPr>
          <w:rFonts w:eastAsia="宋体"/>
          <w:color w:val="000000"/>
          <w:sz w:val="24"/>
          <w:szCs w:val="24"/>
        </w:rPr>
        <w:t>2025</w:t>
      </w:r>
      <w:r w:rsidRPr="005D1855">
        <w:rPr>
          <w:rFonts w:eastAsia="宋体"/>
          <w:color w:val="000000"/>
          <w:sz w:val="24"/>
          <w:szCs w:val="24"/>
        </w:rPr>
        <w:t>年</w:t>
      </w:r>
      <w:r w:rsidRPr="005D1855">
        <w:rPr>
          <w:rFonts w:eastAsia="宋体"/>
          <w:color w:val="000000"/>
          <w:sz w:val="24"/>
          <w:szCs w:val="24"/>
        </w:rPr>
        <w:t>4</w:t>
      </w:r>
      <w:r w:rsidRPr="005D1855">
        <w:rPr>
          <w:rFonts w:eastAsia="宋体"/>
          <w:color w:val="000000"/>
          <w:sz w:val="24"/>
          <w:szCs w:val="24"/>
        </w:rPr>
        <w:t>月</w:t>
      </w:r>
      <w:r w:rsidRPr="005D1855">
        <w:rPr>
          <w:rFonts w:eastAsia="宋体"/>
          <w:color w:val="000000"/>
          <w:sz w:val="24"/>
          <w:szCs w:val="24"/>
        </w:rPr>
        <w:t>24</w:t>
      </w:r>
      <w:r w:rsidRPr="005D1855">
        <w:rPr>
          <w:rFonts w:eastAsia="宋体"/>
          <w:color w:val="000000"/>
          <w:sz w:val="24"/>
          <w:szCs w:val="24"/>
        </w:rPr>
        <w:t>日）暂停跨系统转托</w:t>
      </w:r>
      <w:r w:rsidRPr="005D1855">
        <w:rPr>
          <w:rFonts w:eastAsia="宋体"/>
          <w:color w:val="000000"/>
          <w:sz w:val="24"/>
          <w:szCs w:val="24"/>
        </w:rPr>
        <w:lastRenderedPageBreak/>
        <w:t>管业务。</w:t>
      </w:r>
    </w:p>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2.</w:t>
      </w:r>
      <w:r w:rsidRPr="005D1855">
        <w:rPr>
          <w:rFonts w:eastAsia="宋体"/>
          <w:color w:val="000000"/>
          <w:sz w:val="24"/>
          <w:szCs w:val="24"/>
        </w:rPr>
        <w:t>权益登记日当天买入的基金份额享有本次分红权益，权益登记日当天卖出的基金份额不享有本次分红权益。</w:t>
      </w:r>
    </w:p>
    <w:p w:rsidR="00694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3.</w:t>
      </w:r>
      <w:r w:rsidRPr="005D1855">
        <w:rPr>
          <w:rFonts w:eastAsia="宋体"/>
          <w:color w:val="000000"/>
          <w:sz w:val="24"/>
          <w:szCs w:val="24"/>
        </w:rPr>
        <w:t>根据《易方达深高速高速公路封闭式基础设施证券投资基金基金合同》规定，本基金收益分配采取现金分红方式。</w:t>
      </w:r>
    </w:p>
    <w:p w:rsidR="003817B5" w:rsidRPr="005D1855" w:rsidRDefault="003817B5">
      <w:pPr>
        <w:spacing w:line="360" w:lineRule="auto"/>
        <w:ind w:firstLineChars="200" w:firstLine="480"/>
        <w:rPr>
          <w:rFonts w:eastAsia="宋体"/>
          <w:color w:val="000000"/>
          <w:sz w:val="24"/>
          <w:szCs w:val="24"/>
        </w:rPr>
      </w:pPr>
    </w:p>
    <w:p w:rsidR="00694855" w:rsidRPr="003817B5" w:rsidRDefault="00F6425F" w:rsidP="003817B5">
      <w:pPr>
        <w:pStyle w:val="3"/>
        <w:keepNext w:val="0"/>
        <w:keepLines w:val="0"/>
        <w:spacing w:before="0" w:after="0" w:line="360" w:lineRule="auto"/>
        <w:rPr>
          <w:sz w:val="24"/>
          <w:szCs w:val="24"/>
        </w:rPr>
      </w:pPr>
      <w:r w:rsidRPr="003817B5">
        <w:rPr>
          <w:sz w:val="24"/>
          <w:szCs w:val="24"/>
        </w:rPr>
        <w:t>四、相关机构联系方式</w:t>
      </w:r>
    </w:p>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1.</w:t>
      </w:r>
      <w:r w:rsidRPr="005D1855">
        <w:rPr>
          <w:rFonts w:eastAsia="宋体"/>
          <w:color w:val="000000"/>
          <w:sz w:val="24"/>
          <w:szCs w:val="24"/>
        </w:rPr>
        <w:t>易方达基金管理有限公司客户服务热线：</w:t>
      </w:r>
      <w:r w:rsidRPr="005D1855">
        <w:rPr>
          <w:rFonts w:eastAsia="宋体"/>
          <w:color w:val="000000"/>
          <w:sz w:val="24"/>
          <w:szCs w:val="24"/>
        </w:rPr>
        <w:t>40088-18088</w:t>
      </w:r>
      <w:r w:rsidRPr="005D1855">
        <w:rPr>
          <w:rFonts w:eastAsia="宋体"/>
          <w:color w:val="000000"/>
          <w:sz w:val="24"/>
          <w:szCs w:val="24"/>
        </w:rPr>
        <w:t>。</w:t>
      </w:r>
    </w:p>
    <w:p w:rsidR="00694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2.</w:t>
      </w:r>
      <w:r w:rsidRPr="005D1855">
        <w:rPr>
          <w:rFonts w:eastAsia="宋体"/>
          <w:color w:val="000000"/>
          <w:sz w:val="24"/>
          <w:szCs w:val="24"/>
        </w:rPr>
        <w:t>易方达基金管理有限公司网站：</w:t>
      </w:r>
      <w:r w:rsidRPr="005D1855">
        <w:rPr>
          <w:rFonts w:eastAsia="宋体"/>
          <w:color w:val="000000"/>
          <w:sz w:val="24"/>
          <w:szCs w:val="24"/>
        </w:rPr>
        <w:t>www.efunds.com.cn</w:t>
      </w:r>
      <w:r w:rsidRPr="005D1855">
        <w:rPr>
          <w:rFonts w:eastAsia="宋体"/>
          <w:color w:val="000000"/>
          <w:sz w:val="24"/>
          <w:szCs w:val="24"/>
        </w:rPr>
        <w:t>。</w:t>
      </w:r>
    </w:p>
    <w:p w:rsidR="003817B5" w:rsidRPr="003817B5" w:rsidRDefault="003817B5">
      <w:pPr>
        <w:spacing w:line="360" w:lineRule="auto"/>
        <w:ind w:firstLineChars="200" w:firstLine="480"/>
        <w:rPr>
          <w:rFonts w:eastAsia="宋体"/>
          <w:color w:val="000000"/>
          <w:sz w:val="24"/>
          <w:szCs w:val="24"/>
        </w:rPr>
      </w:pPr>
    </w:p>
    <w:p w:rsidR="00694855" w:rsidRPr="003817B5" w:rsidRDefault="00F6425F" w:rsidP="003817B5">
      <w:pPr>
        <w:pStyle w:val="3"/>
        <w:keepNext w:val="0"/>
        <w:keepLines w:val="0"/>
        <w:spacing w:before="0" w:after="0" w:line="360" w:lineRule="auto"/>
        <w:rPr>
          <w:sz w:val="24"/>
          <w:szCs w:val="24"/>
        </w:rPr>
      </w:pPr>
      <w:r w:rsidRPr="003817B5">
        <w:rPr>
          <w:sz w:val="24"/>
          <w:szCs w:val="24"/>
        </w:rPr>
        <w:t>五、风险提示</w:t>
      </w:r>
    </w:p>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本基金管理人承诺以诚实信用、勤勉尽责的原则管理和运用基金财产，但不保证基金一定盈利，也不保证最低收益。因基金分红导致基金资产净值的变化，不会改变基金的风险收益特征，不会降低基金投资风险或提高基金投资收益。基金的过往业绩不代表未来表现，敬请投资者注意投资风险。</w:t>
      </w:r>
    </w:p>
    <w:p w:rsidR="00694855" w:rsidRPr="005D1855" w:rsidRDefault="00F6425F">
      <w:pPr>
        <w:spacing w:line="360" w:lineRule="auto"/>
        <w:ind w:firstLineChars="200" w:firstLine="480"/>
        <w:rPr>
          <w:rFonts w:eastAsia="宋体"/>
          <w:color w:val="000000"/>
          <w:sz w:val="24"/>
          <w:szCs w:val="24"/>
        </w:rPr>
      </w:pPr>
      <w:r w:rsidRPr="005D1855">
        <w:rPr>
          <w:rFonts w:eastAsia="宋体"/>
          <w:color w:val="000000"/>
          <w:sz w:val="24"/>
          <w:szCs w:val="24"/>
        </w:rPr>
        <w:t>特此公告。</w:t>
      </w:r>
    </w:p>
    <w:p w:rsidR="00694855" w:rsidRPr="005D1855" w:rsidRDefault="00694855">
      <w:pPr>
        <w:spacing w:line="360" w:lineRule="auto"/>
        <w:ind w:firstLineChars="200" w:firstLine="480"/>
        <w:rPr>
          <w:rFonts w:eastAsia="宋体"/>
          <w:color w:val="000000"/>
          <w:sz w:val="24"/>
          <w:szCs w:val="24"/>
        </w:rPr>
      </w:pPr>
    </w:p>
    <w:p w:rsidR="00694855" w:rsidRPr="005D1855" w:rsidRDefault="00694855">
      <w:pPr>
        <w:spacing w:line="360" w:lineRule="auto"/>
        <w:ind w:firstLineChars="200" w:firstLine="480"/>
        <w:rPr>
          <w:rFonts w:eastAsia="宋体"/>
          <w:color w:val="000000"/>
          <w:sz w:val="24"/>
          <w:szCs w:val="24"/>
        </w:rPr>
      </w:pPr>
    </w:p>
    <w:p w:rsidR="00694855" w:rsidRPr="005D1855" w:rsidRDefault="00694855">
      <w:pPr>
        <w:spacing w:line="360" w:lineRule="auto"/>
        <w:ind w:firstLineChars="200" w:firstLine="480"/>
        <w:jc w:val="right"/>
        <w:rPr>
          <w:rFonts w:eastAsia="宋体"/>
          <w:color w:val="000000"/>
          <w:sz w:val="24"/>
          <w:szCs w:val="24"/>
        </w:rPr>
      </w:pPr>
    </w:p>
    <w:p w:rsidR="00694855" w:rsidRPr="005D1855" w:rsidRDefault="00F6425F">
      <w:pPr>
        <w:spacing w:line="360" w:lineRule="auto"/>
        <w:ind w:firstLineChars="200" w:firstLine="480"/>
        <w:jc w:val="right"/>
        <w:rPr>
          <w:rFonts w:eastAsia="宋体"/>
          <w:color w:val="000000"/>
          <w:sz w:val="24"/>
          <w:szCs w:val="24"/>
        </w:rPr>
      </w:pPr>
      <w:r w:rsidRPr="005D1855">
        <w:rPr>
          <w:rFonts w:eastAsia="宋体"/>
          <w:color w:val="000000"/>
          <w:sz w:val="24"/>
          <w:szCs w:val="24"/>
        </w:rPr>
        <w:t>易方达基金管理有限公司</w:t>
      </w:r>
    </w:p>
    <w:p w:rsidR="00694855" w:rsidRPr="005D1855" w:rsidRDefault="00F6425F">
      <w:pPr>
        <w:spacing w:line="360" w:lineRule="auto"/>
        <w:ind w:firstLineChars="200" w:firstLine="480"/>
        <w:jc w:val="right"/>
        <w:rPr>
          <w:rFonts w:eastAsia="宋体"/>
          <w:color w:val="000000"/>
          <w:sz w:val="24"/>
          <w:szCs w:val="24"/>
        </w:rPr>
      </w:pPr>
      <w:r w:rsidRPr="005D1855">
        <w:rPr>
          <w:rFonts w:eastAsia="宋体"/>
          <w:color w:val="000000"/>
          <w:sz w:val="24"/>
          <w:szCs w:val="24"/>
        </w:rPr>
        <w:t>2025</w:t>
      </w:r>
      <w:r w:rsidRPr="005D1855">
        <w:rPr>
          <w:rFonts w:eastAsia="宋体"/>
          <w:color w:val="000000"/>
          <w:sz w:val="24"/>
          <w:szCs w:val="24"/>
        </w:rPr>
        <w:t>年</w:t>
      </w:r>
      <w:r w:rsidRPr="005D1855">
        <w:rPr>
          <w:rFonts w:eastAsia="宋体"/>
          <w:color w:val="000000"/>
          <w:sz w:val="24"/>
          <w:szCs w:val="24"/>
        </w:rPr>
        <w:t>4</w:t>
      </w:r>
      <w:r w:rsidRPr="005D1855">
        <w:rPr>
          <w:rFonts w:eastAsia="宋体"/>
          <w:color w:val="000000"/>
          <w:sz w:val="24"/>
          <w:szCs w:val="24"/>
        </w:rPr>
        <w:t>月</w:t>
      </w:r>
      <w:r w:rsidRPr="005D1855">
        <w:rPr>
          <w:rFonts w:eastAsia="宋体"/>
          <w:color w:val="000000"/>
          <w:sz w:val="24"/>
          <w:szCs w:val="24"/>
        </w:rPr>
        <w:t>22</w:t>
      </w:r>
      <w:r w:rsidRPr="005D1855">
        <w:rPr>
          <w:rFonts w:eastAsia="宋体"/>
          <w:color w:val="000000"/>
          <w:sz w:val="24"/>
          <w:szCs w:val="24"/>
        </w:rPr>
        <w:t>日</w:t>
      </w:r>
    </w:p>
    <w:sectPr w:rsidR="00694855" w:rsidRPr="005D1855" w:rsidSect="005B37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JhZTk1MWY4NzMzYjcxOGVmMzMxMmE4MGEzYWZmOTIifQ=="/>
  </w:docVars>
  <w:rsids>
    <w:rsidRoot w:val="00893436"/>
    <w:rsid w:val="00041353"/>
    <w:rsid w:val="00057AC1"/>
    <w:rsid w:val="00062A8C"/>
    <w:rsid w:val="00085F5C"/>
    <w:rsid w:val="0009778C"/>
    <w:rsid w:val="000A19B2"/>
    <w:rsid w:val="000C39F6"/>
    <w:rsid w:val="00111BD0"/>
    <w:rsid w:val="00135CA1"/>
    <w:rsid w:val="0013659B"/>
    <w:rsid w:val="001C7B75"/>
    <w:rsid w:val="00226206"/>
    <w:rsid w:val="00242E4D"/>
    <w:rsid w:val="002641B7"/>
    <w:rsid w:val="002744A0"/>
    <w:rsid w:val="0027750E"/>
    <w:rsid w:val="00284B1B"/>
    <w:rsid w:val="002944BE"/>
    <w:rsid w:val="002A63B7"/>
    <w:rsid w:val="002C08C5"/>
    <w:rsid w:val="002C343A"/>
    <w:rsid w:val="003160F8"/>
    <w:rsid w:val="0034251E"/>
    <w:rsid w:val="00361443"/>
    <w:rsid w:val="00362297"/>
    <w:rsid w:val="003623C7"/>
    <w:rsid w:val="003817B5"/>
    <w:rsid w:val="00386931"/>
    <w:rsid w:val="0039192C"/>
    <w:rsid w:val="003E51F2"/>
    <w:rsid w:val="00410642"/>
    <w:rsid w:val="004204B7"/>
    <w:rsid w:val="00441D7F"/>
    <w:rsid w:val="0048487B"/>
    <w:rsid w:val="00486934"/>
    <w:rsid w:val="00491AC3"/>
    <w:rsid w:val="004966BA"/>
    <w:rsid w:val="004D78C8"/>
    <w:rsid w:val="0050533F"/>
    <w:rsid w:val="00506E3A"/>
    <w:rsid w:val="005439EC"/>
    <w:rsid w:val="005715B6"/>
    <w:rsid w:val="005B371C"/>
    <w:rsid w:val="005D1855"/>
    <w:rsid w:val="005F3BD7"/>
    <w:rsid w:val="005F6B9F"/>
    <w:rsid w:val="00602C3F"/>
    <w:rsid w:val="006239ED"/>
    <w:rsid w:val="00634067"/>
    <w:rsid w:val="00661229"/>
    <w:rsid w:val="00694855"/>
    <w:rsid w:val="006A2E06"/>
    <w:rsid w:val="006E41A5"/>
    <w:rsid w:val="00703E56"/>
    <w:rsid w:val="00721B55"/>
    <w:rsid w:val="00760ED7"/>
    <w:rsid w:val="0076552C"/>
    <w:rsid w:val="007D01E7"/>
    <w:rsid w:val="007D5CF7"/>
    <w:rsid w:val="007E6094"/>
    <w:rsid w:val="00802A8B"/>
    <w:rsid w:val="00834BAE"/>
    <w:rsid w:val="00893436"/>
    <w:rsid w:val="008B088E"/>
    <w:rsid w:val="008C26E1"/>
    <w:rsid w:val="008D1F66"/>
    <w:rsid w:val="008D4E10"/>
    <w:rsid w:val="009117E2"/>
    <w:rsid w:val="009732A4"/>
    <w:rsid w:val="00987802"/>
    <w:rsid w:val="009A4589"/>
    <w:rsid w:val="009A7BE2"/>
    <w:rsid w:val="00A22189"/>
    <w:rsid w:val="00A27F28"/>
    <w:rsid w:val="00A81C93"/>
    <w:rsid w:val="00AC3CC5"/>
    <w:rsid w:val="00B02ED0"/>
    <w:rsid w:val="00B41D56"/>
    <w:rsid w:val="00B44BBE"/>
    <w:rsid w:val="00B719BE"/>
    <w:rsid w:val="00B71DA2"/>
    <w:rsid w:val="00BA7F58"/>
    <w:rsid w:val="00BC5029"/>
    <w:rsid w:val="00BD7533"/>
    <w:rsid w:val="00BF5698"/>
    <w:rsid w:val="00C31B5B"/>
    <w:rsid w:val="00C33DDD"/>
    <w:rsid w:val="00C7389C"/>
    <w:rsid w:val="00CB3D18"/>
    <w:rsid w:val="00CC001C"/>
    <w:rsid w:val="00CC262F"/>
    <w:rsid w:val="00CE6315"/>
    <w:rsid w:val="00CF514E"/>
    <w:rsid w:val="00D12882"/>
    <w:rsid w:val="00D36ADB"/>
    <w:rsid w:val="00D63FBB"/>
    <w:rsid w:val="00D74FFE"/>
    <w:rsid w:val="00DE58B5"/>
    <w:rsid w:val="00E16B6D"/>
    <w:rsid w:val="00E24390"/>
    <w:rsid w:val="00E379B4"/>
    <w:rsid w:val="00EA03BB"/>
    <w:rsid w:val="00EA7913"/>
    <w:rsid w:val="00F0033B"/>
    <w:rsid w:val="00F21F6F"/>
    <w:rsid w:val="00F42CA6"/>
    <w:rsid w:val="00F45E48"/>
    <w:rsid w:val="00F6425F"/>
    <w:rsid w:val="00F735BB"/>
    <w:rsid w:val="00F83A4F"/>
    <w:rsid w:val="00FE011A"/>
    <w:rsid w:val="154C6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71C"/>
    <w:pPr>
      <w:widowControl w:val="0"/>
      <w:jc w:val="both"/>
    </w:pPr>
    <w:rPr>
      <w:rFonts w:eastAsia="方正仿宋简体"/>
      <w:kern w:val="2"/>
      <w:sz w:val="32"/>
    </w:rPr>
  </w:style>
  <w:style w:type="paragraph" w:styleId="1">
    <w:name w:val="heading 1"/>
    <w:basedOn w:val="a"/>
    <w:next w:val="a"/>
    <w:link w:val="1Char"/>
    <w:qFormat/>
    <w:rsid w:val="005B371C"/>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B371C"/>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5B371C"/>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5B371C"/>
    <w:rPr>
      <w:rFonts w:ascii="宋体" w:eastAsia="宋体"/>
      <w:sz w:val="18"/>
      <w:szCs w:val="18"/>
    </w:rPr>
  </w:style>
  <w:style w:type="paragraph" w:styleId="a4">
    <w:name w:val="Balloon Text"/>
    <w:basedOn w:val="a"/>
    <w:link w:val="Char0"/>
    <w:uiPriority w:val="99"/>
    <w:semiHidden/>
    <w:unhideWhenUsed/>
    <w:rsid w:val="005B371C"/>
    <w:rPr>
      <w:sz w:val="18"/>
      <w:szCs w:val="18"/>
    </w:rPr>
  </w:style>
  <w:style w:type="paragraph" w:styleId="a5">
    <w:name w:val="footer"/>
    <w:basedOn w:val="a"/>
    <w:link w:val="Char1"/>
    <w:uiPriority w:val="99"/>
    <w:unhideWhenUsed/>
    <w:rsid w:val="005B371C"/>
    <w:pPr>
      <w:tabs>
        <w:tab w:val="center" w:pos="4153"/>
        <w:tab w:val="right" w:pos="8306"/>
      </w:tabs>
      <w:snapToGrid w:val="0"/>
      <w:jc w:val="left"/>
    </w:pPr>
    <w:rPr>
      <w:sz w:val="18"/>
      <w:szCs w:val="18"/>
    </w:rPr>
  </w:style>
  <w:style w:type="paragraph" w:styleId="a6">
    <w:name w:val="header"/>
    <w:basedOn w:val="a"/>
    <w:link w:val="Char2"/>
    <w:uiPriority w:val="99"/>
    <w:unhideWhenUsed/>
    <w:rsid w:val="005B371C"/>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5B371C"/>
    <w:pPr>
      <w:snapToGrid w:val="0"/>
      <w:jc w:val="left"/>
    </w:pPr>
    <w:rPr>
      <w:rFonts w:eastAsia="宋体"/>
      <w:sz w:val="18"/>
    </w:rPr>
  </w:style>
  <w:style w:type="character" w:styleId="a8">
    <w:name w:val="footnote reference"/>
    <w:basedOn w:val="a0"/>
    <w:rsid w:val="005B371C"/>
    <w:rPr>
      <w:vertAlign w:val="superscript"/>
    </w:rPr>
  </w:style>
  <w:style w:type="character" w:customStyle="1" w:styleId="1Char">
    <w:name w:val="标题 1 Char"/>
    <w:basedOn w:val="a0"/>
    <w:link w:val="1"/>
    <w:rsid w:val="005B371C"/>
    <w:rPr>
      <w:rFonts w:ascii="Times New Roman" w:eastAsia="宋体" w:hAnsi="Times New Roman" w:cs="Times New Roman"/>
      <w:b/>
      <w:bCs/>
      <w:kern w:val="44"/>
      <w:sz w:val="44"/>
      <w:szCs w:val="44"/>
    </w:rPr>
  </w:style>
  <w:style w:type="character" w:customStyle="1" w:styleId="2Char">
    <w:name w:val="标题 2 Char"/>
    <w:basedOn w:val="a0"/>
    <w:link w:val="2"/>
    <w:rsid w:val="005B371C"/>
    <w:rPr>
      <w:rFonts w:ascii="Arial" w:eastAsia="黑体" w:hAnsi="Arial" w:cs="Times New Roman"/>
      <w:b/>
      <w:bCs/>
      <w:sz w:val="32"/>
      <w:szCs w:val="32"/>
    </w:rPr>
  </w:style>
  <w:style w:type="character" w:customStyle="1" w:styleId="Char3">
    <w:name w:val="脚注文本 Char"/>
    <w:basedOn w:val="a0"/>
    <w:link w:val="a7"/>
    <w:rsid w:val="005B371C"/>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5B371C"/>
    <w:rPr>
      <w:rFonts w:ascii="宋体" w:eastAsia="宋体" w:hAnsi="Times New Roman" w:cs="Times New Roman"/>
      <w:sz w:val="18"/>
      <w:szCs w:val="18"/>
    </w:rPr>
  </w:style>
  <w:style w:type="character" w:customStyle="1" w:styleId="Char2">
    <w:name w:val="页眉 Char"/>
    <w:basedOn w:val="a0"/>
    <w:link w:val="a6"/>
    <w:uiPriority w:val="99"/>
    <w:rsid w:val="005B371C"/>
    <w:rPr>
      <w:rFonts w:ascii="Times New Roman" w:eastAsia="方正仿宋简体" w:hAnsi="Times New Roman" w:cs="Times New Roman"/>
      <w:sz w:val="18"/>
      <w:szCs w:val="18"/>
    </w:rPr>
  </w:style>
  <w:style w:type="character" w:customStyle="1" w:styleId="Char1">
    <w:name w:val="页脚 Char"/>
    <w:basedOn w:val="a0"/>
    <w:link w:val="a5"/>
    <w:uiPriority w:val="99"/>
    <w:rsid w:val="005B371C"/>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rsid w:val="005B371C"/>
    <w:rPr>
      <w:rFonts w:ascii="Times New Roman" w:eastAsia="方正仿宋简体" w:hAnsi="Times New Roman" w:cs="Times New Roman"/>
      <w:sz w:val="18"/>
      <w:szCs w:val="18"/>
    </w:rPr>
  </w:style>
  <w:style w:type="character" w:customStyle="1" w:styleId="3Char">
    <w:name w:val="标题 3 Char"/>
    <w:basedOn w:val="a0"/>
    <w:link w:val="3"/>
    <w:rsid w:val="005B371C"/>
    <w:rPr>
      <w:rFonts w:ascii="Times New Roman" w:eastAsia="宋体" w:hAnsi="Times New Roman" w:cs="Times New Roman"/>
      <w:b/>
      <w:bCs/>
      <w:sz w:val="32"/>
      <w:szCs w:val="32"/>
    </w:rPr>
  </w:style>
  <w:style w:type="paragraph" w:styleId="a9">
    <w:name w:val="annotation text"/>
    <w:basedOn w:val="a"/>
    <w:link w:val="Char4"/>
    <w:uiPriority w:val="99"/>
    <w:semiHidden/>
    <w:unhideWhenUsed/>
    <w:rsid w:val="005D1855"/>
    <w:pPr>
      <w:jc w:val="left"/>
    </w:pPr>
  </w:style>
  <w:style w:type="character" w:customStyle="1" w:styleId="Char4">
    <w:name w:val="批注文字 Char"/>
    <w:basedOn w:val="a0"/>
    <w:link w:val="a9"/>
    <w:uiPriority w:val="99"/>
    <w:semiHidden/>
    <w:rsid w:val="005D1855"/>
    <w:rPr>
      <w:rFonts w:eastAsia="方正仿宋简体"/>
      <w:kern w:val="2"/>
      <w:sz w:val="32"/>
    </w:rPr>
  </w:style>
  <w:style w:type="character" w:styleId="aa">
    <w:name w:val="annotation reference"/>
    <w:basedOn w:val="a0"/>
    <w:uiPriority w:val="99"/>
    <w:semiHidden/>
    <w:unhideWhenUsed/>
    <w:rsid w:val="005D1855"/>
    <w:rPr>
      <w:sz w:val="21"/>
      <w:szCs w:val="21"/>
    </w:rPr>
  </w:style>
  <w:style w:type="character" w:styleId="ab">
    <w:name w:val="Hyperlink"/>
    <w:basedOn w:val="a0"/>
    <w:uiPriority w:val="99"/>
    <w:unhideWhenUsed/>
    <w:rsid w:val="003817B5"/>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1773</Characters>
  <Application>Microsoft Office Word</Application>
  <DocSecurity>4</DocSecurity>
  <Lines>14</Lines>
  <Paragraphs>4</Paragraphs>
  <ScaleCrop>false</ScaleCrop>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2025-04-21T16:07:00Z</dcterms:created>
  <dcterms:modified xsi:type="dcterms:W3CDTF">2025-04-21T16:07:00Z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EECDC1F7E61D446881B8DA8C75E2B3AB</vt:lpwstr>
  </property>
  <property fmtid="{D5CDD505-2E9C-101B-9397-08002B2CF9AE}" pid="3" name="KSOProductBuildVer">
    <vt:lpwstr>2052-11.1.0.11830</vt:lpwstr>
  </property>
</Properties>
</file>