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31" w:rsidRDefault="008F29BA">
      <w:pPr>
        <w:spacing w:line="560" w:lineRule="exact"/>
        <w:jc w:val="center"/>
        <w:rPr>
          <w:rFonts w:ascii="宋体" w:eastAsia="宋体" w:hAnsi="宋体" w:cs="宋体"/>
          <w:spacing w:val="-1"/>
          <w:sz w:val="28"/>
          <w:szCs w:val="30"/>
        </w:rPr>
      </w:pPr>
      <w:r>
        <w:rPr>
          <w:rFonts w:ascii="宋体" w:eastAsia="宋体" w:hAnsi="宋体" w:cs="宋体" w:hint="eastAsia"/>
          <w:spacing w:val="-1"/>
          <w:sz w:val="28"/>
          <w:szCs w:val="30"/>
        </w:rPr>
        <w:t>易方达深高速高速公路封闭式基础设施证券投资基金</w:t>
      </w:r>
    </w:p>
    <w:p w:rsidR="00A90C31" w:rsidRDefault="008F29BA">
      <w:pPr>
        <w:spacing w:line="560" w:lineRule="exact"/>
        <w:jc w:val="center"/>
        <w:rPr>
          <w:rFonts w:ascii="宋体" w:eastAsia="宋体" w:hAnsi="宋体" w:cs="宋体"/>
          <w:spacing w:val="-1"/>
          <w:sz w:val="28"/>
          <w:szCs w:val="30"/>
        </w:rPr>
      </w:pPr>
      <w:r>
        <w:rPr>
          <w:rFonts w:ascii="宋体" w:eastAsia="宋体" w:hAnsi="宋体" w:cs="宋体"/>
          <w:spacing w:val="-1"/>
          <w:sz w:val="28"/>
          <w:szCs w:val="30"/>
        </w:rPr>
        <w:t>关于</w:t>
      </w:r>
      <w:r>
        <w:rPr>
          <w:rFonts w:ascii="宋体" w:eastAsia="宋体" w:hAnsi="宋体" w:cs="宋体" w:hint="eastAsia"/>
          <w:spacing w:val="-1"/>
          <w:sz w:val="28"/>
          <w:szCs w:val="30"/>
        </w:rPr>
        <w:t>基础设施项目</w:t>
      </w:r>
      <w:r w:rsidR="00847E89">
        <w:rPr>
          <w:rFonts w:ascii="宋体" w:eastAsia="宋体" w:hAnsi="宋体" w:cs="宋体"/>
          <w:spacing w:val="-1"/>
          <w:sz w:val="28"/>
          <w:szCs w:val="30"/>
        </w:rPr>
        <w:t>2025</w:t>
      </w:r>
      <w:r>
        <w:rPr>
          <w:rFonts w:ascii="宋体" w:eastAsia="宋体" w:hAnsi="宋体" w:cs="宋体"/>
          <w:spacing w:val="-1"/>
          <w:sz w:val="28"/>
          <w:szCs w:val="30"/>
        </w:rPr>
        <w:t>年</w:t>
      </w:r>
      <w:r w:rsidR="00630F10">
        <w:rPr>
          <w:rFonts w:ascii="宋体" w:eastAsia="宋体" w:hAnsi="宋体" w:cs="宋体"/>
          <w:spacing w:val="-1"/>
          <w:sz w:val="28"/>
          <w:szCs w:val="30"/>
        </w:rPr>
        <w:t>3</w:t>
      </w:r>
      <w:r>
        <w:rPr>
          <w:rFonts w:ascii="宋体" w:eastAsia="宋体" w:hAnsi="宋体" w:cs="宋体"/>
          <w:spacing w:val="-1"/>
          <w:sz w:val="28"/>
          <w:szCs w:val="30"/>
        </w:rPr>
        <w:t>月主要运营数据的</w:t>
      </w:r>
      <w:r>
        <w:rPr>
          <w:rFonts w:ascii="宋体" w:eastAsia="宋体" w:hAnsi="宋体" w:cs="宋体" w:hint="eastAsia"/>
          <w:spacing w:val="-1"/>
          <w:sz w:val="28"/>
          <w:szCs w:val="30"/>
        </w:rPr>
        <w:t>公告</w:t>
      </w:r>
    </w:p>
    <w:p w:rsidR="00704789" w:rsidRPr="00704789" w:rsidRDefault="008F29BA">
      <w:pPr>
        <w:spacing w:line="560" w:lineRule="exact"/>
        <w:jc w:val="center"/>
        <w:rPr>
          <w:rFonts w:ascii="宋体" w:eastAsia="宋体" w:hAnsi="宋体" w:cs="宋体"/>
          <w:spacing w:val="-1"/>
          <w:sz w:val="24"/>
          <w:szCs w:val="30"/>
        </w:rPr>
      </w:pPr>
      <w:r w:rsidRPr="00704789">
        <w:rPr>
          <w:rFonts w:ascii="宋体" w:eastAsia="宋体" w:hAnsi="宋体" w:cs="宋体"/>
          <w:spacing w:val="-1"/>
          <w:sz w:val="24"/>
          <w:szCs w:val="30"/>
        </w:rPr>
        <w:t>公告送出日期：</w:t>
      </w:r>
      <w:r>
        <w:rPr>
          <w:rFonts w:ascii="宋体" w:eastAsia="宋体" w:hAnsi="宋体" w:cs="宋体" w:hint="eastAsia"/>
          <w:spacing w:val="-1"/>
          <w:sz w:val="24"/>
          <w:szCs w:val="30"/>
        </w:rPr>
        <w:t>2</w:t>
      </w:r>
      <w:r>
        <w:rPr>
          <w:rFonts w:ascii="宋体" w:eastAsia="宋体" w:hAnsi="宋体" w:cs="宋体"/>
          <w:spacing w:val="-1"/>
          <w:sz w:val="24"/>
          <w:szCs w:val="30"/>
        </w:rPr>
        <w:t>02</w:t>
      </w:r>
      <w:r w:rsidR="00E91A5D">
        <w:rPr>
          <w:rFonts w:ascii="宋体" w:eastAsia="宋体" w:hAnsi="宋体" w:cs="宋体"/>
          <w:spacing w:val="-1"/>
          <w:sz w:val="24"/>
          <w:szCs w:val="30"/>
        </w:rPr>
        <w:t>5</w:t>
      </w:r>
      <w:r>
        <w:rPr>
          <w:rFonts w:ascii="宋体" w:eastAsia="宋体" w:hAnsi="宋体" w:cs="宋体"/>
          <w:spacing w:val="-1"/>
          <w:sz w:val="24"/>
          <w:szCs w:val="30"/>
        </w:rPr>
        <w:t>年</w:t>
      </w:r>
      <w:r w:rsidR="00630F10">
        <w:rPr>
          <w:rFonts w:ascii="宋体" w:eastAsia="宋体" w:hAnsi="宋体" w:cs="宋体"/>
          <w:spacing w:val="-1"/>
          <w:sz w:val="24"/>
          <w:szCs w:val="30"/>
        </w:rPr>
        <w:t>4</w:t>
      </w:r>
      <w:r>
        <w:rPr>
          <w:rFonts w:ascii="宋体" w:eastAsia="宋体" w:hAnsi="宋体" w:cs="宋体" w:hint="eastAsia"/>
          <w:spacing w:val="-1"/>
          <w:sz w:val="24"/>
          <w:szCs w:val="30"/>
        </w:rPr>
        <w:t>月</w:t>
      </w:r>
      <w:r w:rsidR="00630F10">
        <w:rPr>
          <w:rFonts w:ascii="宋体" w:eastAsia="宋体" w:hAnsi="宋体" w:cs="宋体"/>
          <w:spacing w:val="-1"/>
          <w:sz w:val="24"/>
          <w:szCs w:val="30"/>
        </w:rPr>
        <w:t>22</w:t>
      </w:r>
      <w:r>
        <w:rPr>
          <w:rFonts w:ascii="宋体" w:eastAsia="宋体" w:hAnsi="宋体" w:cs="宋体"/>
          <w:spacing w:val="-1"/>
          <w:sz w:val="24"/>
          <w:szCs w:val="30"/>
        </w:rPr>
        <w:t>日</w:t>
      </w:r>
    </w:p>
    <w:p w:rsidR="00A90C31" w:rsidRDefault="008F29BA" w:rsidP="008F29BA">
      <w:pPr>
        <w:adjustRightInd w:val="0"/>
        <w:spacing w:beforeLines="100" w:afterLines="100" w:line="360" w:lineRule="auto"/>
        <w:ind w:firstLineChars="200" w:firstLine="426"/>
        <w:rPr>
          <w:rFonts w:ascii="宋体" w:eastAsia="宋体" w:hAnsi="宋体" w:cs="宋体"/>
          <w:b/>
          <w:spacing w:val="-14"/>
          <w:sz w:val="24"/>
          <w:szCs w:val="28"/>
        </w:rPr>
      </w:pPr>
      <w:r>
        <w:rPr>
          <w:rFonts w:ascii="宋体" w:eastAsia="宋体" w:hAnsi="宋体" w:cs="宋体"/>
          <w:b/>
          <w:spacing w:val="-14"/>
          <w:sz w:val="24"/>
          <w:szCs w:val="28"/>
        </w:rPr>
        <w:t>一、公募</w:t>
      </w:r>
      <w:r>
        <w:rPr>
          <w:rFonts w:ascii="宋体" w:eastAsia="宋体" w:hAnsi="宋体" w:cs="宋体"/>
          <w:b/>
          <w:spacing w:val="-14"/>
          <w:sz w:val="24"/>
          <w:szCs w:val="28"/>
        </w:rPr>
        <w:t>REITs</w:t>
      </w:r>
      <w:r>
        <w:rPr>
          <w:rFonts w:ascii="宋体" w:eastAsia="宋体" w:hAnsi="宋体" w:cs="宋体"/>
          <w:b/>
          <w:spacing w:val="-14"/>
          <w:sz w:val="24"/>
          <w:szCs w:val="28"/>
        </w:rPr>
        <w:t>基本信息</w:t>
      </w:r>
    </w:p>
    <w:tbl>
      <w:tblPr>
        <w:tblStyle w:val="TableNormal0"/>
        <w:tblW w:w="893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99"/>
        <w:gridCol w:w="6237"/>
      </w:tblGrid>
      <w:tr w:rsidR="009E4223">
        <w:trPr>
          <w:trHeight w:val="633"/>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12"/>
                <w:kern w:val="0"/>
                <w:sz w:val="24"/>
                <w:szCs w:val="24"/>
              </w:rPr>
              <w:t>公募</w:t>
            </w:r>
            <w:r>
              <w:rPr>
                <w:rFonts w:ascii="宋体" w:eastAsia="宋体" w:hAnsi="宋体" w:cs="宋体"/>
                <w:spacing w:val="-12"/>
                <w:kern w:val="0"/>
                <w:sz w:val="24"/>
                <w:szCs w:val="24"/>
              </w:rPr>
              <w:t>REIT</w:t>
            </w:r>
            <w:r>
              <w:rPr>
                <w:rFonts w:ascii="宋体" w:eastAsia="宋体" w:hAnsi="宋体" w:cs="宋体"/>
                <w:spacing w:val="-11"/>
                <w:kern w:val="0"/>
                <w:sz w:val="24"/>
                <w:szCs w:val="24"/>
              </w:rPr>
              <w:t>s</w:t>
            </w:r>
            <w:r>
              <w:rPr>
                <w:rFonts w:ascii="宋体" w:eastAsia="宋体" w:hAnsi="宋体" w:cs="宋体"/>
                <w:spacing w:val="-12"/>
                <w:kern w:val="0"/>
                <w:sz w:val="24"/>
                <w:szCs w:val="24"/>
              </w:rPr>
              <w:t>名称</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
                <w:kern w:val="0"/>
                <w:sz w:val="24"/>
                <w:szCs w:val="24"/>
              </w:rPr>
              <w:t>易方达深高速高速公路封闭式基础设施证券投资基金</w:t>
            </w:r>
          </w:p>
        </w:tc>
      </w:tr>
      <w:tr w:rsidR="009E4223">
        <w:trPr>
          <w:trHeight w:val="626"/>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0"/>
                <w:kern w:val="0"/>
                <w:sz w:val="24"/>
                <w:szCs w:val="24"/>
              </w:rPr>
              <w:t>公</w:t>
            </w:r>
            <w:r>
              <w:rPr>
                <w:rFonts w:ascii="宋体" w:eastAsia="宋体" w:hAnsi="宋体" w:cs="宋体"/>
                <w:spacing w:val="-11"/>
                <w:kern w:val="0"/>
                <w:sz w:val="24"/>
                <w:szCs w:val="24"/>
              </w:rPr>
              <w:t>募</w:t>
            </w:r>
            <w:r>
              <w:rPr>
                <w:rFonts w:ascii="宋体" w:eastAsia="宋体" w:hAnsi="宋体" w:cs="宋体"/>
                <w:spacing w:val="-11"/>
                <w:kern w:val="0"/>
                <w:sz w:val="24"/>
                <w:szCs w:val="24"/>
              </w:rPr>
              <w:t>REITs</w:t>
            </w:r>
            <w:r>
              <w:rPr>
                <w:rFonts w:ascii="宋体" w:eastAsia="宋体" w:hAnsi="宋体" w:cs="宋体"/>
                <w:spacing w:val="-11"/>
                <w:kern w:val="0"/>
                <w:sz w:val="24"/>
                <w:szCs w:val="24"/>
              </w:rPr>
              <w:t>简称</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8"/>
                <w:kern w:val="0"/>
                <w:sz w:val="24"/>
                <w:szCs w:val="24"/>
              </w:rPr>
              <w:t>易方达深高速</w:t>
            </w:r>
            <w:r>
              <w:rPr>
                <w:rFonts w:ascii="宋体" w:eastAsia="宋体" w:hAnsi="宋体" w:cs="宋体"/>
                <w:spacing w:val="-8"/>
                <w:kern w:val="0"/>
                <w:sz w:val="24"/>
                <w:szCs w:val="24"/>
              </w:rPr>
              <w:t>REIT</w:t>
            </w:r>
          </w:p>
        </w:tc>
      </w:tr>
      <w:tr w:rsidR="009E4223">
        <w:trPr>
          <w:trHeight w:val="629"/>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
                <w:kern w:val="0"/>
                <w:sz w:val="24"/>
                <w:szCs w:val="24"/>
              </w:rPr>
              <w:t>场内简</w:t>
            </w:r>
            <w:r>
              <w:rPr>
                <w:rFonts w:ascii="宋体" w:eastAsia="宋体" w:hAnsi="宋体" w:cs="宋体"/>
                <w:spacing w:val="-1"/>
                <w:kern w:val="0"/>
                <w:sz w:val="24"/>
                <w:szCs w:val="24"/>
              </w:rPr>
              <w:t>称</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hint="eastAsia"/>
                <w:spacing w:val="-5"/>
                <w:kern w:val="0"/>
                <w:sz w:val="24"/>
                <w:szCs w:val="24"/>
              </w:rPr>
              <w:t>深高</w:t>
            </w:r>
            <w:r>
              <w:rPr>
                <w:rFonts w:ascii="宋体" w:eastAsia="宋体" w:hAnsi="宋体" w:cs="宋体"/>
                <w:spacing w:val="-5"/>
                <w:kern w:val="0"/>
                <w:sz w:val="24"/>
                <w:szCs w:val="24"/>
              </w:rPr>
              <w:t>REIT(</w:t>
            </w:r>
            <w:r>
              <w:rPr>
                <w:rFonts w:ascii="宋体" w:eastAsia="宋体" w:hAnsi="宋体" w:cs="宋体"/>
                <w:spacing w:val="-5"/>
                <w:kern w:val="0"/>
                <w:sz w:val="24"/>
                <w:szCs w:val="24"/>
              </w:rPr>
              <w:t>扩位简称：</w:t>
            </w:r>
            <w:r>
              <w:rPr>
                <w:rFonts w:ascii="宋体" w:eastAsia="宋体" w:hAnsi="宋体" w:cs="宋体" w:hint="eastAsia"/>
                <w:spacing w:val="-5"/>
                <w:kern w:val="0"/>
                <w:sz w:val="24"/>
                <w:szCs w:val="24"/>
              </w:rPr>
              <w:t>易方达</w:t>
            </w:r>
            <w:r>
              <w:rPr>
                <w:rFonts w:ascii="宋体" w:eastAsia="宋体" w:hAnsi="宋体" w:cs="宋体"/>
                <w:spacing w:val="-5"/>
                <w:kern w:val="0"/>
                <w:sz w:val="24"/>
                <w:szCs w:val="24"/>
              </w:rPr>
              <w:t>深高速</w:t>
            </w:r>
            <w:r>
              <w:rPr>
                <w:rFonts w:ascii="宋体" w:eastAsia="宋体" w:hAnsi="宋体" w:cs="宋体"/>
                <w:spacing w:val="-5"/>
                <w:kern w:val="0"/>
                <w:sz w:val="24"/>
                <w:szCs w:val="24"/>
              </w:rPr>
              <w:t>REI</w:t>
            </w:r>
            <w:r>
              <w:rPr>
                <w:rFonts w:ascii="宋体" w:eastAsia="宋体" w:hAnsi="宋体" w:cs="宋体"/>
                <w:spacing w:val="-3"/>
                <w:kern w:val="0"/>
                <w:sz w:val="24"/>
                <w:szCs w:val="24"/>
              </w:rPr>
              <w:t>T</w:t>
            </w:r>
            <w:r>
              <w:rPr>
                <w:rFonts w:ascii="宋体" w:eastAsia="宋体" w:hAnsi="宋体" w:cs="宋体"/>
                <w:spacing w:val="-5"/>
                <w:kern w:val="0"/>
                <w:sz w:val="24"/>
                <w:szCs w:val="24"/>
              </w:rPr>
              <w:t>)</w:t>
            </w:r>
          </w:p>
        </w:tc>
      </w:tr>
      <w:tr w:rsidR="009E4223">
        <w:trPr>
          <w:trHeight w:val="628"/>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13"/>
                <w:kern w:val="0"/>
                <w:sz w:val="24"/>
                <w:szCs w:val="24"/>
              </w:rPr>
              <w:t>公</w:t>
            </w:r>
            <w:r>
              <w:rPr>
                <w:rFonts w:ascii="宋体" w:eastAsia="宋体" w:hAnsi="宋体" w:cs="宋体"/>
                <w:spacing w:val="-12"/>
                <w:kern w:val="0"/>
                <w:sz w:val="24"/>
                <w:szCs w:val="24"/>
              </w:rPr>
              <w:t>募</w:t>
            </w:r>
            <w:r>
              <w:rPr>
                <w:rFonts w:ascii="宋体" w:eastAsia="宋体" w:hAnsi="宋体" w:cs="宋体"/>
                <w:spacing w:val="-12"/>
                <w:kern w:val="0"/>
                <w:sz w:val="24"/>
                <w:szCs w:val="24"/>
              </w:rPr>
              <w:t>REITs</w:t>
            </w:r>
            <w:r>
              <w:rPr>
                <w:rFonts w:ascii="宋体" w:eastAsia="宋体" w:hAnsi="宋体" w:cs="宋体"/>
                <w:spacing w:val="-12"/>
                <w:kern w:val="0"/>
                <w:sz w:val="24"/>
                <w:szCs w:val="24"/>
              </w:rPr>
              <w:t>代码</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4"/>
                <w:kern w:val="0"/>
                <w:sz w:val="24"/>
                <w:szCs w:val="24"/>
              </w:rPr>
              <w:t>5</w:t>
            </w:r>
            <w:r>
              <w:rPr>
                <w:rFonts w:ascii="宋体" w:eastAsia="宋体" w:hAnsi="宋体" w:cs="宋体"/>
                <w:spacing w:val="-3"/>
                <w:kern w:val="0"/>
                <w:sz w:val="24"/>
                <w:szCs w:val="24"/>
              </w:rPr>
              <w:t>0</w:t>
            </w:r>
            <w:r>
              <w:rPr>
                <w:rFonts w:ascii="宋体" w:eastAsia="宋体" w:hAnsi="宋体" w:cs="宋体"/>
                <w:spacing w:val="-2"/>
                <w:kern w:val="0"/>
                <w:sz w:val="24"/>
                <w:szCs w:val="24"/>
              </w:rPr>
              <w:t>8033</w:t>
            </w:r>
          </w:p>
        </w:tc>
      </w:tr>
      <w:tr w:rsidR="009E4223">
        <w:trPr>
          <w:trHeight w:val="626"/>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18"/>
                <w:kern w:val="0"/>
                <w:sz w:val="24"/>
                <w:szCs w:val="24"/>
              </w:rPr>
              <w:t>公</w:t>
            </w:r>
            <w:r>
              <w:rPr>
                <w:rFonts w:ascii="宋体" w:eastAsia="宋体" w:hAnsi="宋体" w:cs="宋体"/>
                <w:spacing w:val="-9"/>
                <w:kern w:val="0"/>
                <w:sz w:val="24"/>
                <w:szCs w:val="24"/>
              </w:rPr>
              <w:t>募</w:t>
            </w:r>
            <w:r>
              <w:rPr>
                <w:rFonts w:ascii="宋体" w:eastAsia="宋体" w:hAnsi="宋体" w:cs="宋体"/>
                <w:spacing w:val="-9"/>
                <w:kern w:val="0"/>
                <w:sz w:val="24"/>
                <w:szCs w:val="24"/>
              </w:rPr>
              <w:t>REITs</w:t>
            </w:r>
            <w:r>
              <w:rPr>
                <w:rFonts w:ascii="宋体" w:eastAsia="宋体" w:hAnsi="宋体" w:cs="宋体"/>
                <w:spacing w:val="-9"/>
                <w:kern w:val="0"/>
                <w:sz w:val="24"/>
                <w:szCs w:val="24"/>
              </w:rPr>
              <w:t>合同生效日</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4"/>
                <w:kern w:val="0"/>
                <w:sz w:val="24"/>
                <w:szCs w:val="24"/>
              </w:rPr>
              <w:t>2</w:t>
            </w:r>
            <w:r>
              <w:rPr>
                <w:rFonts w:ascii="宋体" w:eastAsia="宋体" w:hAnsi="宋体" w:cs="宋体"/>
                <w:spacing w:val="-17"/>
                <w:kern w:val="0"/>
                <w:sz w:val="24"/>
                <w:szCs w:val="24"/>
              </w:rPr>
              <w:t>024</w:t>
            </w:r>
            <w:r>
              <w:rPr>
                <w:rFonts w:ascii="宋体" w:eastAsia="宋体" w:hAnsi="宋体" w:cs="宋体"/>
                <w:spacing w:val="-17"/>
                <w:kern w:val="0"/>
                <w:sz w:val="24"/>
                <w:szCs w:val="24"/>
              </w:rPr>
              <w:t>年</w:t>
            </w:r>
            <w:r>
              <w:rPr>
                <w:rFonts w:ascii="宋体" w:eastAsia="宋体" w:hAnsi="宋体" w:cs="宋体"/>
                <w:spacing w:val="-17"/>
                <w:kern w:val="0"/>
                <w:sz w:val="24"/>
                <w:szCs w:val="24"/>
              </w:rPr>
              <w:t>3</w:t>
            </w:r>
            <w:r>
              <w:rPr>
                <w:rFonts w:ascii="宋体" w:eastAsia="宋体" w:hAnsi="宋体" w:cs="宋体"/>
                <w:spacing w:val="-17"/>
                <w:kern w:val="0"/>
                <w:sz w:val="24"/>
                <w:szCs w:val="24"/>
              </w:rPr>
              <w:t>月</w:t>
            </w:r>
            <w:r>
              <w:rPr>
                <w:rFonts w:ascii="宋体" w:eastAsia="宋体" w:hAnsi="宋体" w:cs="宋体"/>
                <w:spacing w:val="-17"/>
                <w:kern w:val="0"/>
                <w:sz w:val="24"/>
                <w:szCs w:val="24"/>
              </w:rPr>
              <w:t>12</w:t>
            </w:r>
            <w:r>
              <w:rPr>
                <w:rFonts w:ascii="宋体" w:eastAsia="宋体" w:hAnsi="宋体" w:cs="宋体"/>
                <w:spacing w:val="-17"/>
                <w:kern w:val="0"/>
                <w:sz w:val="24"/>
                <w:szCs w:val="24"/>
              </w:rPr>
              <w:t>日</w:t>
            </w:r>
          </w:p>
        </w:tc>
      </w:tr>
      <w:tr w:rsidR="009E4223">
        <w:trPr>
          <w:trHeight w:val="628"/>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
                <w:kern w:val="0"/>
                <w:sz w:val="24"/>
                <w:szCs w:val="24"/>
              </w:rPr>
              <w:t>基金</w:t>
            </w:r>
            <w:r>
              <w:rPr>
                <w:rFonts w:ascii="宋体" w:eastAsia="宋体" w:hAnsi="宋体" w:cs="宋体"/>
                <w:spacing w:val="-1"/>
                <w:kern w:val="0"/>
                <w:sz w:val="24"/>
                <w:szCs w:val="24"/>
              </w:rPr>
              <w:t>管理人名称</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3"/>
                <w:kern w:val="0"/>
                <w:sz w:val="24"/>
                <w:szCs w:val="24"/>
              </w:rPr>
              <w:t>易方达基金管理有限公司</w:t>
            </w:r>
          </w:p>
        </w:tc>
      </w:tr>
      <w:tr w:rsidR="009E4223">
        <w:trPr>
          <w:trHeight w:val="628"/>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2"/>
                <w:kern w:val="0"/>
                <w:sz w:val="24"/>
                <w:szCs w:val="24"/>
              </w:rPr>
              <w:t>基金</w:t>
            </w:r>
            <w:r>
              <w:rPr>
                <w:rFonts w:ascii="宋体" w:eastAsia="宋体" w:hAnsi="宋体" w:cs="宋体"/>
                <w:spacing w:val="-1"/>
                <w:kern w:val="0"/>
                <w:sz w:val="24"/>
                <w:szCs w:val="24"/>
              </w:rPr>
              <w:t>托管人名称</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hint="eastAsia"/>
                <w:spacing w:val="-1"/>
                <w:kern w:val="0"/>
                <w:sz w:val="24"/>
                <w:szCs w:val="24"/>
              </w:rPr>
              <w:t>中国</w:t>
            </w:r>
            <w:r>
              <w:rPr>
                <w:rFonts w:ascii="宋体" w:eastAsia="宋体" w:hAnsi="宋体" w:cs="宋体"/>
                <w:spacing w:val="-1"/>
                <w:kern w:val="0"/>
                <w:sz w:val="24"/>
                <w:szCs w:val="24"/>
              </w:rPr>
              <w:t>工商银行股份有限公司</w:t>
            </w:r>
          </w:p>
        </w:tc>
      </w:tr>
      <w:tr w:rsidR="009E4223">
        <w:trPr>
          <w:trHeight w:val="2296"/>
        </w:trPr>
        <w:tc>
          <w:tcPr>
            <w:tcW w:w="2699"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4"/>
                <w:kern w:val="0"/>
                <w:sz w:val="24"/>
                <w:szCs w:val="24"/>
              </w:rPr>
              <w:t>公</w:t>
            </w:r>
            <w:r>
              <w:rPr>
                <w:rFonts w:ascii="宋体" w:eastAsia="宋体" w:hAnsi="宋体" w:cs="宋体"/>
                <w:spacing w:val="-3"/>
                <w:kern w:val="0"/>
                <w:sz w:val="24"/>
                <w:szCs w:val="24"/>
              </w:rPr>
              <w:t>告依据</w:t>
            </w:r>
          </w:p>
        </w:tc>
        <w:tc>
          <w:tcPr>
            <w:tcW w:w="6237" w:type="dxa"/>
            <w:vAlign w:val="center"/>
          </w:tcPr>
          <w:p w:rsidR="00A90C31" w:rsidRDefault="008F29BA">
            <w:pPr>
              <w:spacing w:line="360" w:lineRule="auto"/>
              <w:rPr>
                <w:rFonts w:ascii="宋体" w:eastAsia="宋体" w:hAnsi="宋体" w:cs="宋体"/>
                <w:kern w:val="0"/>
                <w:sz w:val="24"/>
                <w:szCs w:val="24"/>
              </w:rPr>
            </w:pPr>
            <w:r>
              <w:rPr>
                <w:rFonts w:ascii="宋体" w:eastAsia="宋体" w:hAnsi="宋体" w:cs="宋体"/>
                <w:spacing w:val="-1"/>
                <w:kern w:val="0"/>
                <w:sz w:val="24"/>
                <w:szCs w:val="24"/>
              </w:rPr>
              <w:t>《中华人民共和国证券投资基金法》及配套法规</w:t>
            </w:r>
            <w:r>
              <w:rPr>
                <w:rFonts w:ascii="宋体" w:eastAsia="宋体" w:hAnsi="宋体" w:cs="宋体"/>
                <w:kern w:val="0"/>
                <w:sz w:val="24"/>
                <w:szCs w:val="24"/>
              </w:rPr>
              <w:t>、《公开</w:t>
            </w:r>
            <w:r>
              <w:rPr>
                <w:rFonts w:ascii="宋体" w:eastAsia="宋体" w:hAnsi="宋体" w:cs="宋体"/>
                <w:spacing w:val="16"/>
                <w:kern w:val="0"/>
                <w:sz w:val="24"/>
                <w:szCs w:val="24"/>
              </w:rPr>
              <w:t>募</w:t>
            </w:r>
            <w:r>
              <w:rPr>
                <w:rFonts w:ascii="宋体" w:eastAsia="宋体" w:hAnsi="宋体" w:cs="宋体"/>
                <w:spacing w:val="9"/>
                <w:kern w:val="0"/>
                <w:sz w:val="24"/>
                <w:szCs w:val="24"/>
              </w:rPr>
              <w:t>集基础设施证券投资基金指引</w:t>
            </w:r>
            <w:r>
              <w:rPr>
                <w:rFonts w:ascii="宋体" w:eastAsia="宋体" w:hAnsi="宋体" w:cs="宋体"/>
                <w:spacing w:val="9"/>
                <w:kern w:val="0"/>
                <w:sz w:val="24"/>
                <w:szCs w:val="24"/>
              </w:rPr>
              <w:t>(</w:t>
            </w:r>
            <w:r>
              <w:rPr>
                <w:rFonts w:ascii="宋体" w:eastAsia="宋体" w:hAnsi="宋体" w:cs="宋体"/>
                <w:spacing w:val="9"/>
                <w:kern w:val="0"/>
                <w:sz w:val="24"/>
                <w:szCs w:val="24"/>
              </w:rPr>
              <w:t>试行</w:t>
            </w:r>
            <w:r>
              <w:rPr>
                <w:rFonts w:ascii="宋体" w:eastAsia="宋体" w:hAnsi="宋体" w:cs="宋体"/>
                <w:spacing w:val="9"/>
                <w:kern w:val="0"/>
                <w:sz w:val="24"/>
                <w:szCs w:val="24"/>
              </w:rPr>
              <w:t>)</w:t>
            </w:r>
            <w:r>
              <w:rPr>
                <w:rFonts w:ascii="宋体" w:eastAsia="宋体" w:hAnsi="宋体" w:cs="宋体"/>
                <w:spacing w:val="9"/>
                <w:kern w:val="0"/>
                <w:sz w:val="24"/>
                <w:szCs w:val="24"/>
              </w:rPr>
              <w:t>》《上海证券交</w:t>
            </w:r>
            <w:r>
              <w:rPr>
                <w:rFonts w:ascii="宋体" w:eastAsia="宋体" w:hAnsi="宋体" w:cs="宋体"/>
                <w:spacing w:val="10"/>
                <w:kern w:val="0"/>
                <w:sz w:val="24"/>
                <w:szCs w:val="24"/>
              </w:rPr>
              <w:t>易所公开募集基础设施证券投资基金</w:t>
            </w:r>
            <w:r>
              <w:rPr>
                <w:rFonts w:ascii="宋体" w:eastAsia="宋体" w:hAnsi="宋体" w:cs="宋体"/>
                <w:spacing w:val="10"/>
                <w:kern w:val="0"/>
                <w:sz w:val="24"/>
                <w:szCs w:val="24"/>
              </w:rPr>
              <w:t>(</w:t>
            </w:r>
            <w:r>
              <w:rPr>
                <w:rFonts w:ascii="宋体" w:eastAsia="宋体" w:hAnsi="宋体" w:cs="宋体"/>
                <w:kern w:val="0"/>
                <w:sz w:val="24"/>
                <w:szCs w:val="24"/>
              </w:rPr>
              <w:t>REITs</w:t>
            </w:r>
            <w:r>
              <w:rPr>
                <w:rFonts w:ascii="宋体" w:eastAsia="宋体" w:hAnsi="宋体" w:cs="宋体"/>
                <w:spacing w:val="10"/>
                <w:kern w:val="0"/>
                <w:sz w:val="24"/>
                <w:szCs w:val="24"/>
              </w:rPr>
              <w:t>)</w:t>
            </w:r>
            <w:r>
              <w:rPr>
                <w:rFonts w:ascii="宋体" w:eastAsia="宋体" w:hAnsi="宋体" w:cs="宋体"/>
                <w:spacing w:val="10"/>
                <w:kern w:val="0"/>
                <w:sz w:val="24"/>
                <w:szCs w:val="24"/>
              </w:rPr>
              <w:t>业务指南</w:t>
            </w:r>
            <w:r>
              <w:rPr>
                <w:rFonts w:ascii="宋体" w:eastAsia="宋体" w:hAnsi="宋体" w:cs="宋体"/>
                <w:spacing w:val="-8"/>
                <w:kern w:val="0"/>
                <w:sz w:val="24"/>
                <w:szCs w:val="24"/>
              </w:rPr>
              <w:t>第</w:t>
            </w:r>
            <w:r>
              <w:rPr>
                <w:rFonts w:ascii="宋体" w:eastAsia="宋体" w:hAnsi="宋体" w:cs="宋体"/>
                <w:spacing w:val="-8"/>
                <w:kern w:val="0"/>
                <w:sz w:val="24"/>
                <w:szCs w:val="24"/>
              </w:rPr>
              <w:t>2</w:t>
            </w:r>
            <w:r>
              <w:rPr>
                <w:rFonts w:ascii="宋体" w:eastAsia="宋体" w:hAnsi="宋体" w:cs="宋体"/>
                <w:spacing w:val="-8"/>
                <w:kern w:val="0"/>
                <w:sz w:val="24"/>
                <w:szCs w:val="24"/>
              </w:rPr>
              <w:t>号</w:t>
            </w:r>
            <w:r>
              <w:rPr>
                <w:rFonts w:ascii="宋体" w:eastAsia="宋体" w:hAnsi="宋体" w:cs="宋体"/>
                <w:spacing w:val="-4"/>
                <w:kern w:val="0"/>
                <w:sz w:val="24"/>
                <w:szCs w:val="24"/>
              </w:rPr>
              <w:t>——</w:t>
            </w:r>
            <w:r>
              <w:rPr>
                <w:rFonts w:ascii="宋体" w:eastAsia="宋体" w:hAnsi="宋体" w:cs="宋体"/>
                <w:spacing w:val="-4"/>
                <w:kern w:val="0"/>
                <w:sz w:val="24"/>
                <w:szCs w:val="24"/>
              </w:rPr>
              <w:t>存续业务》等有关规定以及《易方达深高速高速公路封闭式基础设施证券投资基金</w:t>
            </w:r>
            <w:r>
              <w:rPr>
                <w:rFonts w:ascii="宋体" w:eastAsia="宋体" w:hAnsi="宋体" w:cs="宋体"/>
                <w:kern w:val="0"/>
                <w:sz w:val="24"/>
                <w:szCs w:val="24"/>
              </w:rPr>
              <w:t>基金合同》《易方达深高速高速公路封闭式基础设施证券投资基金更新的招</w:t>
            </w:r>
            <w:r>
              <w:rPr>
                <w:rFonts w:ascii="宋体" w:eastAsia="宋体" w:hAnsi="宋体" w:cs="宋体"/>
                <w:spacing w:val="-1"/>
                <w:kern w:val="0"/>
                <w:sz w:val="24"/>
                <w:szCs w:val="24"/>
              </w:rPr>
              <w:t>募说明书》</w:t>
            </w:r>
          </w:p>
        </w:tc>
      </w:tr>
    </w:tbl>
    <w:p w:rsidR="00A90C31" w:rsidRDefault="008F29BA" w:rsidP="008F29BA">
      <w:pPr>
        <w:adjustRightInd w:val="0"/>
        <w:spacing w:beforeLines="100" w:afterLines="100" w:line="360" w:lineRule="auto"/>
        <w:ind w:firstLineChars="200" w:firstLine="426"/>
        <w:rPr>
          <w:rFonts w:ascii="宋体" w:eastAsia="宋体" w:hAnsi="宋体" w:cs="宋体"/>
          <w:b/>
          <w:spacing w:val="-14"/>
          <w:sz w:val="24"/>
          <w:szCs w:val="24"/>
        </w:rPr>
      </w:pPr>
      <w:r>
        <w:rPr>
          <w:rFonts w:ascii="宋体" w:eastAsia="宋体" w:hAnsi="宋体" w:cs="宋体"/>
          <w:b/>
          <w:spacing w:val="-14"/>
          <w:sz w:val="24"/>
          <w:szCs w:val="24"/>
        </w:rPr>
        <w:t>二、</w:t>
      </w:r>
      <w:r>
        <w:rPr>
          <w:rFonts w:ascii="宋体" w:eastAsia="宋体" w:hAnsi="宋体" w:cs="宋体" w:hint="eastAsia"/>
          <w:b/>
          <w:spacing w:val="-14"/>
          <w:sz w:val="24"/>
          <w:szCs w:val="24"/>
        </w:rPr>
        <w:t>基础设施项目的基本情况</w:t>
      </w:r>
    </w:p>
    <w:p w:rsidR="00A90C31" w:rsidRDefault="008F29BA" w:rsidP="008F29BA">
      <w:pPr>
        <w:adjustRightInd w:val="0"/>
        <w:snapToGrid w:val="0"/>
        <w:spacing w:line="360" w:lineRule="auto"/>
        <w:ind w:firstLineChars="200" w:firstLine="484"/>
        <w:rPr>
          <w:rFonts w:ascii="宋体" w:eastAsia="宋体" w:hAnsi="宋体" w:cs="宋体"/>
          <w:spacing w:val="1"/>
          <w:sz w:val="24"/>
          <w:szCs w:val="24"/>
        </w:rPr>
      </w:pPr>
      <w:r>
        <w:rPr>
          <w:rFonts w:ascii="宋体" w:eastAsia="宋体" w:hAnsi="宋体" w:cs="宋体"/>
          <w:spacing w:val="1"/>
          <w:sz w:val="24"/>
          <w:szCs w:val="24"/>
        </w:rPr>
        <w:t>本基金的基础设施项目为</w:t>
      </w:r>
      <w:r>
        <w:rPr>
          <w:rFonts w:ascii="宋体" w:eastAsia="宋体" w:hAnsi="宋体" w:cs="宋体" w:hint="eastAsia"/>
          <w:spacing w:val="1"/>
          <w:sz w:val="24"/>
          <w:szCs w:val="24"/>
        </w:rPr>
        <w:t>益常</w:t>
      </w:r>
      <w:r>
        <w:rPr>
          <w:rFonts w:ascii="宋体" w:eastAsia="宋体" w:hAnsi="宋体" w:cs="宋体"/>
          <w:spacing w:val="1"/>
          <w:sz w:val="24"/>
          <w:szCs w:val="24"/>
        </w:rPr>
        <w:t>高速公路，项目公司为湖南益常高速公路开发有限公司，运营管理机构为湖南益常高速公路运营管理有限公司。项目</w:t>
      </w:r>
      <w:r>
        <w:rPr>
          <w:rFonts w:ascii="宋体" w:eastAsia="宋体" w:hAnsi="宋体" w:cs="宋体" w:hint="eastAsia"/>
          <w:spacing w:val="1"/>
          <w:sz w:val="24"/>
          <w:szCs w:val="24"/>
        </w:rPr>
        <w:t>起点位于湖南省益阳市资阳区的资江二桥（</w:t>
      </w:r>
      <w:r>
        <w:rPr>
          <w:rFonts w:ascii="宋体" w:eastAsia="宋体" w:hAnsi="宋体" w:cs="宋体"/>
          <w:spacing w:val="1"/>
          <w:sz w:val="24"/>
          <w:szCs w:val="24"/>
        </w:rPr>
        <w:t>K76+000</w:t>
      </w:r>
      <w:r>
        <w:rPr>
          <w:rFonts w:ascii="宋体" w:eastAsia="宋体" w:hAnsi="宋体" w:cs="宋体"/>
          <w:spacing w:val="1"/>
          <w:sz w:val="24"/>
          <w:szCs w:val="24"/>
        </w:rPr>
        <w:t>），终点位于湖南省常德市武陵区德山镇檀树坪村（</w:t>
      </w:r>
      <w:r>
        <w:rPr>
          <w:rFonts w:ascii="宋体" w:eastAsia="宋体" w:hAnsi="宋体" w:cs="宋体"/>
          <w:spacing w:val="1"/>
          <w:sz w:val="24"/>
          <w:szCs w:val="24"/>
        </w:rPr>
        <w:t>K149+083</w:t>
      </w:r>
      <w:r>
        <w:rPr>
          <w:rFonts w:ascii="宋体" w:eastAsia="宋体" w:hAnsi="宋体" w:cs="宋体"/>
          <w:spacing w:val="1"/>
          <w:sz w:val="24"/>
          <w:szCs w:val="24"/>
        </w:rPr>
        <w:t>），途</w:t>
      </w:r>
      <w:r w:rsidR="0040625B">
        <w:rPr>
          <w:rFonts w:ascii="宋体" w:eastAsia="宋体" w:hAnsi="宋体" w:cs="宋体" w:hint="eastAsia"/>
          <w:spacing w:val="1"/>
          <w:sz w:val="24"/>
          <w:szCs w:val="24"/>
        </w:rPr>
        <w:t>经</w:t>
      </w:r>
      <w:r>
        <w:rPr>
          <w:rFonts w:ascii="宋体" w:eastAsia="宋体" w:hAnsi="宋体" w:cs="宋体"/>
          <w:spacing w:val="1"/>
          <w:sz w:val="24"/>
          <w:szCs w:val="24"/>
        </w:rPr>
        <w:t>益阳市、汉寿县和常德市</w:t>
      </w:r>
      <w:r>
        <w:rPr>
          <w:rFonts w:ascii="宋体" w:eastAsia="宋体" w:hAnsi="宋体" w:cs="宋体" w:hint="eastAsia"/>
          <w:spacing w:val="1"/>
          <w:sz w:val="24"/>
          <w:szCs w:val="24"/>
        </w:rPr>
        <w:t>。项目主线全长</w:t>
      </w:r>
      <w:r>
        <w:rPr>
          <w:rFonts w:ascii="宋体" w:eastAsia="宋体" w:hAnsi="宋体" w:cs="宋体"/>
          <w:spacing w:val="1"/>
          <w:sz w:val="24"/>
          <w:szCs w:val="24"/>
        </w:rPr>
        <w:t>73.083</w:t>
      </w:r>
      <w:r>
        <w:rPr>
          <w:rFonts w:ascii="宋体" w:eastAsia="宋体" w:hAnsi="宋体" w:cs="宋体"/>
          <w:spacing w:val="1"/>
          <w:sz w:val="24"/>
          <w:szCs w:val="24"/>
        </w:rPr>
        <w:t>公里，双向四车道，全线共设有</w:t>
      </w:r>
      <w:r>
        <w:rPr>
          <w:rFonts w:ascii="宋体" w:eastAsia="宋体" w:hAnsi="宋体" w:cs="宋体"/>
          <w:spacing w:val="1"/>
          <w:sz w:val="24"/>
          <w:szCs w:val="24"/>
        </w:rPr>
        <w:t>6</w:t>
      </w:r>
      <w:r>
        <w:rPr>
          <w:rFonts w:ascii="宋体" w:eastAsia="宋体" w:hAnsi="宋体" w:cs="宋体"/>
          <w:spacing w:val="1"/>
          <w:sz w:val="24"/>
          <w:szCs w:val="24"/>
        </w:rPr>
        <w:t>个收费站（幸福渠、</w:t>
      </w:r>
      <w:r>
        <w:rPr>
          <w:rFonts w:ascii="宋体" w:eastAsia="宋体" w:hAnsi="宋体" w:cs="宋体" w:hint="eastAsia"/>
          <w:spacing w:val="1"/>
          <w:sz w:val="24"/>
          <w:szCs w:val="24"/>
        </w:rPr>
        <w:t>迎丰桥、军山铺、太子庙、谢家铺、德山）。</w:t>
      </w:r>
    </w:p>
    <w:p w:rsidR="00A90C31" w:rsidRDefault="008F29BA" w:rsidP="008F29BA">
      <w:pPr>
        <w:adjustRightInd w:val="0"/>
        <w:spacing w:beforeLines="100" w:afterLines="100" w:line="360" w:lineRule="auto"/>
        <w:ind w:firstLineChars="200" w:firstLine="426"/>
        <w:rPr>
          <w:rFonts w:ascii="宋体" w:eastAsia="宋体" w:hAnsi="宋体" w:cs="宋体"/>
          <w:b/>
          <w:spacing w:val="-14"/>
          <w:sz w:val="24"/>
          <w:szCs w:val="24"/>
        </w:rPr>
      </w:pPr>
      <w:r>
        <w:rPr>
          <w:rFonts w:ascii="宋体" w:eastAsia="宋体" w:hAnsi="宋体" w:cs="宋体"/>
          <w:b/>
          <w:spacing w:val="-14"/>
          <w:sz w:val="24"/>
          <w:szCs w:val="24"/>
        </w:rPr>
        <w:lastRenderedPageBreak/>
        <w:t>三、</w:t>
      </w:r>
      <w:r>
        <w:rPr>
          <w:rFonts w:ascii="宋体" w:eastAsia="宋体" w:hAnsi="宋体" w:cs="宋体" w:hint="eastAsia"/>
          <w:b/>
          <w:spacing w:val="-14"/>
          <w:sz w:val="24"/>
          <w:szCs w:val="24"/>
        </w:rPr>
        <w:t>基础设施项目</w:t>
      </w:r>
      <w:r>
        <w:rPr>
          <w:rFonts w:ascii="宋体" w:eastAsia="宋体" w:hAnsi="宋体" w:cs="宋体"/>
          <w:b/>
          <w:spacing w:val="-14"/>
          <w:sz w:val="24"/>
          <w:szCs w:val="24"/>
        </w:rPr>
        <w:t>202</w:t>
      </w:r>
      <w:r w:rsidR="00847E89">
        <w:rPr>
          <w:rFonts w:ascii="宋体" w:eastAsia="宋体" w:hAnsi="宋体" w:cs="宋体"/>
          <w:b/>
          <w:spacing w:val="-14"/>
          <w:sz w:val="24"/>
          <w:szCs w:val="24"/>
        </w:rPr>
        <w:t>5</w:t>
      </w:r>
      <w:r>
        <w:rPr>
          <w:rFonts w:ascii="宋体" w:eastAsia="宋体" w:hAnsi="宋体" w:cs="宋体"/>
          <w:b/>
          <w:spacing w:val="-14"/>
          <w:sz w:val="24"/>
          <w:szCs w:val="24"/>
        </w:rPr>
        <w:t>年</w:t>
      </w:r>
      <w:r w:rsidR="00630F10">
        <w:rPr>
          <w:rFonts w:ascii="宋体" w:eastAsia="宋体" w:hAnsi="宋体" w:cs="宋体"/>
          <w:b/>
          <w:spacing w:val="-14"/>
          <w:sz w:val="24"/>
          <w:szCs w:val="24"/>
        </w:rPr>
        <w:t>3</w:t>
      </w:r>
      <w:r>
        <w:rPr>
          <w:rFonts w:ascii="宋体" w:eastAsia="宋体" w:hAnsi="宋体" w:cs="宋体"/>
          <w:b/>
          <w:spacing w:val="-14"/>
          <w:sz w:val="24"/>
          <w:szCs w:val="24"/>
        </w:rPr>
        <w:t>月主要运营数据</w:t>
      </w:r>
    </w:p>
    <w:p w:rsidR="00A90C31" w:rsidRDefault="008F29BA" w:rsidP="008F29BA">
      <w:pPr>
        <w:adjustRightInd w:val="0"/>
        <w:snapToGrid w:val="0"/>
        <w:spacing w:line="360" w:lineRule="auto"/>
        <w:ind w:firstLineChars="200" w:firstLine="484"/>
        <w:rPr>
          <w:rFonts w:ascii="宋体" w:eastAsia="宋体" w:hAnsi="宋体"/>
          <w:sz w:val="24"/>
          <w:szCs w:val="24"/>
        </w:rPr>
      </w:pPr>
      <w:r>
        <w:rPr>
          <w:rFonts w:ascii="宋体" w:eastAsia="宋体" w:hAnsi="宋体" w:cs="宋体"/>
          <w:spacing w:val="1"/>
          <w:sz w:val="24"/>
          <w:szCs w:val="24"/>
        </w:rPr>
        <w:t>202</w:t>
      </w:r>
      <w:r w:rsidR="00847E89">
        <w:rPr>
          <w:rFonts w:ascii="宋体" w:eastAsia="宋体" w:hAnsi="宋体" w:cs="宋体"/>
          <w:spacing w:val="1"/>
          <w:sz w:val="24"/>
          <w:szCs w:val="24"/>
        </w:rPr>
        <w:t>5</w:t>
      </w:r>
      <w:r>
        <w:rPr>
          <w:rFonts w:ascii="宋体" w:eastAsia="宋体" w:hAnsi="宋体" w:cs="宋体"/>
          <w:spacing w:val="1"/>
          <w:sz w:val="24"/>
          <w:szCs w:val="24"/>
        </w:rPr>
        <w:t>年以来，基础设施项目整体运营</w:t>
      </w:r>
      <w:r w:rsidR="000A3886">
        <w:rPr>
          <w:rFonts w:ascii="宋体" w:eastAsia="宋体" w:hAnsi="宋体" w:cs="宋体" w:hint="eastAsia"/>
          <w:spacing w:val="1"/>
          <w:sz w:val="24"/>
          <w:szCs w:val="24"/>
        </w:rPr>
        <w:t>平稳</w:t>
      </w:r>
      <w:r>
        <w:rPr>
          <w:rFonts w:ascii="宋体" w:eastAsia="宋体" w:hAnsi="宋体" w:cs="宋体"/>
          <w:spacing w:val="1"/>
          <w:sz w:val="24"/>
          <w:szCs w:val="24"/>
        </w:rPr>
        <w:t>，</w:t>
      </w:r>
      <w:r>
        <w:rPr>
          <w:rFonts w:ascii="宋体" w:eastAsia="宋体" w:hAnsi="宋体" w:cs="宋体"/>
          <w:sz w:val="24"/>
          <w:szCs w:val="24"/>
        </w:rPr>
        <w:t>本高速公路通行费收入来源分散，无重要现金流提供方，</w:t>
      </w:r>
      <w:r w:rsidR="00660B6D">
        <w:rPr>
          <w:rFonts w:ascii="宋体" w:eastAsia="宋体" w:hAnsi="宋体" w:cs="宋体" w:hint="eastAsia"/>
          <w:sz w:val="24"/>
          <w:szCs w:val="24"/>
        </w:rPr>
        <w:t>运营</w:t>
      </w:r>
      <w:r>
        <w:rPr>
          <w:rFonts w:ascii="宋体" w:eastAsia="宋体" w:hAnsi="宋体" w:cs="宋体"/>
          <w:sz w:val="24"/>
          <w:szCs w:val="24"/>
        </w:rPr>
        <w:t>管理机构未发生变动</w:t>
      </w:r>
      <w:r w:rsidR="00783ED9">
        <w:rPr>
          <w:rFonts w:ascii="宋体" w:eastAsia="宋体" w:hAnsi="宋体" w:cs="宋体" w:hint="eastAsia"/>
          <w:sz w:val="24"/>
          <w:szCs w:val="24"/>
        </w:rPr>
        <w:t>，</w:t>
      </w:r>
      <w:r>
        <w:rPr>
          <w:rFonts w:ascii="宋体" w:eastAsia="宋体" w:hAnsi="宋体" w:cs="宋体" w:hint="eastAsia"/>
          <w:spacing w:val="1"/>
          <w:sz w:val="24"/>
          <w:szCs w:val="24"/>
        </w:rPr>
        <w:t>基础设施</w:t>
      </w:r>
      <w:r>
        <w:rPr>
          <w:rFonts w:ascii="宋体" w:eastAsia="宋体" w:hAnsi="宋体" w:cs="宋体"/>
          <w:spacing w:val="1"/>
          <w:sz w:val="24"/>
          <w:szCs w:val="24"/>
        </w:rPr>
        <w:t>项目</w:t>
      </w:r>
      <w:r>
        <w:rPr>
          <w:rFonts w:ascii="宋体" w:eastAsia="宋体" w:hAnsi="宋体" w:cs="宋体"/>
          <w:spacing w:val="1"/>
          <w:sz w:val="24"/>
          <w:szCs w:val="24"/>
        </w:rPr>
        <w:t>202</w:t>
      </w:r>
      <w:r w:rsidR="00847E89">
        <w:rPr>
          <w:rFonts w:ascii="宋体" w:eastAsia="宋体" w:hAnsi="宋体" w:cs="宋体"/>
          <w:spacing w:val="1"/>
          <w:sz w:val="24"/>
          <w:szCs w:val="24"/>
        </w:rPr>
        <w:t>5</w:t>
      </w:r>
      <w:r>
        <w:rPr>
          <w:rFonts w:ascii="宋体" w:eastAsia="宋体" w:hAnsi="宋体" w:cs="宋体"/>
          <w:spacing w:val="1"/>
          <w:sz w:val="24"/>
          <w:szCs w:val="24"/>
        </w:rPr>
        <w:t>年</w:t>
      </w:r>
      <w:r w:rsidR="00630F10">
        <w:rPr>
          <w:rFonts w:ascii="宋体" w:eastAsia="宋体" w:hAnsi="宋体" w:cs="宋体"/>
          <w:spacing w:val="1"/>
          <w:sz w:val="24"/>
          <w:szCs w:val="24"/>
        </w:rPr>
        <w:t>3</w:t>
      </w:r>
      <w:r>
        <w:rPr>
          <w:rFonts w:ascii="宋体" w:eastAsia="宋体" w:hAnsi="宋体" w:cs="宋体" w:hint="eastAsia"/>
          <w:spacing w:val="1"/>
          <w:sz w:val="24"/>
          <w:szCs w:val="24"/>
        </w:rPr>
        <w:t>月主要运营数据</w:t>
      </w:r>
      <w:r>
        <w:rPr>
          <w:rFonts w:ascii="宋体" w:eastAsia="宋体" w:hAnsi="宋体" w:cs="宋体"/>
          <w:spacing w:val="1"/>
          <w:sz w:val="24"/>
          <w:szCs w:val="24"/>
        </w:rPr>
        <w:t>如下：</w:t>
      </w:r>
    </w:p>
    <w:tbl>
      <w:tblPr>
        <w:tblStyle w:val="TableNormal0"/>
        <w:tblW w:w="59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909"/>
        <w:gridCol w:w="909"/>
        <w:gridCol w:w="908"/>
        <w:gridCol w:w="908"/>
        <w:gridCol w:w="916"/>
        <w:gridCol w:w="908"/>
        <w:gridCol w:w="908"/>
        <w:gridCol w:w="908"/>
        <w:gridCol w:w="1083"/>
        <w:gridCol w:w="735"/>
      </w:tblGrid>
      <w:tr w:rsidR="009E4223">
        <w:trPr>
          <w:trHeight w:val="591"/>
        </w:trPr>
        <w:tc>
          <w:tcPr>
            <w:tcW w:w="375" w:type="pct"/>
            <w:vMerge w:val="restart"/>
            <w:vAlign w:val="center"/>
          </w:tcPr>
          <w:p w:rsidR="00A90C31" w:rsidRDefault="008F29BA">
            <w:pPr>
              <w:jc w:val="center"/>
              <w:rPr>
                <w:rFonts w:ascii="宋体" w:eastAsia="宋体" w:hAnsi="宋体" w:cs="Arial"/>
                <w:kern w:val="0"/>
                <w:szCs w:val="21"/>
              </w:rPr>
            </w:pPr>
            <w:r>
              <w:rPr>
                <w:rFonts w:ascii="宋体" w:eastAsia="宋体" w:hAnsi="宋体" w:cs="Arial"/>
                <w:kern w:val="0"/>
                <w:szCs w:val="21"/>
              </w:rPr>
              <w:t>月份</w:t>
            </w:r>
          </w:p>
        </w:tc>
        <w:tc>
          <w:tcPr>
            <w:tcW w:w="2314" w:type="pct"/>
            <w:gridSpan w:val="5"/>
            <w:vAlign w:val="center"/>
          </w:tcPr>
          <w:p w:rsidR="00A90C31" w:rsidRDefault="008F29BA">
            <w:pPr>
              <w:jc w:val="center"/>
              <w:rPr>
                <w:rFonts w:ascii="宋体" w:eastAsia="宋体" w:hAnsi="宋体" w:cs="宋体"/>
                <w:spacing w:val="-4"/>
                <w:kern w:val="0"/>
                <w:szCs w:val="21"/>
              </w:rPr>
            </w:pPr>
            <w:r>
              <w:rPr>
                <w:rFonts w:ascii="宋体" w:eastAsia="宋体" w:hAnsi="宋体" w:cs="宋体" w:hint="eastAsia"/>
                <w:spacing w:val="-4"/>
                <w:kern w:val="0"/>
                <w:szCs w:val="21"/>
              </w:rPr>
              <w:t>日均收费车流量（辆次）</w:t>
            </w:r>
          </w:p>
        </w:tc>
        <w:tc>
          <w:tcPr>
            <w:tcW w:w="2311" w:type="pct"/>
            <w:gridSpan w:val="5"/>
            <w:vAlign w:val="center"/>
          </w:tcPr>
          <w:p w:rsidR="00A90C31" w:rsidRDefault="008F29BA">
            <w:pPr>
              <w:jc w:val="center"/>
              <w:rPr>
                <w:rFonts w:ascii="宋体" w:eastAsia="宋体" w:hAnsi="宋体" w:cs="宋体"/>
                <w:spacing w:val="-4"/>
                <w:kern w:val="0"/>
                <w:szCs w:val="21"/>
              </w:rPr>
            </w:pPr>
            <w:r>
              <w:rPr>
                <w:rFonts w:ascii="宋体" w:eastAsia="宋体" w:hAnsi="宋体" w:cs="宋体" w:hint="eastAsia"/>
                <w:spacing w:val="-4"/>
                <w:kern w:val="0"/>
                <w:szCs w:val="21"/>
              </w:rPr>
              <w:t>路费收入（人民币，万元，含增值税）</w:t>
            </w:r>
          </w:p>
        </w:tc>
      </w:tr>
      <w:tr w:rsidR="009E4223">
        <w:trPr>
          <w:trHeight w:val="1037"/>
        </w:trPr>
        <w:tc>
          <w:tcPr>
            <w:tcW w:w="375" w:type="pct"/>
            <w:vMerge/>
            <w:vAlign w:val="center"/>
          </w:tcPr>
          <w:p w:rsidR="00A90C31" w:rsidRDefault="00A90C31">
            <w:pPr>
              <w:jc w:val="center"/>
              <w:rPr>
                <w:rFonts w:ascii="宋体" w:eastAsia="宋体" w:hAnsi="宋体" w:cs="Arial"/>
                <w:kern w:val="0"/>
                <w:szCs w:val="21"/>
              </w:rPr>
            </w:pP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当月环比变动</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当月同比变动</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hint="eastAsia"/>
                <w:spacing w:val="-4"/>
                <w:kern w:val="0"/>
                <w:szCs w:val="21"/>
              </w:rPr>
              <w:t>2</w:t>
            </w:r>
            <w:r>
              <w:rPr>
                <w:rFonts w:ascii="宋体" w:eastAsia="宋体" w:hAnsi="宋体" w:cs="宋体"/>
                <w:spacing w:val="-4"/>
                <w:kern w:val="0"/>
                <w:szCs w:val="21"/>
              </w:rPr>
              <w:t>02</w:t>
            </w:r>
            <w:r w:rsidR="00847E89">
              <w:rPr>
                <w:rFonts w:ascii="宋体" w:eastAsia="宋体" w:hAnsi="宋体" w:cs="宋体"/>
                <w:spacing w:val="-4"/>
                <w:kern w:val="0"/>
                <w:szCs w:val="21"/>
              </w:rPr>
              <w:t>5</w:t>
            </w:r>
            <w:r w:rsidR="000F3F62">
              <w:rPr>
                <w:rFonts w:ascii="宋体" w:eastAsia="宋体" w:hAnsi="宋体" w:cs="宋体"/>
                <w:spacing w:val="-4"/>
                <w:kern w:val="0"/>
                <w:szCs w:val="21"/>
              </w:rPr>
              <w:t>年</w:t>
            </w:r>
          </w:p>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累计</w:t>
            </w:r>
          </w:p>
        </w:tc>
        <w:tc>
          <w:tcPr>
            <w:tcW w:w="466"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累计同比变动</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当月环比变动</w:t>
            </w:r>
          </w:p>
        </w:tc>
        <w:tc>
          <w:tcPr>
            <w:tcW w:w="462"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当月同比变动</w:t>
            </w:r>
          </w:p>
        </w:tc>
        <w:tc>
          <w:tcPr>
            <w:tcW w:w="551" w:type="pct"/>
            <w:vAlign w:val="center"/>
          </w:tcPr>
          <w:p w:rsidR="00A90C31" w:rsidRDefault="008F29BA" w:rsidP="00847E89">
            <w:pPr>
              <w:jc w:val="center"/>
              <w:rPr>
                <w:rFonts w:ascii="宋体" w:eastAsia="宋体" w:hAnsi="宋体" w:cs="宋体"/>
                <w:spacing w:val="-4"/>
                <w:kern w:val="0"/>
                <w:szCs w:val="21"/>
              </w:rPr>
            </w:pPr>
            <w:r>
              <w:rPr>
                <w:rFonts w:ascii="宋体" w:eastAsia="宋体" w:hAnsi="宋体" w:cs="宋体" w:hint="eastAsia"/>
                <w:spacing w:val="-4"/>
                <w:kern w:val="0"/>
                <w:szCs w:val="21"/>
              </w:rPr>
              <w:t>2</w:t>
            </w:r>
            <w:r>
              <w:rPr>
                <w:rFonts w:ascii="宋体" w:eastAsia="宋体" w:hAnsi="宋体" w:cs="宋体"/>
                <w:spacing w:val="-4"/>
                <w:kern w:val="0"/>
                <w:szCs w:val="21"/>
              </w:rPr>
              <w:t>02</w:t>
            </w:r>
            <w:r w:rsidR="00847E89">
              <w:rPr>
                <w:rFonts w:ascii="宋体" w:eastAsia="宋体" w:hAnsi="宋体" w:cs="宋体"/>
                <w:spacing w:val="-4"/>
                <w:kern w:val="0"/>
                <w:szCs w:val="21"/>
              </w:rPr>
              <w:t>5</w:t>
            </w:r>
            <w:r w:rsidR="000F3F62">
              <w:rPr>
                <w:rFonts w:ascii="宋体" w:eastAsia="宋体" w:hAnsi="宋体" w:cs="宋体"/>
                <w:spacing w:val="-4"/>
                <w:kern w:val="0"/>
                <w:szCs w:val="21"/>
              </w:rPr>
              <w:t>年累计</w:t>
            </w:r>
          </w:p>
        </w:tc>
        <w:tc>
          <w:tcPr>
            <w:tcW w:w="374" w:type="pct"/>
            <w:vAlign w:val="center"/>
          </w:tcPr>
          <w:p w:rsidR="00A90C31" w:rsidRDefault="008F29BA">
            <w:pPr>
              <w:jc w:val="center"/>
              <w:rPr>
                <w:rFonts w:ascii="宋体" w:eastAsia="宋体" w:hAnsi="宋体" w:cs="宋体"/>
                <w:spacing w:val="-4"/>
                <w:kern w:val="0"/>
                <w:szCs w:val="21"/>
              </w:rPr>
            </w:pPr>
            <w:r>
              <w:rPr>
                <w:rFonts w:ascii="宋体" w:eastAsia="宋体" w:hAnsi="宋体" w:cs="宋体"/>
                <w:spacing w:val="-4"/>
                <w:kern w:val="0"/>
                <w:szCs w:val="21"/>
              </w:rPr>
              <w:t>累计同比变动</w:t>
            </w:r>
          </w:p>
        </w:tc>
      </w:tr>
      <w:tr w:rsidR="009E4223" w:rsidTr="00630F10">
        <w:trPr>
          <w:trHeight w:val="946"/>
        </w:trPr>
        <w:tc>
          <w:tcPr>
            <w:tcW w:w="375" w:type="pct"/>
            <w:vAlign w:val="center"/>
          </w:tcPr>
          <w:p w:rsidR="00630F10" w:rsidRPr="00EA52A8" w:rsidRDefault="008F29BA" w:rsidP="00630F10">
            <w:pPr>
              <w:widowControl/>
              <w:jc w:val="center"/>
              <w:rPr>
                <w:rFonts w:ascii="宋体" w:eastAsia="宋体" w:hAnsi="宋体" w:cs="Arial"/>
                <w:kern w:val="0"/>
                <w:szCs w:val="21"/>
              </w:rPr>
            </w:pPr>
            <w:r w:rsidRPr="00EA52A8">
              <w:rPr>
                <w:rFonts w:ascii="宋体" w:eastAsia="宋体" w:hAnsi="宋体" w:cs="Arial" w:hint="eastAsia"/>
                <w:kern w:val="0"/>
                <w:szCs w:val="21"/>
              </w:rPr>
              <w:t>202</w:t>
            </w:r>
            <w:r>
              <w:rPr>
                <w:rFonts w:ascii="宋体" w:eastAsia="宋体" w:hAnsi="宋体" w:cs="Arial"/>
                <w:kern w:val="0"/>
                <w:szCs w:val="21"/>
              </w:rPr>
              <w:t>5</w:t>
            </w:r>
            <w:r w:rsidRPr="00EA52A8">
              <w:rPr>
                <w:rFonts w:ascii="宋体" w:eastAsia="宋体" w:hAnsi="宋体" w:cs="Arial" w:hint="eastAsia"/>
                <w:kern w:val="0"/>
                <w:szCs w:val="21"/>
              </w:rPr>
              <w:t>年</w:t>
            </w:r>
            <w:r>
              <w:rPr>
                <w:rFonts w:ascii="宋体" w:eastAsia="宋体" w:hAnsi="宋体" w:cs="Arial"/>
                <w:kern w:val="0"/>
                <w:szCs w:val="21"/>
              </w:rPr>
              <w:t>3</w:t>
            </w:r>
            <w:r w:rsidRPr="00EA52A8">
              <w:rPr>
                <w:rFonts w:ascii="宋体" w:eastAsia="宋体" w:hAnsi="宋体" w:cs="Arial" w:hint="eastAsia"/>
                <w:kern w:val="0"/>
                <w:szCs w:val="21"/>
              </w:rPr>
              <w:t>月</w:t>
            </w:r>
          </w:p>
        </w:tc>
        <w:tc>
          <w:tcPr>
            <w:tcW w:w="462" w:type="pct"/>
            <w:vAlign w:val="center"/>
          </w:tcPr>
          <w:p w:rsidR="00630F10" w:rsidRPr="00B45598" w:rsidRDefault="008F29BA" w:rsidP="00630F10">
            <w:pPr>
              <w:jc w:val="center"/>
            </w:pPr>
            <w:r w:rsidRPr="00B45598">
              <w:t>42,750</w:t>
            </w:r>
          </w:p>
        </w:tc>
        <w:tc>
          <w:tcPr>
            <w:tcW w:w="462" w:type="pct"/>
            <w:vAlign w:val="center"/>
          </w:tcPr>
          <w:p w:rsidR="00630F10" w:rsidRPr="00B45598" w:rsidRDefault="008F29BA" w:rsidP="00630F10">
            <w:pPr>
              <w:jc w:val="center"/>
            </w:pPr>
            <w:r w:rsidRPr="00B45598">
              <w:t>-11.0%</w:t>
            </w:r>
          </w:p>
        </w:tc>
        <w:tc>
          <w:tcPr>
            <w:tcW w:w="462" w:type="pct"/>
            <w:vAlign w:val="center"/>
          </w:tcPr>
          <w:p w:rsidR="00630F10" w:rsidRPr="00B45598" w:rsidRDefault="008F29BA" w:rsidP="00630F10">
            <w:pPr>
              <w:jc w:val="center"/>
            </w:pPr>
            <w:r w:rsidRPr="00B45598">
              <w:t>-23.7%</w:t>
            </w:r>
          </w:p>
        </w:tc>
        <w:tc>
          <w:tcPr>
            <w:tcW w:w="462" w:type="pct"/>
            <w:vAlign w:val="center"/>
          </w:tcPr>
          <w:p w:rsidR="00630F10" w:rsidRPr="00B45598" w:rsidRDefault="008F29BA" w:rsidP="00630F10">
            <w:pPr>
              <w:jc w:val="center"/>
            </w:pPr>
            <w:r w:rsidRPr="00B45598">
              <w:t>50,849</w:t>
            </w:r>
          </w:p>
        </w:tc>
        <w:tc>
          <w:tcPr>
            <w:tcW w:w="466" w:type="pct"/>
            <w:vAlign w:val="center"/>
          </w:tcPr>
          <w:p w:rsidR="00630F10" w:rsidRPr="00B45598" w:rsidRDefault="008F29BA" w:rsidP="00630F10">
            <w:pPr>
              <w:jc w:val="center"/>
            </w:pPr>
            <w:r w:rsidRPr="00B45598">
              <w:t>-12.4%</w:t>
            </w:r>
          </w:p>
        </w:tc>
        <w:tc>
          <w:tcPr>
            <w:tcW w:w="462" w:type="pct"/>
            <w:vAlign w:val="center"/>
          </w:tcPr>
          <w:p w:rsidR="00630F10" w:rsidRPr="00B45598" w:rsidRDefault="008F29BA" w:rsidP="00630F10">
            <w:pPr>
              <w:jc w:val="center"/>
            </w:pPr>
            <w:r w:rsidRPr="00B45598">
              <w:t>2,832.14</w:t>
            </w:r>
          </w:p>
        </w:tc>
        <w:tc>
          <w:tcPr>
            <w:tcW w:w="462" w:type="pct"/>
            <w:vAlign w:val="center"/>
          </w:tcPr>
          <w:p w:rsidR="00630F10" w:rsidRPr="00B45598" w:rsidRDefault="008F29BA" w:rsidP="00630F10">
            <w:pPr>
              <w:jc w:val="center"/>
            </w:pPr>
            <w:r w:rsidRPr="00B45598">
              <w:t>4.1%</w:t>
            </w:r>
          </w:p>
        </w:tc>
        <w:tc>
          <w:tcPr>
            <w:tcW w:w="462" w:type="pct"/>
            <w:vAlign w:val="center"/>
          </w:tcPr>
          <w:p w:rsidR="00630F10" w:rsidRPr="00B45598" w:rsidRDefault="008F29BA" w:rsidP="00630F10">
            <w:pPr>
              <w:jc w:val="center"/>
            </w:pPr>
            <w:r w:rsidRPr="00B45598">
              <w:t>-17.4%</w:t>
            </w:r>
          </w:p>
        </w:tc>
        <w:tc>
          <w:tcPr>
            <w:tcW w:w="551" w:type="pct"/>
            <w:vAlign w:val="center"/>
          </w:tcPr>
          <w:p w:rsidR="00630F10" w:rsidRPr="00B45598" w:rsidRDefault="008F29BA" w:rsidP="00630F10">
            <w:pPr>
              <w:jc w:val="center"/>
            </w:pPr>
            <w:r w:rsidRPr="00B45598">
              <w:t>9,370.59</w:t>
            </w:r>
          </w:p>
        </w:tc>
        <w:tc>
          <w:tcPr>
            <w:tcW w:w="374" w:type="pct"/>
            <w:vAlign w:val="center"/>
          </w:tcPr>
          <w:p w:rsidR="00630F10" w:rsidRDefault="008F29BA" w:rsidP="00630F10">
            <w:pPr>
              <w:jc w:val="center"/>
            </w:pPr>
            <w:r w:rsidRPr="00B45598">
              <w:t>-7.4%</w:t>
            </w:r>
          </w:p>
        </w:tc>
      </w:tr>
    </w:tbl>
    <w:p w:rsidR="00A90C31" w:rsidRPr="00EA52A8" w:rsidRDefault="008F29BA" w:rsidP="00DE02BD">
      <w:pPr>
        <w:adjustRightInd w:val="0"/>
        <w:spacing w:line="360" w:lineRule="auto"/>
        <w:ind w:firstLineChars="200" w:firstLine="420"/>
        <w:rPr>
          <w:rFonts w:ascii="宋体" w:eastAsia="宋体" w:hAnsi="宋体"/>
        </w:rPr>
      </w:pPr>
      <w:r w:rsidRPr="00DE02BD">
        <w:rPr>
          <w:rFonts w:ascii="宋体" w:eastAsia="宋体" w:hAnsi="宋体" w:hint="eastAsia"/>
        </w:rPr>
        <w:t>注：①日均收费车流量</w:t>
      </w:r>
      <w:r w:rsidRPr="00EA52A8">
        <w:rPr>
          <w:rFonts w:ascii="宋体" w:eastAsia="宋体" w:hAnsi="宋体" w:hint="eastAsia"/>
        </w:rPr>
        <w:t>计算方法：当月总收费车流量</w:t>
      </w:r>
      <w:r w:rsidRPr="00EA52A8">
        <w:rPr>
          <w:rFonts w:ascii="宋体" w:eastAsia="宋体" w:hAnsi="宋体" w:hint="eastAsia"/>
        </w:rPr>
        <w:t>/</w:t>
      </w:r>
      <w:r w:rsidRPr="00EA52A8">
        <w:rPr>
          <w:rFonts w:ascii="宋体" w:eastAsia="宋体" w:hAnsi="宋体" w:hint="eastAsia"/>
        </w:rPr>
        <w:t>当月自然天数</w:t>
      </w:r>
      <w:r w:rsidR="00EA52A8">
        <w:rPr>
          <w:rFonts w:ascii="宋体" w:eastAsia="宋体" w:hAnsi="宋体" w:hint="eastAsia"/>
        </w:rPr>
        <w:t>。</w:t>
      </w:r>
    </w:p>
    <w:p w:rsidR="00A90C31" w:rsidRDefault="008F29BA">
      <w:pPr>
        <w:adjustRightInd w:val="0"/>
        <w:spacing w:line="360" w:lineRule="auto"/>
        <w:ind w:firstLineChars="200" w:firstLine="420"/>
        <w:rPr>
          <w:rFonts w:ascii="宋体" w:eastAsia="宋体" w:hAnsi="宋体"/>
        </w:rPr>
      </w:pPr>
      <w:r w:rsidRPr="00EA52A8">
        <w:rPr>
          <w:rFonts w:ascii="宋体" w:eastAsia="宋体" w:hAnsi="宋体" w:hint="eastAsia"/>
        </w:rPr>
        <w:t>②收费车流</w:t>
      </w:r>
      <w:r>
        <w:rPr>
          <w:rFonts w:ascii="宋体" w:eastAsia="宋体" w:hAnsi="宋体" w:hint="eastAsia"/>
        </w:rPr>
        <w:t>量口径说明：均为自然车流（</w:t>
      </w:r>
      <w:r>
        <w:rPr>
          <w:rFonts w:ascii="宋体" w:eastAsia="宋体" w:hAnsi="宋体" w:hint="eastAsia"/>
        </w:rPr>
        <w:t>veh</w:t>
      </w:r>
      <w:r>
        <w:rPr>
          <w:rFonts w:ascii="宋体" w:eastAsia="宋体" w:hAnsi="宋体" w:hint="eastAsia"/>
        </w:rPr>
        <w:t>）口径</w:t>
      </w:r>
      <w:r w:rsidR="00EA52A8">
        <w:rPr>
          <w:rFonts w:ascii="宋体" w:eastAsia="宋体" w:hAnsi="宋体" w:hint="eastAsia"/>
        </w:rPr>
        <w:t>。</w:t>
      </w:r>
    </w:p>
    <w:p w:rsidR="00A90C31" w:rsidRDefault="008F29BA">
      <w:pPr>
        <w:adjustRightInd w:val="0"/>
        <w:spacing w:line="360" w:lineRule="auto"/>
        <w:ind w:firstLineChars="200" w:firstLine="420"/>
        <w:rPr>
          <w:rFonts w:ascii="宋体" w:eastAsia="宋体" w:hAnsi="宋体"/>
        </w:rPr>
      </w:pPr>
      <w:r>
        <w:rPr>
          <w:rFonts w:ascii="宋体" w:eastAsia="宋体" w:hAnsi="宋体" w:hint="eastAsia"/>
        </w:rPr>
        <w:t>③由于四舍五入误差会导致数值计算结果与实际值之间产生细微差异，以届时定期报告披露为准</w:t>
      </w:r>
      <w:r w:rsidR="00EA52A8">
        <w:rPr>
          <w:rFonts w:ascii="宋体" w:eastAsia="宋体" w:hAnsi="宋体" w:hint="eastAsia"/>
        </w:rPr>
        <w:t>。</w:t>
      </w:r>
    </w:p>
    <w:p w:rsidR="00A90C31" w:rsidRDefault="008F29BA">
      <w:pPr>
        <w:adjustRightInd w:val="0"/>
        <w:spacing w:line="360" w:lineRule="auto"/>
        <w:ind w:firstLineChars="200" w:firstLine="420"/>
        <w:rPr>
          <w:rFonts w:ascii="宋体" w:eastAsia="宋体" w:hAnsi="宋体"/>
        </w:rPr>
      </w:pPr>
      <w:r>
        <w:rPr>
          <w:rFonts w:ascii="宋体" w:eastAsia="宋体" w:hAnsi="宋体" w:hint="eastAsia"/>
        </w:rPr>
        <w:t>④以上关于路费收入数据为含税收入，</w:t>
      </w:r>
      <w:r w:rsidR="00630F10">
        <w:rPr>
          <w:rFonts w:ascii="宋体" w:eastAsia="宋体" w:hAnsi="宋体"/>
        </w:rPr>
        <w:t>3</w:t>
      </w:r>
      <w:r>
        <w:rPr>
          <w:rFonts w:ascii="宋体" w:eastAsia="宋体" w:hAnsi="宋体" w:hint="eastAsia"/>
        </w:rPr>
        <w:t>月不含税路费总计收入为</w:t>
      </w:r>
      <w:r w:rsidR="00630F10">
        <w:rPr>
          <w:rFonts w:ascii="宋体" w:eastAsia="宋体" w:hAnsi="宋体"/>
        </w:rPr>
        <w:t>2749.55</w:t>
      </w:r>
      <w:r>
        <w:rPr>
          <w:rFonts w:ascii="宋体" w:eastAsia="宋体" w:hAnsi="宋体"/>
        </w:rPr>
        <w:t>万元，不含税路费日均收入为</w:t>
      </w:r>
      <w:r w:rsidR="00630F10">
        <w:rPr>
          <w:rFonts w:ascii="宋体" w:eastAsia="宋体" w:hAnsi="宋体"/>
        </w:rPr>
        <w:t>88.70</w:t>
      </w:r>
      <w:r>
        <w:rPr>
          <w:rFonts w:ascii="宋体" w:eastAsia="宋体" w:hAnsi="宋体"/>
        </w:rPr>
        <w:t>万元</w:t>
      </w:r>
      <w:r w:rsidR="00EA52A8">
        <w:rPr>
          <w:rFonts w:ascii="宋体" w:eastAsia="宋体" w:hAnsi="宋体" w:hint="eastAsia"/>
        </w:rPr>
        <w:t>。</w:t>
      </w:r>
    </w:p>
    <w:p w:rsidR="00630F10" w:rsidRDefault="008F29BA" w:rsidP="007E1AE7">
      <w:pPr>
        <w:adjustRightInd w:val="0"/>
        <w:spacing w:line="360" w:lineRule="auto"/>
        <w:ind w:firstLineChars="200" w:firstLine="420"/>
        <w:rPr>
          <w:rFonts w:ascii="宋体" w:eastAsia="宋体" w:hAnsi="宋体"/>
        </w:rPr>
      </w:pPr>
      <w:r>
        <w:rPr>
          <w:rFonts w:ascii="宋体" w:eastAsia="宋体" w:hAnsi="宋体" w:hint="eastAsia"/>
        </w:rPr>
        <w:t>⑤</w:t>
      </w:r>
      <w:r w:rsidR="00F425D7">
        <w:rPr>
          <w:rFonts w:ascii="宋体" w:eastAsia="宋体" w:hAnsi="宋体" w:hint="eastAsia"/>
        </w:rPr>
        <w:t>3月日均收费车流量和路费收入同比下降，主要原因：一是</w:t>
      </w:r>
      <w:r w:rsidR="00AB2926">
        <w:rPr>
          <w:rFonts w:ascii="宋体" w:eastAsia="宋体" w:hAnsi="宋体" w:hint="eastAsia"/>
        </w:rPr>
        <w:t>受</w:t>
      </w:r>
      <w:r w:rsidR="00F425D7" w:rsidRPr="00F425D7">
        <w:rPr>
          <w:rFonts w:ascii="宋体" w:eastAsia="宋体" w:hAnsi="宋体" w:hint="eastAsia"/>
        </w:rPr>
        <w:t>益阳至常德高速公路扩容工程</w:t>
      </w:r>
      <w:r w:rsidR="00F425D7">
        <w:rPr>
          <w:szCs w:val="24"/>
        </w:rPr>
        <w:t>（简称</w:t>
      </w:r>
      <w:r w:rsidR="00F425D7">
        <w:rPr>
          <w:szCs w:val="24"/>
        </w:rPr>
        <w:t>“</w:t>
      </w:r>
      <w:r w:rsidR="00F425D7">
        <w:rPr>
          <w:szCs w:val="24"/>
        </w:rPr>
        <w:t>益常北线高速公路</w:t>
      </w:r>
      <w:r w:rsidR="00F425D7">
        <w:rPr>
          <w:szCs w:val="24"/>
        </w:rPr>
        <w:t>”</w:t>
      </w:r>
      <w:r w:rsidR="00F425D7">
        <w:rPr>
          <w:szCs w:val="24"/>
        </w:rPr>
        <w:t>）开通后对本项目的分流影响</w:t>
      </w:r>
      <w:r w:rsidR="00AB2926">
        <w:rPr>
          <w:szCs w:val="24"/>
        </w:rPr>
        <w:t>，</w:t>
      </w:r>
      <w:bookmarkStart w:id="0" w:name="_GoBack"/>
      <w:bookmarkEnd w:id="0"/>
      <w:r w:rsidR="00AB2926">
        <w:rPr>
          <w:szCs w:val="24"/>
        </w:rPr>
        <w:t>具体情况详见本基金管理人于</w:t>
      </w:r>
      <w:r w:rsidR="00AB2926">
        <w:rPr>
          <w:szCs w:val="24"/>
        </w:rPr>
        <w:t>2024</w:t>
      </w:r>
      <w:r w:rsidR="00AB2926">
        <w:rPr>
          <w:szCs w:val="24"/>
        </w:rPr>
        <w:t>年</w:t>
      </w:r>
      <w:r w:rsidR="00AB2926">
        <w:rPr>
          <w:szCs w:val="24"/>
        </w:rPr>
        <w:t>12</w:t>
      </w:r>
      <w:r w:rsidR="00AB2926">
        <w:rPr>
          <w:szCs w:val="24"/>
        </w:rPr>
        <w:t>月</w:t>
      </w:r>
      <w:r w:rsidR="00AB2926">
        <w:rPr>
          <w:szCs w:val="24"/>
        </w:rPr>
        <w:t>27</w:t>
      </w:r>
      <w:r w:rsidR="00AB2926">
        <w:rPr>
          <w:szCs w:val="24"/>
        </w:rPr>
        <w:t>日披露的《易方达深高速高速公路封闭式基础设施证券投资基金关于基础设施项目经营相关进展情况的公告》</w:t>
      </w:r>
      <w:r w:rsidR="00274179">
        <w:rPr>
          <w:szCs w:val="24"/>
        </w:rPr>
        <w:t>；二是与本项目连接的</w:t>
      </w:r>
      <w:r w:rsidR="00E13BBE">
        <w:rPr>
          <w:rFonts w:hint="eastAsia"/>
          <w:szCs w:val="24"/>
        </w:rPr>
        <w:t>G</w:t>
      </w:r>
      <w:r w:rsidR="00E13BBE">
        <w:rPr>
          <w:szCs w:val="24"/>
        </w:rPr>
        <w:t>5513</w:t>
      </w:r>
      <w:r w:rsidR="00E13BBE">
        <w:rPr>
          <w:szCs w:val="24"/>
        </w:rPr>
        <w:t>长沙至益阳段</w:t>
      </w:r>
      <w:r w:rsidR="00274179">
        <w:rPr>
          <w:szCs w:val="24"/>
        </w:rPr>
        <w:t>于</w:t>
      </w:r>
      <w:r w:rsidR="00274179">
        <w:rPr>
          <w:rFonts w:hint="eastAsia"/>
          <w:szCs w:val="24"/>
        </w:rPr>
        <w:t>2</w:t>
      </w:r>
      <w:r w:rsidR="00274179">
        <w:rPr>
          <w:szCs w:val="24"/>
        </w:rPr>
        <w:t>025</w:t>
      </w:r>
      <w:r w:rsidR="00274179">
        <w:rPr>
          <w:szCs w:val="24"/>
        </w:rPr>
        <w:t>年</w:t>
      </w:r>
      <w:r w:rsidR="00274179">
        <w:rPr>
          <w:rFonts w:hint="eastAsia"/>
          <w:szCs w:val="24"/>
        </w:rPr>
        <w:t>3</w:t>
      </w:r>
      <w:r w:rsidR="00274179">
        <w:rPr>
          <w:rFonts w:hint="eastAsia"/>
          <w:szCs w:val="24"/>
        </w:rPr>
        <w:t>月</w:t>
      </w:r>
      <w:r w:rsidR="00274179">
        <w:rPr>
          <w:rFonts w:hint="eastAsia"/>
          <w:szCs w:val="24"/>
        </w:rPr>
        <w:t>2</w:t>
      </w:r>
      <w:r w:rsidR="00274179">
        <w:rPr>
          <w:szCs w:val="24"/>
        </w:rPr>
        <w:t>4</w:t>
      </w:r>
      <w:r w:rsidR="00274179">
        <w:rPr>
          <w:szCs w:val="24"/>
        </w:rPr>
        <w:t>日至</w:t>
      </w:r>
      <w:r w:rsidR="006F5DF5">
        <w:rPr>
          <w:rFonts w:hint="eastAsia"/>
          <w:szCs w:val="24"/>
        </w:rPr>
        <w:t>2</w:t>
      </w:r>
      <w:r w:rsidR="006F5DF5">
        <w:rPr>
          <w:szCs w:val="24"/>
        </w:rPr>
        <w:t>7</w:t>
      </w:r>
      <w:r w:rsidR="00274179">
        <w:rPr>
          <w:szCs w:val="24"/>
        </w:rPr>
        <w:t>日</w:t>
      </w:r>
      <w:r w:rsidR="00274179">
        <w:rPr>
          <w:rFonts w:hint="eastAsia"/>
          <w:szCs w:val="24"/>
        </w:rPr>
        <w:t>实施</w:t>
      </w:r>
      <w:r w:rsidR="00E13BBE">
        <w:rPr>
          <w:rFonts w:hint="eastAsia"/>
          <w:szCs w:val="24"/>
        </w:rPr>
        <w:t>路面</w:t>
      </w:r>
      <w:r w:rsidR="00274179">
        <w:rPr>
          <w:rFonts w:hint="eastAsia"/>
          <w:szCs w:val="24"/>
        </w:rPr>
        <w:t>中修，</w:t>
      </w:r>
      <w:r w:rsidR="00E13BBE">
        <w:rPr>
          <w:rFonts w:hint="eastAsia"/>
          <w:szCs w:val="24"/>
        </w:rPr>
        <w:t>施工期间对部分路段进行封闭管理，导致期间途经本项目的车流量下降。</w:t>
      </w:r>
    </w:p>
    <w:p w:rsidR="00A90C31" w:rsidRDefault="008F29BA" w:rsidP="007E1AE7">
      <w:pPr>
        <w:adjustRightInd w:val="0"/>
        <w:spacing w:line="360" w:lineRule="auto"/>
        <w:ind w:firstLineChars="200" w:firstLine="420"/>
        <w:rPr>
          <w:rFonts w:ascii="宋体" w:eastAsia="宋体" w:hAnsi="宋体"/>
        </w:rPr>
      </w:pPr>
      <w:r>
        <w:rPr>
          <w:rFonts w:ascii="宋体" w:eastAsia="宋体" w:hAnsi="宋体" w:hint="eastAsia"/>
        </w:rPr>
        <w:t>⑥</w:t>
      </w:r>
      <w:r w:rsidR="00860EAE">
        <w:rPr>
          <w:rFonts w:ascii="宋体" w:eastAsia="宋体" w:hAnsi="宋体" w:hint="eastAsia"/>
        </w:rPr>
        <w:t>以上为湖南省高速公路联网收费中心当期清分数据，未经审计，该数据不包括湖南省高速公路联网收费中心对以前月度清分数据的调整部分，因此各月加总与定期报告披露数据可能存在细微差异，以届时定期报告披露为准</w:t>
      </w:r>
      <w:r w:rsidR="00EA52A8">
        <w:rPr>
          <w:rFonts w:ascii="宋体" w:eastAsia="宋体" w:hAnsi="宋体" w:hint="eastAsia"/>
        </w:rPr>
        <w:t>。</w:t>
      </w:r>
    </w:p>
    <w:p w:rsidR="00A90C31" w:rsidRDefault="008F29BA" w:rsidP="008F29BA">
      <w:pPr>
        <w:adjustRightInd w:val="0"/>
        <w:spacing w:beforeLines="100" w:afterLines="100" w:line="360" w:lineRule="auto"/>
        <w:ind w:firstLineChars="200" w:firstLine="426"/>
        <w:rPr>
          <w:rFonts w:ascii="宋体" w:eastAsia="宋体" w:hAnsi="宋体" w:cs="宋体"/>
          <w:b/>
          <w:spacing w:val="-14"/>
          <w:sz w:val="24"/>
          <w:szCs w:val="24"/>
        </w:rPr>
      </w:pPr>
      <w:r>
        <w:rPr>
          <w:rFonts w:ascii="宋体" w:eastAsia="宋体" w:hAnsi="宋体" w:cs="宋体" w:hint="eastAsia"/>
          <w:b/>
          <w:spacing w:val="-14"/>
          <w:sz w:val="24"/>
          <w:szCs w:val="24"/>
        </w:rPr>
        <w:t>四</w:t>
      </w:r>
      <w:r w:rsidR="000F3F62">
        <w:rPr>
          <w:rFonts w:ascii="宋体" w:eastAsia="宋体" w:hAnsi="宋体" w:cs="宋体" w:hint="eastAsia"/>
          <w:b/>
          <w:spacing w:val="-14"/>
          <w:sz w:val="24"/>
          <w:szCs w:val="24"/>
        </w:rPr>
        <w:t>、其他说明事项</w:t>
      </w:r>
    </w:p>
    <w:p w:rsidR="00A90C31" w:rsidRDefault="008F29BA" w:rsidP="008F29BA">
      <w:pPr>
        <w:adjustRightInd w:val="0"/>
        <w:snapToGrid w:val="0"/>
        <w:spacing w:line="360" w:lineRule="auto"/>
        <w:ind w:firstLineChars="200" w:firstLine="484"/>
        <w:rPr>
          <w:rFonts w:ascii="宋体" w:eastAsia="宋体" w:hAnsi="宋体" w:cs="宋体"/>
          <w:spacing w:val="1"/>
          <w:sz w:val="24"/>
          <w:szCs w:val="24"/>
        </w:rPr>
      </w:pPr>
      <w:r>
        <w:rPr>
          <w:rFonts w:ascii="宋体" w:eastAsia="宋体" w:hAnsi="宋体" w:cs="宋体" w:hint="eastAsia"/>
          <w:spacing w:val="1"/>
          <w:sz w:val="24"/>
          <w:szCs w:val="24"/>
        </w:rPr>
        <w:t>上述基础设施项目主要运营数据和</w:t>
      </w:r>
      <w:r>
        <w:rPr>
          <w:rFonts w:ascii="宋体" w:eastAsia="宋体" w:hAnsi="宋体" w:cs="宋体"/>
          <w:spacing w:val="1"/>
          <w:sz w:val="24"/>
          <w:szCs w:val="24"/>
        </w:rPr>
        <w:t>经营</w:t>
      </w:r>
      <w:r>
        <w:rPr>
          <w:rFonts w:ascii="宋体" w:eastAsia="宋体" w:hAnsi="宋体" w:cs="宋体" w:hint="eastAsia"/>
          <w:spacing w:val="1"/>
          <w:sz w:val="24"/>
          <w:szCs w:val="24"/>
        </w:rPr>
        <w:t>情况已经</w:t>
      </w:r>
      <w:r>
        <w:rPr>
          <w:rFonts w:ascii="宋体" w:eastAsia="宋体" w:hAnsi="宋体" w:cs="宋体"/>
          <w:spacing w:val="1"/>
          <w:sz w:val="24"/>
          <w:szCs w:val="24"/>
        </w:rPr>
        <w:t>运营</w:t>
      </w:r>
      <w:r>
        <w:rPr>
          <w:rFonts w:ascii="宋体" w:eastAsia="宋体" w:hAnsi="宋体" w:cs="宋体" w:hint="eastAsia"/>
          <w:spacing w:val="1"/>
          <w:sz w:val="24"/>
          <w:szCs w:val="24"/>
        </w:rPr>
        <w:t>管理机构确认。截至目前，本基金投资运作正常，无应披露而未披露的重大信息，基金管理人将严</w:t>
      </w:r>
      <w:r>
        <w:rPr>
          <w:rFonts w:ascii="宋体" w:eastAsia="宋体" w:hAnsi="宋体" w:cs="宋体" w:hint="eastAsia"/>
          <w:spacing w:val="1"/>
          <w:sz w:val="24"/>
          <w:szCs w:val="24"/>
        </w:rPr>
        <w:lastRenderedPageBreak/>
        <w:t>格</w:t>
      </w:r>
      <w:r>
        <w:rPr>
          <w:rFonts w:ascii="宋体" w:eastAsia="宋体" w:hAnsi="宋体" w:cs="宋体" w:hint="eastAsia"/>
          <w:spacing w:val="1"/>
          <w:sz w:val="24"/>
          <w:szCs w:val="24"/>
        </w:rPr>
        <w:t>按照法律法规及基金合同的规定进行投资运作，履行信息披露义务。</w:t>
      </w:r>
    </w:p>
    <w:p w:rsidR="007B233D" w:rsidRDefault="008F29BA" w:rsidP="008F29BA">
      <w:pPr>
        <w:adjustRightInd w:val="0"/>
        <w:snapToGrid w:val="0"/>
        <w:spacing w:line="360" w:lineRule="auto"/>
        <w:ind w:firstLineChars="200" w:firstLine="484"/>
        <w:rPr>
          <w:rFonts w:ascii="宋体" w:eastAsia="宋体" w:hAnsi="宋体" w:cs="宋体"/>
          <w:spacing w:val="1"/>
          <w:sz w:val="24"/>
          <w:szCs w:val="24"/>
        </w:rPr>
      </w:pPr>
      <w:r>
        <w:rPr>
          <w:rFonts w:ascii="宋体" w:eastAsia="宋体" w:hAnsi="宋体" w:cs="宋体" w:hint="eastAsia"/>
          <w:spacing w:val="1"/>
          <w:sz w:val="24"/>
          <w:szCs w:val="24"/>
        </w:rPr>
        <w:t>投资者可登录基金管理人网站</w:t>
      </w:r>
      <w:r>
        <w:rPr>
          <w:rFonts w:ascii="宋体" w:eastAsia="宋体" w:hAnsi="宋体" w:cs="宋体"/>
          <w:spacing w:val="1"/>
          <w:sz w:val="24"/>
          <w:szCs w:val="24"/>
        </w:rPr>
        <w:t>(www.efunds.com.cn)</w:t>
      </w:r>
      <w:r>
        <w:rPr>
          <w:rFonts w:ascii="宋体" w:eastAsia="宋体" w:hAnsi="宋体" w:cs="宋体"/>
          <w:spacing w:val="1"/>
          <w:sz w:val="24"/>
          <w:szCs w:val="24"/>
        </w:rPr>
        <w:t>或拨打基金管理人客户服务电话</w:t>
      </w:r>
      <w:r>
        <w:rPr>
          <w:rFonts w:ascii="宋体" w:eastAsia="宋体" w:hAnsi="宋体" w:cs="宋体"/>
          <w:spacing w:val="1"/>
          <w:sz w:val="24"/>
          <w:szCs w:val="24"/>
        </w:rPr>
        <w:t>(400-881-8088)</w:t>
      </w:r>
      <w:r>
        <w:rPr>
          <w:rFonts w:ascii="宋体" w:eastAsia="宋体" w:hAnsi="宋体" w:cs="宋体"/>
          <w:spacing w:val="1"/>
          <w:sz w:val="24"/>
          <w:szCs w:val="24"/>
        </w:rPr>
        <w:t>进行相关咨询。</w:t>
      </w:r>
    </w:p>
    <w:p w:rsidR="00A90C31" w:rsidRDefault="008F29BA" w:rsidP="008F29BA">
      <w:pPr>
        <w:adjustRightInd w:val="0"/>
        <w:snapToGrid w:val="0"/>
        <w:spacing w:line="360" w:lineRule="auto"/>
        <w:ind w:firstLineChars="200" w:firstLine="484"/>
        <w:rPr>
          <w:rFonts w:ascii="宋体" w:eastAsia="宋体" w:hAnsi="宋体" w:cs="宋体"/>
          <w:spacing w:val="1"/>
          <w:sz w:val="24"/>
          <w:szCs w:val="24"/>
        </w:rPr>
      </w:pPr>
      <w:r>
        <w:rPr>
          <w:rFonts w:ascii="宋体" w:eastAsia="宋体" w:hAnsi="宋体" w:cs="宋体" w:hint="eastAsia"/>
          <w:spacing w:val="1"/>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w:t>
      </w:r>
      <w:r>
        <w:rPr>
          <w:rFonts w:ascii="宋体" w:eastAsia="宋体" w:hAnsi="宋体" w:cs="宋体" w:hint="eastAsia"/>
          <w:spacing w:val="1"/>
          <w:sz w:val="24"/>
          <w:szCs w:val="24"/>
        </w:rPr>
        <w:t>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A90C31" w:rsidRDefault="008F29BA" w:rsidP="008F29BA">
      <w:pPr>
        <w:adjustRightInd w:val="0"/>
        <w:snapToGrid w:val="0"/>
        <w:spacing w:line="360" w:lineRule="auto"/>
        <w:ind w:firstLineChars="200" w:firstLine="484"/>
        <w:rPr>
          <w:rFonts w:ascii="宋体" w:eastAsia="宋体" w:hAnsi="宋体" w:cs="宋体"/>
          <w:spacing w:val="1"/>
          <w:sz w:val="24"/>
          <w:szCs w:val="24"/>
        </w:rPr>
      </w:pPr>
      <w:r>
        <w:rPr>
          <w:rFonts w:ascii="宋体" w:eastAsia="宋体" w:hAnsi="宋体" w:cs="宋体" w:hint="eastAsia"/>
          <w:spacing w:val="1"/>
          <w:sz w:val="24"/>
          <w:szCs w:val="24"/>
        </w:rPr>
        <w:t>特此公告。</w:t>
      </w:r>
    </w:p>
    <w:p w:rsidR="00A90C31" w:rsidRDefault="00A90C31" w:rsidP="008F29BA">
      <w:pPr>
        <w:adjustRightInd w:val="0"/>
        <w:snapToGrid w:val="0"/>
        <w:spacing w:line="360" w:lineRule="auto"/>
        <w:ind w:firstLineChars="200" w:firstLine="484"/>
        <w:rPr>
          <w:rFonts w:ascii="宋体" w:eastAsia="宋体" w:hAnsi="宋体" w:cs="宋体"/>
          <w:spacing w:val="1"/>
          <w:sz w:val="24"/>
          <w:szCs w:val="24"/>
        </w:rPr>
      </w:pPr>
    </w:p>
    <w:p w:rsidR="00A90C31" w:rsidRDefault="008F29BA" w:rsidP="008F29BA">
      <w:pPr>
        <w:adjustRightInd w:val="0"/>
        <w:snapToGrid w:val="0"/>
        <w:spacing w:line="360" w:lineRule="auto"/>
        <w:ind w:firstLineChars="200" w:firstLine="484"/>
        <w:jc w:val="right"/>
        <w:rPr>
          <w:rFonts w:ascii="宋体" w:eastAsia="宋体" w:hAnsi="宋体" w:cs="宋体"/>
          <w:spacing w:val="1"/>
          <w:sz w:val="24"/>
          <w:szCs w:val="24"/>
        </w:rPr>
      </w:pPr>
      <w:r>
        <w:rPr>
          <w:rFonts w:ascii="宋体" w:eastAsia="宋体" w:hAnsi="宋体" w:cs="宋体"/>
          <w:spacing w:val="1"/>
          <w:sz w:val="24"/>
          <w:szCs w:val="24"/>
        </w:rPr>
        <w:t>易方达基金管理有限公司</w:t>
      </w:r>
    </w:p>
    <w:p w:rsidR="00A90C31" w:rsidRDefault="008F29BA" w:rsidP="009E4223">
      <w:pPr>
        <w:adjustRightInd w:val="0"/>
        <w:snapToGrid w:val="0"/>
        <w:spacing w:line="360" w:lineRule="auto"/>
        <w:ind w:firstLineChars="200" w:firstLine="484"/>
        <w:jc w:val="right"/>
        <w:rPr>
          <w:rFonts w:asciiTheme="minorEastAsia" w:hAnsiTheme="minorEastAsia" w:cs="宋体"/>
          <w:spacing w:val="1"/>
          <w:sz w:val="28"/>
          <w:szCs w:val="24"/>
        </w:rPr>
      </w:pPr>
      <w:r>
        <w:rPr>
          <w:rFonts w:ascii="宋体" w:eastAsia="宋体" w:hAnsi="宋体" w:cs="宋体"/>
          <w:spacing w:val="1"/>
          <w:sz w:val="24"/>
          <w:szCs w:val="24"/>
        </w:rPr>
        <w:t>202</w:t>
      </w:r>
      <w:r w:rsidR="00E91A5D">
        <w:rPr>
          <w:rFonts w:ascii="宋体" w:eastAsia="宋体" w:hAnsi="宋体" w:cs="宋体"/>
          <w:spacing w:val="1"/>
          <w:sz w:val="24"/>
          <w:szCs w:val="24"/>
        </w:rPr>
        <w:t>5</w:t>
      </w:r>
      <w:r>
        <w:rPr>
          <w:rFonts w:ascii="宋体" w:eastAsia="宋体" w:hAnsi="宋体" w:cs="宋体"/>
          <w:spacing w:val="1"/>
          <w:sz w:val="24"/>
          <w:szCs w:val="24"/>
        </w:rPr>
        <w:t>年</w:t>
      </w:r>
      <w:r w:rsidR="00630F10">
        <w:rPr>
          <w:rFonts w:ascii="宋体" w:eastAsia="宋体" w:hAnsi="宋体" w:cs="宋体"/>
          <w:spacing w:val="1"/>
          <w:sz w:val="24"/>
          <w:szCs w:val="24"/>
        </w:rPr>
        <w:t>4</w:t>
      </w:r>
      <w:r>
        <w:rPr>
          <w:rFonts w:ascii="宋体" w:eastAsia="宋体" w:hAnsi="宋体" w:cs="宋体"/>
          <w:spacing w:val="1"/>
          <w:sz w:val="24"/>
          <w:szCs w:val="24"/>
        </w:rPr>
        <w:t>月</w:t>
      </w:r>
      <w:r w:rsidR="00630F10">
        <w:rPr>
          <w:rFonts w:ascii="宋体" w:eastAsia="宋体" w:hAnsi="宋体" w:cs="宋体"/>
          <w:spacing w:val="1"/>
          <w:sz w:val="24"/>
          <w:szCs w:val="24"/>
        </w:rPr>
        <w:t>22</w:t>
      </w:r>
      <w:r>
        <w:rPr>
          <w:rFonts w:ascii="宋体" w:eastAsia="宋体" w:hAnsi="宋体" w:cs="宋体"/>
          <w:spacing w:val="1"/>
          <w:sz w:val="24"/>
          <w:szCs w:val="24"/>
        </w:rPr>
        <w:t>日</w:t>
      </w:r>
    </w:p>
    <w:sectPr w:rsidR="00A90C31" w:rsidSect="009E422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223" w:rsidRDefault="009E4223" w:rsidP="009E4223">
      <w:r>
        <w:separator/>
      </w:r>
    </w:p>
  </w:endnote>
  <w:endnote w:type="continuationSeparator" w:id="0">
    <w:p w:rsidR="009E4223" w:rsidRDefault="009E4223" w:rsidP="009E4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223" w:rsidRDefault="009E4223" w:rsidP="009E4223">
      <w:r>
        <w:separator/>
      </w:r>
    </w:p>
  </w:footnote>
  <w:footnote w:type="continuationSeparator" w:id="0">
    <w:p w:rsidR="009E4223" w:rsidRDefault="009E4223" w:rsidP="009E4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31" w:rsidRDefault="009E4223">
    <w:pPr>
      <w:spacing w:line="14" w:lineRule="exact"/>
      <w:rPr>
        <w:sz w:val="2"/>
      </w:rPr>
    </w:pPr>
    <w:r w:rsidRPr="009E4223">
      <w:rPr>
        <w:noProof/>
      </w:rPr>
      <w:pict>
        <v:rect id="_x0000_s1026" style="position:absolute;left:0;text-align:left;margin-left:88.6pt;margin-top:55.45pt;width:418.3pt;height:.75pt;z-index:251659264;mso-position-horizontal-relative:page;mso-position-vertical-relative:page;mso-width-relative:page;mso-height-relative:page" o:allowincell="f" fillcolor="black" stroked="f">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4EA3"/>
    <w:rsid w:val="00011C6C"/>
    <w:rsid w:val="00017222"/>
    <w:rsid w:val="00022ACF"/>
    <w:rsid w:val="00032B31"/>
    <w:rsid w:val="00050B06"/>
    <w:rsid w:val="000A3886"/>
    <w:rsid w:val="000B0CAB"/>
    <w:rsid w:val="000B159B"/>
    <w:rsid w:val="000B2C82"/>
    <w:rsid w:val="000C2129"/>
    <w:rsid w:val="000C2976"/>
    <w:rsid w:val="000F3F62"/>
    <w:rsid w:val="000F5C18"/>
    <w:rsid w:val="001021AC"/>
    <w:rsid w:val="00121A42"/>
    <w:rsid w:val="00124FF0"/>
    <w:rsid w:val="00135FB6"/>
    <w:rsid w:val="001379B0"/>
    <w:rsid w:val="00155671"/>
    <w:rsid w:val="001669BD"/>
    <w:rsid w:val="00166DDA"/>
    <w:rsid w:val="00174A9A"/>
    <w:rsid w:val="0017515E"/>
    <w:rsid w:val="00184C0B"/>
    <w:rsid w:val="00191C68"/>
    <w:rsid w:val="001C018D"/>
    <w:rsid w:val="001D7318"/>
    <w:rsid w:val="001E27CA"/>
    <w:rsid w:val="001E523A"/>
    <w:rsid w:val="001E52A6"/>
    <w:rsid w:val="001E7602"/>
    <w:rsid w:val="00232DBE"/>
    <w:rsid w:val="002348EB"/>
    <w:rsid w:val="002359B9"/>
    <w:rsid w:val="002438F7"/>
    <w:rsid w:val="00273B97"/>
    <w:rsid w:val="00274179"/>
    <w:rsid w:val="002934D7"/>
    <w:rsid w:val="002A742F"/>
    <w:rsid w:val="002B21AF"/>
    <w:rsid w:val="002C0301"/>
    <w:rsid w:val="002C0C02"/>
    <w:rsid w:val="002C743D"/>
    <w:rsid w:val="002D5ABD"/>
    <w:rsid w:val="002E33AE"/>
    <w:rsid w:val="002F54BD"/>
    <w:rsid w:val="0030594E"/>
    <w:rsid w:val="00310D4E"/>
    <w:rsid w:val="0032056E"/>
    <w:rsid w:val="00322E79"/>
    <w:rsid w:val="00326310"/>
    <w:rsid w:val="00326818"/>
    <w:rsid w:val="003311C5"/>
    <w:rsid w:val="00332455"/>
    <w:rsid w:val="003332B8"/>
    <w:rsid w:val="00335644"/>
    <w:rsid w:val="00341ABE"/>
    <w:rsid w:val="00367BB1"/>
    <w:rsid w:val="00371DDC"/>
    <w:rsid w:val="00376DDA"/>
    <w:rsid w:val="003815FD"/>
    <w:rsid w:val="00396516"/>
    <w:rsid w:val="003B386A"/>
    <w:rsid w:val="003C012E"/>
    <w:rsid w:val="003C0ECE"/>
    <w:rsid w:val="003F0436"/>
    <w:rsid w:val="003F1983"/>
    <w:rsid w:val="003F3374"/>
    <w:rsid w:val="0040625B"/>
    <w:rsid w:val="00410240"/>
    <w:rsid w:val="00413EC4"/>
    <w:rsid w:val="00417FF0"/>
    <w:rsid w:val="0042762F"/>
    <w:rsid w:val="00427851"/>
    <w:rsid w:val="00434628"/>
    <w:rsid w:val="004349CE"/>
    <w:rsid w:val="00437D22"/>
    <w:rsid w:val="00461188"/>
    <w:rsid w:val="004750C6"/>
    <w:rsid w:val="004822B2"/>
    <w:rsid w:val="00483FB2"/>
    <w:rsid w:val="004873EA"/>
    <w:rsid w:val="004D2879"/>
    <w:rsid w:val="004E413F"/>
    <w:rsid w:val="00505AC8"/>
    <w:rsid w:val="00506D49"/>
    <w:rsid w:val="005122A0"/>
    <w:rsid w:val="0052478A"/>
    <w:rsid w:val="00536C52"/>
    <w:rsid w:val="00537223"/>
    <w:rsid w:val="0054286A"/>
    <w:rsid w:val="005834EC"/>
    <w:rsid w:val="00590B2E"/>
    <w:rsid w:val="005928E9"/>
    <w:rsid w:val="00594DD7"/>
    <w:rsid w:val="0059590E"/>
    <w:rsid w:val="005B069E"/>
    <w:rsid w:val="005C21D7"/>
    <w:rsid w:val="005D3B83"/>
    <w:rsid w:val="005F0966"/>
    <w:rsid w:val="005F3C46"/>
    <w:rsid w:val="00600562"/>
    <w:rsid w:val="0060193A"/>
    <w:rsid w:val="006040F6"/>
    <w:rsid w:val="006123C5"/>
    <w:rsid w:val="0062064A"/>
    <w:rsid w:val="006274C3"/>
    <w:rsid w:val="00630F10"/>
    <w:rsid w:val="00634A9B"/>
    <w:rsid w:val="006404CC"/>
    <w:rsid w:val="006421A4"/>
    <w:rsid w:val="00660B6D"/>
    <w:rsid w:val="0066471F"/>
    <w:rsid w:val="00670B8F"/>
    <w:rsid w:val="00671AAF"/>
    <w:rsid w:val="00681771"/>
    <w:rsid w:val="006920FB"/>
    <w:rsid w:val="00693E76"/>
    <w:rsid w:val="006A0647"/>
    <w:rsid w:val="006A430E"/>
    <w:rsid w:val="006A66A0"/>
    <w:rsid w:val="006D615F"/>
    <w:rsid w:val="006D7B84"/>
    <w:rsid w:val="006E7FA5"/>
    <w:rsid w:val="006F565A"/>
    <w:rsid w:val="006F5DF5"/>
    <w:rsid w:val="00704789"/>
    <w:rsid w:val="00707703"/>
    <w:rsid w:val="00710791"/>
    <w:rsid w:val="00714F2B"/>
    <w:rsid w:val="007153A7"/>
    <w:rsid w:val="007273B6"/>
    <w:rsid w:val="00733FD4"/>
    <w:rsid w:val="007340A9"/>
    <w:rsid w:val="00740F3A"/>
    <w:rsid w:val="00750D63"/>
    <w:rsid w:val="007629DC"/>
    <w:rsid w:val="007630AD"/>
    <w:rsid w:val="00765988"/>
    <w:rsid w:val="007736FA"/>
    <w:rsid w:val="00780232"/>
    <w:rsid w:val="00782D99"/>
    <w:rsid w:val="00783ED9"/>
    <w:rsid w:val="00794E9B"/>
    <w:rsid w:val="007B233D"/>
    <w:rsid w:val="007E1AE7"/>
    <w:rsid w:val="007E6ECF"/>
    <w:rsid w:val="00801D50"/>
    <w:rsid w:val="00804F93"/>
    <w:rsid w:val="008148E1"/>
    <w:rsid w:val="00816009"/>
    <w:rsid w:val="00822844"/>
    <w:rsid w:val="008303CB"/>
    <w:rsid w:val="008376A9"/>
    <w:rsid w:val="00840296"/>
    <w:rsid w:val="008420C1"/>
    <w:rsid w:val="00847E89"/>
    <w:rsid w:val="00850D76"/>
    <w:rsid w:val="00853BD8"/>
    <w:rsid w:val="00855AFB"/>
    <w:rsid w:val="00860EAE"/>
    <w:rsid w:val="00863960"/>
    <w:rsid w:val="0087106F"/>
    <w:rsid w:val="00871865"/>
    <w:rsid w:val="008836EC"/>
    <w:rsid w:val="008874F9"/>
    <w:rsid w:val="008925E4"/>
    <w:rsid w:val="00897A7C"/>
    <w:rsid w:val="008A040C"/>
    <w:rsid w:val="008A1C78"/>
    <w:rsid w:val="008A5930"/>
    <w:rsid w:val="008C7824"/>
    <w:rsid w:val="008D499F"/>
    <w:rsid w:val="008D6B51"/>
    <w:rsid w:val="008E5308"/>
    <w:rsid w:val="008F29BA"/>
    <w:rsid w:val="008F391B"/>
    <w:rsid w:val="00903412"/>
    <w:rsid w:val="00910F65"/>
    <w:rsid w:val="00914746"/>
    <w:rsid w:val="00914B6B"/>
    <w:rsid w:val="00921A03"/>
    <w:rsid w:val="00924331"/>
    <w:rsid w:val="00932C8B"/>
    <w:rsid w:val="009353D6"/>
    <w:rsid w:val="00942548"/>
    <w:rsid w:val="00942AEB"/>
    <w:rsid w:val="00947468"/>
    <w:rsid w:val="00947E02"/>
    <w:rsid w:val="009631EE"/>
    <w:rsid w:val="009667E6"/>
    <w:rsid w:val="00972B2A"/>
    <w:rsid w:val="00973D14"/>
    <w:rsid w:val="009770EE"/>
    <w:rsid w:val="009770F8"/>
    <w:rsid w:val="009872E4"/>
    <w:rsid w:val="00996F10"/>
    <w:rsid w:val="009B1792"/>
    <w:rsid w:val="009B6B2C"/>
    <w:rsid w:val="009D18B2"/>
    <w:rsid w:val="009D4CCE"/>
    <w:rsid w:val="009E4223"/>
    <w:rsid w:val="009E7C3F"/>
    <w:rsid w:val="009E7F61"/>
    <w:rsid w:val="009F151C"/>
    <w:rsid w:val="00A00A5F"/>
    <w:rsid w:val="00A02343"/>
    <w:rsid w:val="00A02E55"/>
    <w:rsid w:val="00A1537A"/>
    <w:rsid w:val="00A165E2"/>
    <w:rsid w:val="00A2553D"/>
    <w:rsid w:val="00A33C57"/>
    <w:rsid w:val="00A40FBB"/>
    <w:rsid w:val="00A4654A"/>
    <w:rsid w:val="00A909D7"/>
    <w:rsid w:val="00A90C31"/>
    <w:rsid w:val="00AB2926"/>
    <w:rsid w:val="00AB74FC"/>
    <w:rsid w:val="00AE41E6"/>
    <w:rsid w:val="00AE4C78"/>
    <w:rsid w:val="00AE57B5"/>
    <w:rsid w:val="00AE69BA"/>
    <w:rsid w:val="00AF0CF5"/>
    <w:rsid w:val="00AF18B6"/>
    <w:rsid w:val="00AF6CD6"/>
    <w:rsid w:val="00B02455"/>
    <w:rsid w:val="00B2112F"/>
    <w:rsid w:val="00B2264C"/>
    <w:rsid w:val="00B22C93"/>
    <w:rsid w:val="00B27720"/>
    <w:rsid w:val="00B34443"/>
    <w:rsid w:val="00B34AA7"/>
    <w:rsid w:val="00B35998"/>
    <w:rsid w:val="00B368E7"/>
    <w:rsid w:val="00B45598"/>
    <w:rsid w:val="00B47D98"/>
    <w:rsid w:val="00B64853"/>
    <w:rsid w:val="00B64EA3"/>
    <w:rsid w:val="00B65D8E"/>
    <w:rsid w:val="00B75501"/>
    <w:rsid w:val="00BB0077"/>
    <w:rsid w:val="00BB34B7"/>
    <w:rsid w:val="00BC2057"/>
    <w:rsid w:val="00BC2AC1"/>
    <w:rsid w:val="00BD0E26"/>
    <w:rsid w:val="00BD4877"/>
    <w:rsid w:val="00BE2ECB"/>
    <w:rsid w:val="00C02402"/>
    <w:rsid w:val="00C05D45"/>
    <w:rsid w:val="00C06ECA"/>
    <w:rsid w:val="00C169C2"/>
    <w:rsid w:val="00C2777C"/>
    <w:rsid w:val="00C35A02"/>
    <w:rsid w:val="00C63F90"/>
    <w:rsid w:val="00C73D56"/>
    <w:rsid w:val="00C752AA"/>
    <w:rsid w:val="00C85CFF"/>
    <w:rsid w:val="00C85F76"/>
    <w:rsid w:val="00C967EB"/>
    <w:rsid w:val="00CB7B2F"/>
    <w:rsid w:val="00CC0448"/>
    <w:rsid w:val="00CD0E6C"/>
    <w:rsid w:val="00CD25FF"/>
    <w:rsid w:val="00CD2B4A"/>
    <w:rsid w:val="00CD7D06"/>
    <w:rsid w:val="00CE07A2"/>
    <w:rsid w:val="00CE1F70"/>
    <w:rsid w:val="00CE209F"/>
    <w:rsid w:val="00CE2CBA"/>
    <w:rsid w:val="00CF0C1C"/>
    <w:rsid w:val="00D01EED"/>
    <w:rsid w:val="00D03354"/>
    <w:rsid w:val="00D0735D"/>
    <w:rsid w:val="00D147F9"/>
    <w:rsid w:val="00D20AE7"/>
    <w:rsid w:val="00D364B6"/>
    <w:rsid w:val="00D438A1"/>
    <w:rsid w:val="00D4645D"/>
    <w:rsid w:val="00D95387"/>
    <w:rsid w:val="00D95781"/>
    <w:rsid w:val="00DA252C"/>
    <w:rsid w:val="00DA2DC2"/>
    <w:rsid w:val="00DD160A"/>
    <w:rsid w:val="00DD6E3C"/>
    <w:rsid w:val="00DE02BD"/>
    <w:rsid w:val="00DE22FB"/>
    <w:rsid w:val="00DF01B8"/>
    <w:rsid w:val="00DF0C13"/>
    <w:rsid w:val="00DF72ED"/>
    <w:rsid w:val="00E0030F"/>
    <w:rsid w:val="00E0657A"/>
    <w:rsid w:val="00E0680B"/>
    <w:rsid w:val="00E07F6A"/>
    <w:rsid w:val="00E108A6"/>
    <w:rsid w:val="00E13246"/>
    <w:rsid w:val="00E13BBE"/>
    <w:rsid w:val="00E165A3"/>
    <w:rsid w:val="00E20F86"/>
    <w:rsid w:val="00E2154F"/>
    <w:rsid w:val="00E34E01"/>
    <w:rsid w:val="00E37CA3"/>
    <w:rsid w:val="00E52A1D"/>
    <w:rsid w:val="00E54F43"/>
    <w:rsid w:val="00E57DAC"/>
    <w:rsid w:val="00E674D1"/>
    <w:rsid w:val="00E729D6"/>
    <w:rsid w:val="00E835B3"/>
    <w:rsid w:val="00E91A5D"/>
    <w:rsid w:val="00E92968"/>
    <w:rsid w:val="00E93ADF"/>
    <w:rsid w:val="00E95BEA"/>
    <w:rsid w:val="00EA15DC"/>
    <w:rsid w:val="00EA3354"/>
    <w:rsid w:val="00EA52A8"/>
    <w:rsid w:val="00EA727C"/>
    <w:rsid w:val="00EC1958"/>
    <w:rsid w:val="00ED26FE"/>
    <w:rsid w:val="00ED48BD"/>
    <w:rsid w:val="00ED58FD"/>
    <w:rsid w:val="00ED7ACB"/>
    <w:rsid w:val="00EF2514"/>
    <w:rsid w:val="00F01BFF"/>
    <w:rsid w:val="00F20A5D"/>
    <w:rsid w:val="00F25334"/>
    <w:rsid w:val="00F36049"/>
    <w:rsid w:val="00F425D7"/>
    <w:rsid w:val="00F5278E"/>
    <w:rsid w:val="00F60D2E"/>
    <w:rsid w:val="00F64A65"/>
    <w:rsid w:val="00F71E4D"/>
    <w:rsid w:val="00F72BD7"/>
    <w:rsid w:val="00F75113"/>
    <w:rsid w:val="00F87958"/>
    <w:rsid w:val="00F9637C"/>
    <w:rsid w:val="00FA60CB"/>
    <w:rsid w:val="00FC3541"/>
    <w:rsid w:val="00FC6B26"/>
    <w:rsid w:val="2C6E5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E4223"/>
    <w:pPr>
      <w:jc w:val="left"/>
    </w:pPr>
  </w:style>
  <w:style w:type="paragraph" w:styleId="a4">
    <w:name w:val="Balloon Text"/>
    <w:basedOn w:val="a"/>
    <w:link w:val="Char0"/>
    <w:uiPriority w:val="99"/>
    <w:semiHidden/>
    <w:unhideWhenUsed/>
    <w:rsid w:val="009E4223"/>
    <w:rPr>
      <w:sz w:val="18"/>
      <w:szCs w:val="18"/>
    </w:rPr>
  </w:style>
  <w:style w:type="paragraph" w:styleId="a5">
    <w:name w:val="footer"/>
    <w:basedOn w:val="a"/>
    <w:link w:val="Char1"/>
    <w:uiPriority w:val="99"/>
    <w:unhideWhenUsed/>
    <w:rsid w:val="009E4223"/>
    <w:pPr>
      <w:tabs>
        <w:tab w:val="center" w:pos="4153"/>
        <w:tab w:val="right" w:pos="8306"/>
      </w:tabs>
      <w:snapToGrid w:val="0"/>
      <w:jc w:val="left"/>
    </w:pPr>
    <w:rPr>
      <w:sz w:val="18"/>
      <w:szCs w:val="18"/>
    </w:rPr>
  </w:style>
  <w:style w:type="paragraph" w:styleId="a6">
    <w:name w:val="header"/>
    <w:basedOn w:val="a"/>
    <w:link w:val="Char2"/>
    <w:uiPriority w:val="99"/>
    <w:unhideWhenUsed/>
    <w:rsid w:val="009E422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E4223"/>
    <w:rPr>
      <w:b/>
      <w:bCs/>
    </w:rPr>
  </w:style>
  <w:style w:type="character" w:styleId="a8">
    <w:name w:val="annotation reference"/>
    <w:basedOn w:val="a0"/>
    <w:uiPriority w:val="99"/>
    <w:semiHidden/>
    <w:unhideWhenUsed/>
    <w:rsid w:val="009E4223"/>
    <w:rPr>
      <w:sz w:val="21"/>
      <w:szCs w:val="21"/>
    </w:rPr>
  </w:style>
  <w:style w:type="character" w:customStyle="1" w:styleId="Char2">
    <w:name w:val="页眉 Char"/>
    <w:basedOn w:val="a0"/>
    <w:link w:val="a6"/>
    <w:uiPriority w:val="99"/>
    <w:rsid w:val="009E4223"/>
    <w:rPr>
      <w:sz w:val="18"/>
      <w:szCs w:val="18"/>
    </w:rPr>
  </w:style>
  <w:style w:type="character" w:customStyle="1" w:styleId="Char1">
    <w:name w:val="页脚 Char"/>
    <w:basedOn w:val="a0"/>
    <w:link w:val="a5"/>
    <w:uiPriority w:val="99"/>
    <w:rsid w:val="009E4223"/>
    <w:rPr>
      <w:sz w:val="18"/>
      <w:szCs w:val="18"/>
    </w:rPr>
  </w:style>
  <w:style w:type="table" w:customStyle="1" w:styleId="TableNormal0">
    <w:name w:val="Table Normal_0"/>
    <w:semiHidden/>
    <w:unhideWhenUsed/>
    <w:qFormat/>
    <w:rsid w:val="009E4223"/>
    <w:rPr>
      <w:rFonts w:ascii="Arial" w:hAnsi="Arial" w:cs="Arial"/>
      <w:snapToGrid w:val="0"/>
      <w:color w:val="000000"/>
      <w:szCs w:val="21"/>
    </w:rPr>
    <w:tblPr>
      <w:tblCellMar>
        <w:top w:w="0" w:type="dxa"/>
        <w:left w:w="0" w:type="dxa"/>
        <w:bottom w:w="0" w:type="dxa"/>
        <w:right w:w="0" w:type="dxa"/>
      </w:tblCellMar>
    </w:tblPr>
  </w:style>
  <w:style w:type="character" w:customStyle="1" w:styleId="Char0">
    <w:name w:val="批注框文本 Char"/>
    <w:basedOn w:val="a0"/>
    <w:link w:val="a4"/>
    <w:uiPriority w:val="99"/>
    <w:semiHidden/>
    <w:rsid w:val="009E4223"/>
    <w:rPr>
      <w:sz w:val="18"/>
      <w:szCs w:val="18"/>
    </w:rPr>
  </w:style>
  <w:style w:type="character" w:customStyle="1" w:styleId="Char">
    <w:name w:val="批注文字 Char"/>
    <w:basedOn w:val="a0"/>
    <w:link w:val="a3"/>
    <w:uiPriority w:val="99"/>
    <w:semiHidden/>
    <w:rsid w:val="009E4223"/>
  </w:style>
  <w:style w:type="character" w:customStyle="1" w:styleId="Char3">
    <w:name w:val="批注主题 Char"/>
    <w:basedOn w:val="Char"/>
    <w:link w:val="a7"/>
    <w:uiPriority w:val="99"/>
    <w:semiHidden/>
    <w:rsid w:val="009E4223"/>
    <w:rPr>
      <w:b/>
      <w:bCs/>
    </w:rPr>
  </w:style>
  <w:style w:type="paragraph" w:styleId="a9">
    <w:name w:val="Revision"/>
    <w:hidden/>
    <w:uiPriority w:val="99"/>
    <w:semiHidden/>
    <w:rsid w:val="00E52A1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1608</Characters>
  <Application>Microsoft Office Word</Application>
  <DocSecurity>4</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2025-04-21T16:07:00Z</dcterms:created>
  <dcterms:modified xsi:type="dcterms:W3CDTF">2025-04-21T16:07:00Z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2C3426F84AAC434D85EF9C892AFE2599</vt:lpwstr>
  </property>
  <property fmtid="{D5CDD505-2E9C-101B-9397-08002B2CF9AE}" pid="3" name="KSOProductBuildVer">
    <vt:lpwstr>2052-11.8.2.12119</vt:lpwstr>
  </property>
</Properties>
</file>