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42" w:rsidRDefault="00E010FE">
      <w:pPr>
        <w:spacing w:line="360" w:lineRule="auto"/>
        <w:ind w:firstLineChars="50" w:firstLine="120"/>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中泰证券</w:t>
      </w:r>
      <w:r>
        <w:rPr>
          <w:rFonts w:asciiTheme="minorEastAsia" w:hAnsiTheme="minorEastAsia"/>
          <w:b/>
          <w:color w:val="000000" w:themeColor="text1"/>
          <w:sz w:val="24"/>
          <w:szCs w:val="24"/>
        </w:rPr>
        <w:t>（</w:t>
      </w:r>
      <w:r>
        <w:rPr>
          <w:rFonts w:asciiTheme="minorEastAsia" w:hAnsiTheme="minorEastAsia" w:hint="eastAsia"/>
          <w:b/>
          <w:color w:val="000000" w:themeColor="text1"/>
          <w:sz w:val="24"/>
          <w:szCs w:val="24"/>
        </w:rPr>
        <w:t>上海</w:t>
      </w:r>
      <w:r>
        <w:rPr>
          <w:rFonts w:asciiTheme="minorEastAsia" w:hAnsiTheme="minorEastAsia"/>
          <w:b/>
          <w:color w:val="000000" w:themeColor="text1"/>
          <w:sz w:val="24"/>
          <w:szCs w:val="24"/>
        </w:rPr>
        <w:t>）</w:t>
      </w:r>
      <w:r>
        <w:rPr>
          <w:rFonts w:asciiTheme="minorEastAsia" w:hAnsiTheme="minorEastAsia" w:hint="eastAsia"/>
          <w:b/>
          <w:color w:val="000000" w:themeColor="text1"/>
          <w:sz w:val="24"/>
          <w:szCs w:val="24"/>
        </w:rPr>
        <w:t>资产管理有限公司旗下基金</w:t>
      </w:r>
    </w:p>
    <w:p w:rsidR="00E76C42" w:rsidRDefault="00E010FE">
      <w:pPr>
        <w:spacing w:line="360" w:lineRule="auto"/>
        <w:ind w:firstLineChars="50" w:firstLine="120"/>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Pr>
          <w:rFonts w:asciiTheme="minorEastAsia" w:hAnsiTheme="minorEastAsia"/>
          <w:b/>
          <w:color w:val="000000" w:themeColor="text1"/>
          <w:sz w:val="24"/>
          <w:szCs w:val="24"/>
        </w:rPr>
        <w:t>02</w:t>
      </w:r>
      <w:r w:rsidR="008A4AE4">
        <w:rPr>
          <w:rFonts w:asciiTheme="minorEastAsia" w:hAnsiTheme="minorEastAsia" w:hint="eastAsia"/>
          <w:b/>
          <w:color w:val="000000" w:themeColor="text1"/>
          <w:sz w:val="24"/>
          <w:szCs w:val="24"/>
        </w:rPr>
        <w:t>5</w:t>
      </w:r>
      <w:r>
        <w:rPr>
          <w:rFonts w:asciiTheme="minorEastAsia" w:hAnsiTheme="minorEastAsia" w:hint="eastAsia"/>
          <w:b/>
          <w:color w:val="000000" w:themeColor="text1"/>
          <w:sz w:val="24"/>
          <w:szCs w:val="24"/>
        </w:rPr>
        <w:t>年</w:t>
      </w:r>
      <w:r>
        <w:rPr>
          <w:rFonts w:asciiTheme="minorEastAsia" w:hAnsiTheme="minorEastAsia"/>
          <w:b/>
          <w:color w:val="000000" w:themeColor="text1"/>
          <w:sz w:val="24"/>
          <w:szCs w:val="24"/>
        </w:rPr>
        <w:t>第</w:t>
      </w:r>
      <w:r w:rsidR="008A4AE4">
        <w:rPr>
          <w:rFonts w:asciiTheme="minorEastAsia" w:hAnsiTheme="minorEastAsia" w:hint="eastAsia"/>
          <w:b/>
          <w:color w:val="000000" w:themeColor="text1"/>
          <w:sz w:val="24"/>
          <w:szCs w:val="24"/>
        </w:rPr>
        <w:t>1</w:t>
      </w:r>
      <w:r>
        <w:rPr>
          <w:rFonts w:asciiTheme="minorEastAsia" w:hAnsiTheme="minorEastAsia" w:hint="eastAsia"/>
          <w:b/>
          <w:color w:val="000000" w:themeColor="text1"/>
          <w:sz w:val="24"/>
          <w:szCs w:val="24"/>
        </w:rPr>
        <w:t>季度报告提示性公告</w:t>
      </w:r>
    </w:p>
    <w:p w:rsidR="00E76C42" w:rsidRDefault="00E76C42">
      <w:pPr>
        <w:spacing w:line="360" w:lineRule="auto"/>
        <w:ind w:firstLineChars="50" w:firstLine="161"/>
        <w:jc w:val="center"/>
        <w:rPr>
          <w:rFonts w:asciiTheme="minorEastAsia" w:hAnsiTheme="minorEastAsia"/>
          <w:b/>
          <w:color w:val="000000" w:themeColor="text1"/>
          <w:sz w:val="32"/>
          <w:szCs w:val="32"/>
        </w:rPr>
      </w:pPr>
    </w:p>
    <w:p w:rsidR="00E76C42" w:rsidRDefault="00E010FE">
      <w:pPr>
        <w:spacing w:line="360" w:lineRule="auto"/>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中泰证券（上海）资产管理有限公司（以下</w:t>
      </w:r>
      <w:r>
        <w:rPr>
          <w:rFonts w:asciiTheme="minorEastAsia" w:hAnsiTheme="minorEastAsia"/>
          <w:color w:val="000000" w:themeColor="text1"/>
          <w:szCs w:val="21"/>
        </w:rPr>
        <w:t>简称“</w:t>
      </w:r>
      <w:r>
        <w:rPr>
          <w:rFonts w:asciiTheme="minorEastAsia" w:hAnsiTheme="minorEastAsia" w:hint="eastAsia"/>
          <w:color w:val="000000" w:themeColor="text1"/>
          <w:szCs w:val="21"/>
        </w:rPr>
        <w:t>本公司</w:t>
      </w:r>
      <w:r>
        <w:rPr>
          <w:rFonts w:asciiTheme="minorEastAsia" w:hAnsiTheme="minorEastAsia"/>
          <w:color w:val="000000" w:themeColor="text1"/>
          <w:szCs w:val="21"/>
        </w:rPr>
        <w:t>”</w:t>
      </w:r>
      <w:r>
        <w:rPr>
          <w:rFonts w:asciiTheme="minorEastAsia" w:hAnsiTheme="minorEastAsia" w:hint="eastAsia"/>
          <w:color w:val="000000" w:themeColor="text1"/>
          <w:szCs w:val="21"/>
        </w:rPr>
        <w:t>或</w:t>
      </w:r>
      <w:r>
        <w:rPr>
          <w:rFonts w:asciiTheme="minorEastAsia" w:hAnsiTheme="minorEastAsia"/>
          <w:color w:val="000000" w:themeColor="text1"/>
          <w:szCs w:val="21"/>
        </w:rPr>
        <w:t>“</w:t>
      </w:r>
      <w:r>
        <w:rPr>
          <w:rFonts w:asciiTheme="minorEastAsia" w:hAnsiTheme="minorEastAsia" w:hint="eastAsia"/>
          <w:color w:val="000000" w:themeColor="text1"/>
          <w:szCs w:val="21"/>
        </w:rPr>
        <w:t>基金</w:t>
      </w:r>
      <w:r>
        <w:rPr>
          <w:rFonts w:asciiTheme="minorEastAsia" w:hAnsiTheme="minorEastAsia"/>
          <w:color w:val="000000" w:themeColor="text1"/>
          <w:szCs w:val="21"/>
        </w:rPr>
        <w:t>管理人”</w:t>
      </w:r>
      <w:r>
        <w:rPr>
          <w:rFonts w:asciiTheme="minorEastAsia" w:hAnsiTheme="minorEastAsia" w:hint="eastAsia"/>
          <w:color w:val="000000" w:themeColor="text1"/>
          <w:szCs w:val="21"/>
        </w:rPr>
        <w:t>）董事会及董事保证本公司旗下基金20</w:t>
      </w:r>
      <w:r>
        <w:rPr>
          <w:rFonts w:asciiTheme="minorEastAsia" w:hAnsiTheme="minorEastAsia"/>
          <w:color w:val="000000" w:themeColor="text1"/>
          <w:szCs w:val="21"/>
        </w:rPr>
        <w:t>2</w:t>
      </w:r>
      <w:r w:rsidR="008A4AE4">
        <w:rPr>
          <w:rFonts w:asciiTheme="minorEastAsia" w:hAnsiTheme="minorEastAsia" w:hint="eastAsia"/>
          <w:color w:val="000000" w:themeColor="text1"/>
          <w:szCs w:val="21"/>
        </w:rPr>
        <w:t>5</w:t>
      </w:r>
      <w:r>
        <w:rPr>
          <w:rFonts w:asciiTheme="minorEastAsia" w:hAnsiTheme="minorEastAsia" w:hint="eastAsia"/>
          <w:color w:val="000000" w:themeColor="text1"/>
          <w:szCs w:val="21"/>
        </w:rPr>
        <w:t>年</w:t>
      </w:r>
      <w:r>
        <w:rPr>
          <w:rFonts w:asciiTheme="minorEastAsia" w:hAnsiTheme="minorEastAsia"/>
          <w:color w:val="000000" w:themeColor="text1"/>
          <w:szCs w:val="21"/>
        </w:rPr>
        <w:t>第</w:t>
      </w:r>
      <w:r w:rsidR="008A4AE4">
        <w:rPr>
          <w:rFonts w:asciiTheme="minorEastAsia" w:hAnsiTheme="minorEastAsia" w:hint="eastAsia"/>
          <w:color w:val="000000" w:themeColor="text1"/>
          <w:szCs w:val="21"/>
        </w:rPr>
        <w:t>1</w:t>
      </w:r>
      <w:r>
        <w:rPr>
          <w:rFonts w:asciiTheme="minorEastAsia" w:hAnsiTheme="minorEastAsia" w:hint="eastAsia"/>
          <w:color w:val="000000" w:themeColor="text1"/>
          <w:szCs w:val="21"/>
        </w:rPr>
        <w:t>季度报告所载资料不存在虚假记载、误导性陈述或重大遗漏，并对其内容的真实性、准确性和完整性承担个别及连带责任。</w:t>
      </w:r>
    </w:p>
    <w:p w:rsidR="00E76C42" w:rsidRDefault="00E010FE">
      <w:pPr>
        <w:spacing w:line="360" w:lineRule="auto"/>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本</w:t>
      </w:r>
      <w:r>
        <w:rPr>
          <w:rFonts w:asciiTheme="minorEastAsia" w:hAnsiTheme="minorEastAsia"/>
          <w:color w:val="000000" w:themeColor="text1"/>
          <w:szCs w:val="21"/>
        </w:rPr>
        <w:t>公司</w:t>
      </w:r>
      <w:r>
        <w:rPr>
          <w:rFonts w:asciiTheme="minorEastAsia" w:hAnsiTheme="minorEastAsia" w:hint="eastAsia"/>
          <w:color w:val="000000" w:themeColor="text1"/>
          <w:szCs w:val="21"/>
        </w:rPr>
        <w:t>旗下</w:t>
      </w:r>
      <w:r w:rsidR="00B1624F">
        <w:rPr>
          <w:rFonts w:asciiTheme="minorEastAsia" w:hAnsiTheme="minorEastAsia" w:hint="eastAsia"/>
          <w:color w:val="000000" w:themeColor="text1"/>
          <w:szCs w:val="21"/>
        </w:rPr>
        <w:t>31</w:t>
      </w:r>
      <w:r>
        <w:rPr>
          <w:rFonts w:asciiTheme="minorEastAsia" w:hAnsiTheme="minorEastAsia" w:hint="eastAsia"/>
          <w:color w:val="000000" w:themeColor="text1"/>
          <w:szCs w:val="21"/>
        </w:rPr>
        <w:t>只基金（具体基金列表详见附件）的20</w:t>
      </w:r>
      <w:r>
        <w:rPr>
          <w:rFonts w:asciiTheme="minorEastAsia" w:hAnsiTheme="minorEastAsia"/>
          <w:color w:val="000000" w:themeColor="text1"/>
          <w:szCs w:val="21"/>
        </w:rPr>
        <w:t>2</w:t>
      </w:r>
      <w:r w:rsidR="008A4AE4">
        <w:rPr>
          <w:rFonts w:asciiTheme="minorEastAsia" w:hAnsiTheme="minorEastAsia" w:hint="eastAsia"/>
          <w:color w:val="000000" w:themeColor="text1"/>
          <w:szCs w:val="21"/>
        </w:rPr>
        <w:t>5</w:t>
      </w:r>
      <w:r>
        <w:rPr>
          <w:rFonts w:asciiTheme="minorEastAsia" w:hAnsiTheme="minorEastAsia" w:hint="eastAsia"/>
          <w:color w:val="000000" w:themeColor="text1"/>
          <w:szCs w:val="21"/>
        </w:rPr>
        <w:t>年</w:t>
      </w:r>
      <w:r>
        <w:rPr>
          <w:rFonts w:asciiTheme="minorEastAsia" w:hAnsiTheme="minorEastAsia"/>
          <w:color w:val="000000" w:themeColor="text1"/>
          <w:szCs w:val="21"/>
        </w:rPr>
        <w:t>第</w:t>
      </w:r>
      <w:r w:rsidR="008A4AE4">
        <w:rPr>
          <w:rFonts w:asciiTheme="minorEastAsia" w:hAnsiTheme="minorEastAsia" w:hint="eastAsia"/>
          <w:color w:val="000000" w:themeColor="text1"/>
          <w:szCs w:val="21"/>
        </w:rPr>
        <w:t>1</w:t>
      </w:r>
      <w:r>
        <w:rPr>
          <w:rFonts w:asciiTheme="minorEastAsia" w:hAnsiTheme="minorEastAsia" w:hint="eastAsia"/>
          <w:color w:val="000000" w:themeColor="text1"/>
          <w:szCs w:val="21"/>
        </w:rPr>
        <w:t>季度报告</w:t>
      </w:r>
      <w:r>
        <w:rPr>
          <w:rFonts w:asciiTheme="minorEastAsia" w:hAnsiTheme="minorEastAsia"/>
          <w:color w:val="000000" w:themeColor="text1"/>
          <w:szCs w:val="21"/>
        </w:rPr>
        <w:t>全文</w:t>
      </w:r>
      <w:r>
        <w:rPr>
          <w:rFonts w:asciiTheme="minorEastAsia" w:hAnsiTheme="minorEastAsia" w:hint="eastAsia"/>
          <w:color w:val="000000" w:themeColor="text1"/>
          <w:szCs w:val="21"/>
        </w:rPr>
        <w:t>于2</w:t>
      </w:r>
      <w:r>
        <w:rPr>
          <w:rFonts w:asciiTheme="minorEastAsia" w:hAnsiTheme="minorEastAsia"/>
          <w:color w:val="000000" w:themeColor="text1"/>
          <w:szCs w:val="21"/>
        </w:rPr>
        <w:t>02</w:t>
      </w:r>
      <w:r w:rsidR="00892540">
        <w:rPr>
          <w:rFonts w:asciiTheme="minorEastAsia" w:hAnsiTheme="minorEastAsia" w:hint="eastAsia"/>
          <w:color w:val="000000" w:themeColor="text1"/>
          <w:szCs w:val="21"/>
        </w:rPr>
        <w:t>5</w:t>
      </w:r>
      <w:r>
        <w:rPr>
          <w:rFonts w:asciiTheme="minorEastAsia" w:hAnsiTheme="minorEastAsia" w:hint="eastAsia"/>
          <w:color w:val="000000" w:themeColor="text1"/>
          <w:szCs w:val="21"/>
        </w:rPr>
        <w:t>年</w:t>
      </w:r>
      <w:r w:rsidR="008A4AE4">
        <w:rPr>
          <w:rFonts w:asciiTheme="minorEastAsia" w:hAnsiTheme="minorEastAsia" w:hint="eastAsia"/>
          <w:color w:val="000000" w:themeColor="text1"/>
          <w:szCs w:val="21"/>
        </w:rPr>
        <w:t>4</w:t>
      </w:r>
      <w:r>
        <w:rPr>
          <w:rFonts w:asciiTheme="minorEastAsia" w:hAnsiTheme="minorEastAsia" w:hint="eastAsia"/>
          <w:color w:val="000000" w:themeColor="text1"/>
          <w:szCs w:val="21"/>
        </w:rPr>
        <w:t>月</w:t>
      </w:r>
      <w:r w:rsidR="00B1624F">
        <w:rPr>
          <w:rFonts w:asciiTheme="minorEastAsia" w:hAnsiTheme="minorEastAsia" w:hint="eastAsia"/>
          <w:color w:val="000000" w:themeColor="text1"/>
          <w:szCs w:val="21"/>
        </w:rPr>
        <w:t>2</w:t>
      </w:r>
      <w:r w:rsidR="00892540">
        <w:rPr>
          <w:rFonts w:asciiTheme="minorEastAsia" w:hAnsiTheme="minorEastAsia" w:hint="eastAsia"/>
          <w:color w:val="000000" w:themeColor="text1"/>
          <w:szCs w:val="21"/>
        </w:rPr>
        <w:t>1</w:t>
      </w:r>
      <w:r>
        <w:rPr>
          <w:rFonts w:asciiTheme="minorEastAsia" w:hAnsiTheme="minorEastAsia" w:hint="eastAsia"/>
          <w:color w:val="000000" w:themeColor="text1"/>
          <w:szCs w:val="21"/>
        </w:rPr>
        <w:t>日在</w:t>
      </w:r>
      <w:r>
        <w:rPr>
          <w:rFonts w:asciiTheme="minorEastAsia" w:hAnsiTheme="minorEastAsia"/>
          <w:color w:val="000000" w:themeColor="text1"/>
          <w:szCs w:val="21"/>
        </w:rPr>
        <w:t>本公司网站</w:t>
      </w:r>
      <w:r>
        <w:rPr>
          <w:rFonts w:asciiTheme="minorEastAsia" w:hAnsiTheme="minorEastAsia" w:hint="eastAsia"/>
          <w:color w:val="000000" w:themeColor="text1"/>
          <w:szCs w:val="21"/>
        </w:rPr>
        <w:t>（</w:t>
      </w:r>
      <w:r>
        <w:rPr>
          <w:rFonts w:asciiTheme="minorEastAsia" w:hAnsiTheme="minorEastAsia"/>
          <w:color w:val="000000" w:themeColor="text1"/>
          <w:szCs w:val="21"/>
        </w:rPr>
        <w:t>https://www.ztzqzg.com</w:t>
      </w:r>
      <w:r>
        <w:rPr>
          <w:rFonts w:asciiTheme="minorEastAsia" w:hAnsiTheme="minorEastAsia" w:hint="eastAsia"/>
          <w:color w:val="000000" w:themeColor="text1"/>
          <w:szCs w:val="21"/>
        </w:rPr>
        <w:t>）</w:t>
      </w:r>
      <w:r>
        <w:rPr>
          <w:rFonts w:asciiTheme="minorEastAsia" w:hAnsiTheme="minorEastAsia"/>
          <w:color w:val="000000" w:themeColor="text1"/>
          <w:szCs w:val="21"/>
        </w:rPr>
        <w:t>和中国证监会</w:t>
      </w:r>
      <w:r>
        <w:rPr>
          <w:rFonts w:asciiTheme="minorEastAsia" w:hAnsiTheme="minorEastAsia" w:hint="eastAsia"/>
          <w:color w:val="000000" w:themeColor="text1"/>
          <w:szCs w:val="21"/>
        </w:rPr>
        <w:t>基金</w:t>
      </w:r>
      <w:r>
        <w:rPr>
          <w:rFonts w:asciiTheme="minorEastAsia" w:hAnsiTheme="minorEastAsia"/>
          <w:color w:val="000000" w:themeColor="text1"/>
          <w:szCs w:val="21"/>
        </w:rPr>
        <w:t>电子披露网站</w:t>
      </w:r>
      <w:r>
        <w:rPr>
          <w:rFonts w:asciiTheme="minorEastAsia" w:hAnsiTheme="minorEastAsia" w:hint="eastAsia"/>
          <w:color w:val="000000" w:themeColor="text1"/>
          <w:szCs w:val="21"/>
        </w:rPr>
        <w:t>（http://eid.csrc.gov.cn/fund）</w:t>
      </w:r>
      <w:r>
        <w:rPr>
          <w:rFonts w:asciiTheme="minorEastAsia" w:hAnsiTheme="minorEastAsia"/>
          <w:color w:val="000000" w:themeColor="text1"/>
          <w:szCs w:val="21"/>
        </w:rPr>
        <w:t>披露，供投资者查阅。</w:t>
      </w:r>
      <w:r>
        <w:rPr>
          <w:rFonts w:asciiTheme="minorEastAsia" w:hAnsiTheme="minorEastAsia" w:hint="eastAsia"/>
          <w:color w:val="000000" w:themeColor="text1"/>
          <w:szCs w:val="21"/>
        </w:rPr>
        <w:t>投资者可拨打本公司客户服务热线（400-821-0808）咨询相关事宜。</w:t>
      </w:r>
    </w:p>
    <w:p w:rsidR="00E76C42" w:rsidRDefault="00E76C42">
      <w:pPr>
        <w:spacing w:line="360" w:lineRule="auto"/>
        <w:ind w:firstLineChars="250" w:firstLine="525"/>
        <w:rPr>
          <w:rFonts w:asciiTheme="minorEastAsia" w:hAnsiTheme="minorEastAsia"/>
          <w:color w:val="000000" w:themeColor="text1"/>
          <w:szCs w:val="21"/>
        </w:rPr>
      </w:pPr>
    </w:p>
    <w:p w:rsidR="00E76C42" w:rsidRDefault="00E010FE">
      <w:pPr>
        <w:spacing w:line="360" w:lineRule="auto"/>
        <w:ind w:firstLineChars="200" w:firstLine="422"/>
        <w:rPr>
          <w:rFonts w:asciiTheme="minorEastAsia" w:hAnsiTheme="minorEastAsia"/>
          <w:b/>
          <w:color w:val="000000" w:themeColor="text1"/>
          <w:szCs w:val="21"/>
        </w:rPr>
      </w:pPr>
      <w:r>
        <w:rPr>
          <w:rFonts w:asciiTheme="minorEastAsia" w:hAnsiTheme="minorEastAsia" w:hint="eastAsia"/>
          <w:b/>
          <w:color w:val="000000" w:themeColor="text1"/>
          <w:szCs w:val="21"/>
        </w:rPr>
        <w:t>风险提示：</w:t>
      </w:r>
    </w:p>
    <w:p w:rsidR="00E76C42" w:rsidRDefault="00E010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基金管理人承诺以诚实信用、勤勉尽责的原则管理和运用基金资产，但不保证基金一定盈利，也不保证最低收益。投资有风险，基金的过往业绩并不预示其未来表现，基金管理人管理的各只基金的业绩不构成对基金管理人管理的其他基金业绩表现的保证。投资者投资基金时应认真阅读相关基金的基金合同、招募说明书等法律文件。基金管理人提醒投资者基金投资的“买者自负”原则，请投资者根据自身的风险承受能力选择适合自己的基金产品。</w:t>
      </w:r>
    </w:p>
    <w:p w:rsidR="00E76C42" w:rsidRDefault="00E010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特此公告。</w:t>
      </w:r>
    </w:p>
    <w:p w:rsidR="00E76C42" w:rsidRDefault="00E76C42">
      <w:pPr>
        <w:spacing w:line="360" w:lineRule="auto"/>
        <w:ind w:firstLineChars="200" w:firstLine="420"/>
        <w:rPr>
          <w:rFonts w:asciiTheme="minorEastAsia" w:hAnsiTheme="minorEastAsia"/>
          <w:color w:val="000000" w:themeColor="text1"/>
          <w:szCs w:val="21"/>
        </w:rPr>
      </w:pPr>
    </w:p>
    <w:p w:rsidR="00E76C42" w:rsidRDefault="00E010FE">
      <w:pPr>
        <w:spacing w:line="360" w:lineRule="auto"/>
        <w:ind w:firstLineChars="250" w:firstLine="527"/>
        <w:jc w:val="right"/>
        <w:rPr>
          <w:rFonts w:asciiTheme="minorEastAsia" w:hAnsiTheme="minorEastAsia"/>
          <w:b/>
          <w:color w:val="000000" w:themeColor="text1"/>
          <w:szCs w:val="21"/>
        </w:rPr>
      </w:pPr>
      <w:r>
        <w:rPr>
          <w:rFonts w:asciiTheme="minorEastAsia" w:hAnsiTheme="minorEastAsia" w:hint="eastAsia"/>
          <w:b/>
          <w:color w:val="000000" w:themeColor="text1"/>
          <w:szCs w:val="21"/>
        </w:rPr>
        <w:t>中泰证券（上海）资产管理有限公司</w:t>
      </w:r>
    </w:p>
    <w:p w:rsidR="00E76C42" w:rsidRDefault="00E010FE">
      <w:pPr>
        <w:spacing w:line="360" w:lineRule="auto"/>
        <w:ind w:firstLineChars="250" w:firstLine="527"/>
        <w:jc w:val="right"/>
        <w:rPr>
          <w:rFonts w:asciiTheme="minorEastAsia" w:hAnsiTheme="minorEastAsia"/>
          <w:b/>
          <w:color w:val="000000" w:themeColor="text1"/>
          <w:szCs w:val="21"/>
        </w:rPr>
      </w:pPr>
      <w:r>
        <w:rPr>
          <w:rFonts w:asciiTheme="minorEastAsia" w:hAnsiTheme="minorEastAsia" w:hint="eastAsia"/>
          <w:b/>
          <w:color w:val="000000" w:themeColor="text1"/>
          <w:szCs w:val="21"/>
        </w:rPr>
        <w:t>2</w:t>
      </w:r>
      <w:r>
        <w:rPr>
          <w:rFonts w:asciiTheme="minorEastAsia" w:hAnsiTheme="minorEastAsia"/>
          <w:b/>
          <w:color w:val="000000" w:themeColor="text1"/>
          <w:szCs w:val="21"/>
        </w:rPr>
        <w:t>02</w:t>
      </w:r>
      <w:r w:rsidR="00892540">
        <w:rPr>
          <w:rFonts w:asciiTheme="minorEastAsia" w:hAnsiTheme="minorEastAsia" w:hint="eastAsia"/>
          <w:b/>
          <w:color w:val="000000" w:themeColor="text1"/>
          <w:szCs w:val="21"/>
        </w:rPr>
        <w:t>5</w:t>
      </w:r>
      <w:r>
        <w:rPr>
          <w:rFonts w:asciiTheme="minorEastAsia" w:hAnsiTheme="minorEastAsia"/>
          <w:b/>
          <w:color w:val="000000" w:themeColor="text1"/>
          <w:szCs w:val="21"/>
        </w:rPr>
        <w:t>年</w:t>
      </w:r>
      <w:r w:rsidR="008A4AE4">
        <w:rPr>
          <w:rFonts w:asciiTheme="minorEastAsia" w:hAnsiTheme="minorEastAsia" w:hint="eastAsia"/>
          <w:b/>
          <w:color w:val="000000" w:themeColor="text1"/>
          <w:szCs w:val="21"/>
        </w:rPr>
        <w:t>4</w:t>
      </w:r>
      <w:r>
        <w:rPr>
          <w:rFonts w:asciiTheme="minorEastAsia" w:hAnsiTheme="minorEastAsia"/>
          <w:b/>
          <w:color w:val="000000" w:themeColor="text1"/>
          <w:szCs w:val="21"/>
        </w:rPr>
        <w:t>月</w:t>
      </w:r>
      <w:r w:rsidR="00B1624F">
        <w:rPr>
          <w:rFonts w:asciiTheme="minorEastAsia" w:hAnsiTheme="minorEastAsia" w:hint="eastAsia"/>
          <w:b/>
          <w:color w:val="000000" w:themeColor="text1"/>
          <w:szCs w:val="21"/>
        </w:rPr>
        <w:t>2</w:t>
      </w:r>
      <w:r w:rsidR="00892540">
        <w:rPr>
          <w:rFonts w:asciiTheme="minorEastAsia" w:hAnsiTheme="minorEastAsia" w:hint="eastAsia"/>
          <w:b/>
          <w:color w:val="000000" w:themeColor="text1"/>
          <w:szCs w:val="21"/>
        </w:rPr>
        <w:t>1</w:t>
      </w:r>
      <w:r>
        <w:rPr>
          <w:rFonts w:asciiTheme="minorEastAsia" w:hAnsiTheme="minorEastAsia"/>
          <w:b/>
          <w:color w:val="000000" w:themeColor="text1"/>
          <w:szCs w:val="21"/>
        </w:rPr>
        <w:t>日</w:t>
      </w: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567790" w:rsidRDefault="00567790">
      <w:pPr>
        <w:spacing w:line="360" w:lineRule="auto"/>
        <w:ind w:firstLineChars="250" w:firstLine="527"/>
        <w:jc w:val="right"/>
        <w:rPr>
          <w:rFonts w:asciiTheme="minorEastAsia" w:hAnsiTheme="minorEastAsia"/>
          <w:b/>
          <w:color w:val="000000" w:themeColor="text1"/>
          <w:szCs w:val="21"/>
        </w:rPr>
      </w:pPr>
    </w:p>
    <w:p w:rsidR="00E76C42" w:rsidRDefault="00E010FE">
      <w:pPr>
        <w:spacing w:line="360" w:lineRule="auto"/>
        <w:ind w:firstLineChars="250" w:firstLine="527"/>
        <w:jc w:val="left"/>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附件</w:t>
      </w:r>
      <w:r>
        <w:rPr>
          <w:rFonts w:asciiTheme="minorEastAsia" w:hAnsiTheme="minorEastAsia"/>
          <w:b/>
          <w:color w:val="000000" w:themeColor="text1"/>
          <w:szCs w:val="21"/>
        </w:rPr>
        <w:t>：基金列表</w:t>
      </w:r>
    </w:p>
    <w:tbl>
      <w:tblPr>
        <w:tblStyle w:val="aa"/>
        <w:tblW w:w="0" w:type="auto"/>
        <w:tblInd w:w="562" w:type="dxa"/>
        <w:tblLook w:val="04A0"/>
      </w:tblPr>
      <w:tblGrid>
        <w:gridCol w:w="993"/>
        <w:gridCol w:w="7165"/>
      </w:tblGrid>
      <w:tr w:rsidR="00E76C42" w:rsidTr="00A2189E">
        <w:tc>
          <w:tcPr>
            <w:tcW w:w="993" w:type="dxa"/>
          </w:tcPr>
          <w:p w:rsidR="00E76C42" w:rsidRDefault="00E010FE">
            <w:pPr>
              <w:spacing w:line="360" w:lineRule="auto"/>
              <w:jc w:val="center"/>
              <w:rPr>
                <w:rFonts w:asciiTheme="minorEastAsia" w:hAnsiTheme="minorEastAsia"/>
                <w:b/>
                <w:color w:val="000000" w:themeColor="text1"/>
                <w:szCs w:val="21"/>
              </w:rPr>
            </w:pPr>
            <w:bookmarkStart w:id="0" w:name="_Hlk99703333"/>
            <w:r>
              <w:rPr>
                <w:rFonts w:asciiTheme="minorEastAsia" w:hAnsiTheme="minorEastAsia" w:hint="eastAsia"/>
                <w:b/>
                <w:color w:val="000000" w:themeColor="text1"/>
                <w:szCs w:val="21"/>
              </w:rPr>
              <w:t>序号</w:t>
            </w:r>
          </w:p>
        </w:tc>
        <w:tc>
          <w:tcPr>
            <w:tcW w:w="7165" w:type="dxa"/>
          </w:tcPr>
          <w:p w:rsidR="00E76C42" w:rsidRDefault="00E010FE">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基金</w:t>
            </w:r>
            <w:r>
              <w:rPr>
                <w:rFonts w:asciiTheme="minorEastAsia" w:hAnsiTheme="minorEastAsia"/>
                <w:b/>
                <w:color w:val="000000" w:themeColor="text1"/>
                <w:szCs w:val="21"/>
              </w:rPr>
              <w:t>名称</w:t>
            </w:r>
          </w:p>
        </w:tc>
      </w:tr>
      <w:tr w:rsidR="00E76C42" w:rsidTr="00A2189E">
        <w:trPr>
          <w:trHeight w:val="316"/>
        </w:trPr>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中泰星元价值优选灵活配置混合型证券投资基金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中泰玉衡价值优选灵活配置混合型证券投资基金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3</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中泰蓝月短债债券型证券投资基金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4</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中泰青月中短债债券型证券投资基金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5</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中泰开阳价值优选灵活配置混合型证券投资基金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6</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中泰中证500指数增强型证券投资基金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b/>
                <w:color w:val="000000" w:themeColor="text1"/>
                <w:szCs w:val="21"/>
              </w:rPr>
            </w:pPr>
            <w:r>
              <w:rPr>
                <w:rFonts w:asciiTheme="minorEastAsia" w:hAnsiTheme="minorEastAsia"/>
                <w:color w:val="000000" w:themeColor="text1"/>
                <w:szCs w:val="21"/>
              </w:rPr>
              <w:t>7</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中泰沪深300指数增强型证券投资基金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8</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中泰青月安盈66个月定期开放债券型证券投资基金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9</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中泰兴诚价值一年持有期混合型证券投资基金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10</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中泰星宇价值成长混合型证券投资基金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11</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中泰沪深300指数量化优选增强型证券投资基金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12</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中泰稳固周周购12周滚动持有债券型证券投资基金</w:t>
            </w:r>
          </w:p>
        </w:tc>
      </w:tr>
      <w:tr w:rsidR="008D39F2" w:rsidTr="00A2189E">
        <w:tc>
          <w:tcPr>
            <w:tcW w:w="993" w:type="dxa"/>
          </w:tcPr>
          <w:p w:rsidR="008D39F2" w:rsidRDefault="008D39F2"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13</w:t>
            </w:r>
          </w:p>
        </w:tc>
        <w:tc>
          <w:tcPr>
            <w:tcW w:w="7165" w:type="dxa"/>
          </w:tcPr>
          <w:p w:rsidR="008D39F2" w:rsidRDefault="008D39F2" w:rsidP="008438E2">
            <w:pPr>
              <w:spacing w:line="276" w:lineRule="auto"/>
              <w:jc w:val="left"/>
              <w:rPr>
                <w:rFonts w:asciiTheme="minorEastAsia" w:hAnsiTheme="minorEastAsia"/>
                <w:color w:val="000000" w:themeColor="text1"/>
                <w:szCs w:val="21"/>
              </w:rPr>
            </w:pPr>
            <w:r w:rsidRPr="008D39F2">
              <w:rPr>
                <w:rFonts w:asciiTheme="minorEastAsia" w:hAnsiTheme="minorEastAsia" w:hint="eastAsia"/>
                <w:color w:val="000000" w:themeColor="text1"/>
                <w:szCs w:val="21"/>
              </w:rPr>
              <w:t>中泰兴为价值精选混合型证券投资基金</w:t>
            </w:r>
          </w:p>
        </w:tc>
      </w:tr>
      <w:tr w:rsidR="008D39F2" w:rsidTr="00A2189E">
        <w:tc>
          <w:tcPr>
            <w:tcW w:w="993" w:type="dxa"/>
          </w:tcPr>
          <w:p w:rsidR="008D39F2" w:rsidRDefault="008D39F2"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14</w:t>
            </w:r>
          </w:p>
        </w:tc>
        <w:tc>
          <w:tcPr>
            <w:tcW w:w="7165" w:type="dxa"/>
          </w:tcPr>
          <w:p w:rsidR="008D39F2" w:rsidRPr="008D39F2" w:rsidRDefault="008D39F2" w:rsidP="008438E2">
            <w:pPr>
              <w:spacing w:line="276" w:lineRule="auto"/>
              <w:jc w:val="left"/>
              <w:rPr>
                <w:rFonts w:asciiTheme="minorEastAsia" w:hAnsiTheme="minorEastAsia"/>
                <w:color w:val="000000" w:themeColor="text1"/>
                <w:szCs w:val="21"/>
              </w:rPr>
            </w:pPr>
            <w:r w:rsidRPr="008D39F2">
              <w:rPr>
                <w:rFonts w:asciiTheme="minorEastAsia" w:hAnsiTheme="minorEastAsia" w:hint="eastAsia"/>
                <w:color w:val="000000" w:themeColor="text1"/>
                <w:szCs w:val="21"/>
              </w:rPr>
              <w:t>中泰安睿债券型证券投资基金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15</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中泰锦泉汇金货币市场基金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16</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中泰红利优选一年持有期混合型发起式证券投资基金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17</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中泰红利价值一年持有期混合型发起式证券投资基金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18</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中泰安益利率债债券型证券投资基金</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19</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中泰星汇优选平衡三个月持有期混合型基金中基金（FOF）</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20</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中泰安悦6个月定期开放债券型证券投资基金</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21</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中泰双利债券型证券投资基金</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22</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中泰稳固30天持有期中短债债券型证券投资基金</w:t>
            </w:r>
          </w:p>
        </w:tc>
      </w:tr>
      <w:tr w:rsidR="00BF1271" w:rsidTr="00A2189E">
        <w:tc>
          <w:tcPr>
            <w:tcW w:w="993" w:type="dxa"/>
          </w:tcPr>
          <w:p w:rsidR="00BF1271" w:rsidRDefault="00BF1271" w:rsidP="008438E2">
            <w:pPr>
              <w:spacing w:line="276" w:lineRule="auto"/>
              <w:jc w:val="center"/>
              <w:rPr>
                <w:rFonts w:ascii="宋体" w:eastAsia="宋体" w:hAnsi="宋体" w:cs="Times New Roman"/>
                <w:color w:val="000000"/>
                <w:szCs w:val="21"/>
              </w:rPr>
            </w:pPr>
            <w:r w:rsidRPr="00BF1271">
              <w:rPr>
                <w:rFonts w:ascii="宋体" w:eastAsia="宋体" w:hAnsi="宋体" w:cs="Times New Roman" w:hint="eastAsia"/>
                <w:color w:val="000000"/>
                <w:szCs w:val="21"/>
              </w:rPr>
              <w:t>23</w:t>
            </w:r>
          </w:p>
        </w:tc>
        <w:tc>
          <w:tcPr>
            <w:tcW w:w="7165" w:type="dxa"/>
          </w:tcPr>
          <w:p w:rsidR="00BF1271" w:rsidRPr="00260F95" w:rsidRDefault="00BF1271" w:rsidP="008438E2">
            <w:pPr>
              <w:spacing w:line="276" w:lineRule="auto"/>
              <w:jc w:val="left"/>
              <w:rPr>
                <w:rFonts w:ascii="宋体" w:eastAsia="宋体" w:hAnsi="宋体" w:cs="Times New Roman"/>
                <w:color w:val="000000"/>
                <w:szCs w:val="21"/>
              </w:rPr>
            </w:pPr>
            <w:r w:rsidRPr="00BF1271">
              <w:rPr>
                <w:rFonts w:ascii="宋体" w:eastAsia="宋体" w:hAnsi="宋体" w:cs="Times New Roman" w:hint="eastAsia"/>
                <w:color w:val="000000"/>
                <w:szCs w:val="21"/>
              </w:rPr>
              <w:t>中泰研究精选6个月持有期股票型证券投资基金</w:t>
            </w:r>
          </w:p>
        </w:tc>
      </w:tr>
      <w:tr w:rsidR="003B748F" w:rsidTr="00A2189E">
        <w:tc>
          <w:tcPr>
            <w:tcW w:w="993" w:type="dxa"/>
          </w:tcPr>
          <w:p w:rsidR="003B748F" w:rsidRPr="00BF1271" w:rsidRDefault="003B748F"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24</w:t>
            </w:r>
          </w:p>
        </w:tc>
        <w:tc>
          <w:tcPr>
            <w:tcW w:w="7165" w:type="dxa"/>
          </w:tcPr>
          <w:p w:rsidR="003B748F" w:rsidRPr="00BF1271" w:rsidRDefault="003B748F" w:rsidP="008438E2">
            <w:pPr>
              <w:spacing w:line="276" w:lineRule="auto"/>
              <w:jc w:val="left"/>
              <w:rPr>
                <w:rFonts w:ascii="宋体" w:eastAsia="宋体" w:hAnsi="宋体" w:cs="Times New Roman"/>
                <w:color w:val="000000"/>
                <w:szCs w:val="21"/>
              </w:rPr>
            </w:pPr>
            <w:r w:rsidRPr="00595C90">
              <w:rPr>
                <w:rFonts w:ascii="宋体" w:eastAsia="宋体" w:hAnsi="宋体" w:cs="Times New Roman" w:hint="eastAsia"/>
                <w:color w:val="000000"/>
                <w:szCs w:val="21"/>
              </w:rPr>
              <w:t>中泰元和价值精选混合型证券投资基金</w:t>
            </w:r>
          </w:p>
        </w:tc>
      </w:tr>
      <w:tr w:rsidR="003B748F" w:rsidTr="00A2189E">
        <w:tc>
          <w:tcPr>
            <w:tcW w:w="993" w:type="dxa"/>
          </w:tcPr>
          <w:p w:rsidR="003B748F" w:rsidRPr="00BF1271" w:rsidRDefault="003B748F"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25</w:t>
            </w:r>
          </w:p>
        </w:tc>
        <w:tc>
          <w:tcPr>
            <w:tcW w:w="7165" w:type="dxa"/>
          </w:tcPr>
          <w:p w:rsidR="003B748F" w:rsidRPr="00BF1271" w:rsidRDefault="003B748F" w:rsidP="008438E2">
            <w:pPr>
              <w:spacing w:line="276" w:lineRule="auto"/>
              <w:jc w:val="left"/>
              <w:rPr>
                <w:rFonts w:ascii="宋体" w:eastAsia="宋体" w:hAnsi="宋体" w:cs="Times New Roman"/>
                <w:color w:val="000000"/>
                <w:szCs w:val="21"/>
              </w:rPr>
            </w:pPr>
            <w:r w:rsidRPr="00595C90">
              <w:rPr>
                <w:rFonts w:ascii="宋体" w:eastAsia="宋体" w:hAnsi="宋体" w:cs="Times New Roman" w:hint="eastAsia"/>
                <w:color w:val="000000"/>
                <w:szCs w:val="21"/>
              </w:rPr>
              <w:t>中泰天择稳健6个月持有期混合型基金中基金（FOF）</w:t>
            </w:r>
          </w:p>
        </w:tc>
      </w:tr>
      <w:tr w:rsidR="00567790" w:rsidTr="00A2189E">
        <w:tc>
          <w:tcPr>
            <w:tcW w:w="993" w:type="dxa"/>
          </w:tcPr>
          <w:p w:rsidR="00567790" w:rsidRDefault="00567790"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26</w:t>
            </w:r>
          </w:p>
        </w:tc>
        <w:tc>
          <w:tcPr>
            <w:tcW w:w="7165" w:type="dxa"/>
          </w:tcPr>
          <w:p w:rsidR="00567790" w:rsidRPr="00595C90" w:rsidRDefault="00EE7E02" w:rsidP="008438E2">
            <w:pPr>
              <w:spacing w:line="276" w:lineRule="auto"/>
              <w:jc w:val="left"/>
              <w:rPr>
                <w:rFonts w:ascii="宋体" w:eastAsia="宋体" w:hAnsi="宋体" w:cs="Times New Roman"/>
                <w:color w:val="000000"/>
                <w:szCs w:val="21"/>
              </w:rPr>
            </w:pPr>
            <w:r w:rsidRPr="00EE7E02">
              <w:rPr>
                <w:rFonts w:ascii="宋体" w:eastAsia="宋体" w:hAnsi="宋体" w:cs="Times New Roman" w:hint="eastAsia"/>
                <w:color w:val="000000"/>
                <w:szCs w:val="21"/>
              </w:rPr>
              <w:t>中泰星锐景气成长混合型证券投资基金</w:t>
            </w:r>
          </w:p>
        </w:tc>
      </w:tr>
      <w:tr w:rsidR="007658A1" w:rsidTr="00A2189E">
        <w:tc>
          <w:tcPr>
            <w:tcW w:w="993" w:type="dxa"/>
          </w:tcPr>
          <w:p w:rsidR="007658A1" w:rsidRDefault="007658A1"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27</w:t>
            </w:r>
          </w:p>
        </w:tc>
        <w:tc>
          <w:tcPr>
            <w:tcW w:w="7165" w:type="dxa"/>
          </w:tcPr>
          <w:p w:rsidR="007658A1" w:rsidRPr="00EE7E02" w:rsidRDefault="007658A1" w:rsidP="008438E2">
            <w:pPr>
              <w:spacing w:line="276" w:lineRule="auto"/>
              <w:jc w:val="left"/>
              <w:rPr>
                <w:rFonts w:ascii="宋体" w:eastAsia="宋体" w:hAnsi="宋体" w:cs="Times New Roman"/>
                <w:color w:val="000000"/>
                <w:szCs w:val="21"/>
              </w:rPr>
            </w:pPr>
            <w:r w:rsidRPr="007658A1">
              <w:rPr>
                <w:rFonts w:ascii="宋体" w:eastAsia="宋体" w:hAnsi="宋体" w:cs="Times New Roman" w:hint="eastAsia"/>
                <w:color w:val="000000"/>
                <w:szCs w:val="21"/>
              </w:rPr>
              <w:t>中泰中证同业存单AAA指数7天持有期证券投资基金</w:t>
            </w:r>
          </w:p>
        </w:tc>
      </w:tr>
      <w:tr w:rsidR="00301E24" w:rsidTr="00A2189E">
        <w:tc>
          <w:tcPr>
            <w:tcW w:w="993" w:type="dxa"/>
          </w:tcPr>
          <w:p w:rsidR="00301E24" w:rsidRDefault="00301E24"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28</w:t>
            </w:r>
          </w:p>
        </w:tc>
        <w:tc>
          <w:tcPr>
            <w:tcW w:w="7165" w:type="dxa"/>
          </w:tcPr>
          <w:p w:rsidR="00301E24" w:rsidRPr="007658A1" w:rsidRDefault="00301E24" w:rsidP="008438E2">
            <w:pPr>
              <w:spacing w:line="276" w:lineRule="auto"/>
              <w:jc w:val="left"/>
              <w:rPr>
                <w:rFonts w:ascii="宋体" w:eastAsia="宋体" w:hAnsi="宋体" w:cs="Times New Roman"/>
                <w:color w:val="000000"/>
                <w:szCs w:val="21"/>
              </w:rPr>
            </w:pPr>
            <w:r w:rsidRPr="00301E24">
              <w:rPr>
                <w:rFonts w:ascii="宋体" w:eastAsia="宋体" w:hAnsi="宋体" w:cs="Times New Roman" w:hint="eastAsia"/>
                <w:color w:val="000000"/>
                <w:szCs w:val="21"/>
              </w:rPr>
              <w:t>中泰ESG主题6个月持有期混合型发起式证券投资基金</w:t>
            </w:r>
          </w:p>
        </w:tc>
      </w:tr>
      <w:tr w:rsidR="00A2189E" w:rsidTr="00A2189E">
        <w:tc>
          <w:tcPr>
            <w:tcW w:w="993" w:type="dxa"/>
          </w:tcPr>
          <w:p w:rsidR="00A2189E" w:rsidRDefault="00A2189E"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29</w:t>
            </w:r>
          </w:p>
        </w:tc>
        <w:tc>
          <w:tcPr>
            <w:tcW w:w="7165" w:type="dxa"/>
          </w:tcPr>
          <w:p w:rsidR="00A2189E" w:rsidRPr="00301E24" w:rsidRDefault="00A2189E" w:rsidP="008438E2">
            <w:pPr>
              <w:spacing w:line="276" w:lineRule="auto"/>
              <w:jc w:val="left"/>
              <w:rPr>
                <w:rFonts w:ascii="宋体" w:eastAsia="宋体" w:hAnsi="宋体" w:cs="Times New Roman"/>
                <w:color w:val="000000"/>
                <w:szCs w:val="21"/>
              </w:rPr>
            </w:pPr>
            <w:r w:rsidRPr="00A2189E">
              <w:rPr>
                <w:rFonts w:ascii="宋体" w:eastAsia="宋体" w:hAnsi="宋体" w:cs="Times New Roman" w:hint="eastAsia"/>
                <w:color w:val="000000"/>
                <w:szCs w:val="21"/>
              </w:rPr>
              <w:t>中泰福瑞稳健养老目标一年持有期混合型发起式基金中基金（FOF）</w:t>
            </w:r>
          </w:p>
        </w:tc>
      </w:tr>
      <w:tr w:rsidR="00B1624F" w:rsidTr="00A2189E">
        <w:tc>
          <w:tcPr>
            <w:tcW w:w="993" w:type="dxa"/>
          </w:tcPr>
          <w:p w:rsidR="00B1624F" w:rsidRDefault="00E107BD"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30</w:t>
            </w:r>
          </w:p>
        </w:tc>
        <w:tc>
          <w:tcPr>
            <w:tcW w:w="7165" w:type="dxa"/>
          </w:tcPr>
          <w:p w:rsidR="00B1624F" w:rsidRPr="00A2189E" w:rsidRDefault="00E107BD" w:rsidP="008438E2">
            <w:pPr>
              <w:spacing w:line="276" w:lineRule="auto"/>
              <w:jc w:val="left"/>
              <w:rPr>
                <w:rFonts w:ascii="宋体" w:eastAsia="宋体" w:hAnsi="宋体" w:cs="Times New Roman"/>
                <w:color w:val="000000"/>
                <w:szCs w:val="21"/>
              </w:rPr>
            </w:pPr>
            <w:r w:rsidRPr="00E107BD">
              <w:rPr>
                <w:rFonts w:ascii="宋体" w:eastAsia="宋体" w:hAnsi="宋体" w:cs="Times New Roman" w:hint="eastAsia"/>
                <w:color w:val="000000"/>
                <w:szCs w:val="21"/>
              </w:rPr>
              <w:t>中泰红利量化选股股票型发起式证券投资基金</w:t>
            </w:r>
          </w:p>
        </w:tc>
      </w:tr>
      <w:tr w:rsidR="00B1624F" w:rsidTr="00A2189E">
        <w:tc>
          <w:tcPr>
            <w:tcW w:w="993" w:type="dxa"/>
          </w:tcPr>
          <w:p w:rsidR="00B1624F" w:rsidRDefault="00E107BD"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31</w:t>
            </w:r>
          </w:p>
        </w:tc>
        <w:tc>
          <w:tcPr>
            <w:tcW w:w="7165" w:type="dxa"/>
          </w:tcPr>
          <w:p w:rsidR="00B1624F" w:rsidRPr="00A2189E" w:rsidRDefault="00E107BD" w:rsidP="008438E2">
            <w:pPr>
              <w:spacing w:line="276" w:lineRule="auto"/>
              <w:jc w:val="left"/>
              <w:rPr>
                <w:rFonts w:ascii="宋体" w:eastAsia="宋体" w:hAnsi="宋体" w:cs="Times New Roman"/>
                <w:color w:val="000000"/>
                <w:szCs w:val="21"/>
              </w:rPr>
            </w:pPr>
            <w:r w:rsidRPr="00E107BD">
              <w:rPr>
                <w:rFonts w:ascii="宋体" w:eastAsia="宋体" w:hAnsi="宋体" w:cs="Times New Roman" w:hint="eastAsia"/>
                <w:color w:val="000000"/>
                <w:szCs w:val="21"/>
              </w:rPr>
              <w:t>中泰安弘债券型证券投资基金</w:t>
            </w:r>
          </w:p>
        </w:tc>
      </w:tr>
      <w:bookmarkEnd w:id="0"/>
    </w:tbl>
    <w:p w:rsidR="00E76C42" w:rsidRPr="00567790" w:rsidRDefault="00E76C42" w:rsidP="008438E2">
      <w:pPr>
        <w:spacing w:line="276" w:lineRule="auto"/>
        <w:rPr>
          <w:rFonts w:asciiTheme="minorEastAsia" w:hAnsiTheme="minorEastAsia"/>
          <w:color w:val="000000" w:themeColor="text1"/>
          <w:szCs w:val="21"/>
        </w:rPr>
      </w:pPr>
    </w:p>
    <w:sectPr w:rsidR="00E76C42" w:rsidRPr="00567790" w:rsidSect="00707D71">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32E" w:rsidRDefault="008F132E">
      <w:r>
        <w:separator/>
      </w:r>
    </w:p>
  </w:endnote>
  <w:endnote w:type="continuationSeparator" w:id="0">
    <w:p w:rsidR="008F132E" w:rsidRDefault="008F13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E76C42" w:rsidRDefault="00624F02">
        <w:pPr>
          <w:pStyle w:val="a6"/>
          <w:jc w:val="center"/>
        </w:pPr>
        <w:r>
          <w:fldChar w:fldCharType="begin"/>
        </w:r>
        <w:r w:rsidR="00E010FE">
          <w:instrText>PAGE   \* MERGEFORMAT</w:instrText>
        </w:r>
        <w:r>
          <w:fldChar w:fldCharType="separate"/>
        </w:r>
        <w:r w:rsidR="00E010FE">
          <w:rPr>
            <w:lang w:val="zh-CN"/>
          </w:rPr>
          <w:t>2</w:t>
        </w:r>
        <w:r>
          <w:fldChar w:fldCharType="end"/>
        </w:r>
      </w:p>
    </w:sdtContent>
  </w:sdt>
  <w:p w:rsidR="00E76C42" w:rsidRDefault="00E76C42" w:rsidP="0077536A">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E76C42" w:rsidRDefault="00624F02">
        <w:pPr>
          <w:pStyle w:val="a6"/>
          <w:jc w:val="center"/>
        </w:pPr>
        <w:r>
          <w:fldChar w:fldCharType="begin"/>
        </w:r>
        <w:r w:rsidR="00E010FE">
          <w:instrText>PAGE   \* MERGEFORMAT</w:instrText>
        </w:r>
        <w:r>
          <w:fldChar w:fldCharType="separate"/>
        </w:r>
        <w:r w:rsidR="00B31ABA" w:rsidRPr="00B31ABA">
          <w:rPr>
            <w:noProof/>
            <w:lang w:val="zh-CN"/>
          </w:rPr>
          <w:t>1</w:t>
        </w:r>
        <w:r>
          <w:fldChar w:fldCharType="end"/>
        </w:r>
      </w:p>
    </w:sdtContent>
  </w:sdt>
  <w:p w:rsidR="00E76C42" w:rsidRDefault="00E76C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32E" w:rsidRDefault="008F132E">
      <w:r>
        <w:separator/>
      </w:r>
    </w:p>
  </w:footnote>
  <w:footnote w:type="continuationSeparator" w:id="0">
    <w:p w:rsidR="008F132E" w:rsidRDefault="008F13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formatting="1" w:enforcement="0"/>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265A3"/>
    <w:rsid w:val="000300E5"/>
    <w:rsid w:val="0003246C"/>
    <w:rsid w:val="00033010"/>
    <w:rsid w:val="00033204"/>
    <w:rsid w:val="000475F0"/>
    <w:rsid w:val="00050974"/>
    <w:rsid w:val="000539F6"/>
    <w:rsid w:val="00056EE0"/>
    <w:rsid w:val="00057323"/>
    <w:rsid w:val="0008010F"/>
    <w:rsid w:val="00081ADE"/>
    <w:rsid w:val="00081C4E"/>
    <w:rsid w:val="00084E7D"/>
    <w:rsid w:val="00087988"/>
    <w:rsid w:val="0009227A"/>
    <w:rsid w:val="00093E55"/>
    <w:rsid w:val="00094F20"/>
    <w:rsid w:val="000A0272"/>
    <w:rsid w:val="000A0ECE"/>
    <w:rsid w:val="000A113C"/>
    <w:rsid w:val="000A588E"/>
    <w:rsid w:val="000B53A5"/>
    <w:rsid w:val="000C06E1"/>
    <w:rsid w:val="000C1032"/>
    <w:rsid w:val="000C4DAE"/>
    <w:rsid w:val="000D18EF"/>
    <w:rsid w:val="000E13E9"/>
    <w:rsid w:val="000E7D66"/>
    <w:rsid w:val="000F07E6"/>
    <w:rsid w:val="000F407E"/>
    <w:rsid w:val="000F6456"/>
    <w:rsid w:val="000F6458"/>
    <w:rsid w:val="001039BC"/>
    <w:rsid w:val="001251C7"/>
    <w:rsid w:val="001279BE"/>
    <w:rsid w:val="0013251E"/>
    <w:rsid w:val="001445A9"/>
    <w:rsid w:val="00146307"/>
    <w:rsid w:val="001533B2"/>
    <w:rsid w:val="001623CF"/>
    <w:rsid w:val="00165D5C"/>
    <w:rsid w:val="00166B15"/>
    <w:rsid w:val="00174C8C"/>
    <w:rsid w:val="0017571E"/>
    <w:rsid w:val="00175AED"/>
    <w:rsid w:val="00191702"/>
    <w:rsid w:val="00192262"/>
    <w:rsid w:val="001A45C1"/>
    <w:rsid w:val="001A593B"/>
    <w:rsid w:val="001B52F3"/>
    <w:rsid w:val="001C264F"/>
    <w:rsid w:val="001D04AB"/>
    <w:rsid w:val="001D2521"/>
    <w:rsid w:val="001D3FFE"/>
    <w:rsid w:val="001D74AE"/>
    <w:rsid w:val="001E7CAD"/>
    <w:rsid w:val="001E7F96"/>
    <w:rsid w:val="001F125D"/>
    <w:rsid w:val="001F15CB"/>
    <w:rsid w:val="001F3EE0"/>
    <w:rsid w:val="001F533E"/>
    <w:rsid w:val="0021172E"/>
    <w:rsid w:val="00221DE2"/>
    <w:rsid w:val="00234298"/>
    <w:rsid w:val="002343BD"/>
    <w:rsid w:val="002471D4"/>
    <w:rsid w:val="00247EC1"/>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D3E65"/>
    <w:rsid w:val="002D671C"/>
    <w:rsid w:val="002E24D1"/>
    <w:rsid w:val="002E79D9"/>
    <w:rsid w:val="002E7B0A"/>
    <w:rsid w:val="002F0D86"/>
    <w:rsid w:val="002F2B53"/>
    <w:rsid w:val="002F3D77"/>
    <w:rsid w:val="00301E24"/>
    <w:rsid w:val="00303860"/>
    <w:rsid w:val="00304C78"/>
    <w:rsid w:val="00311075"/>
    <w:rsid w:val="003117E6"/>
    <w:rsid w:val="0031471A"/>
    <w:rsid w:val="00332619"/>
    <w:rsid w:val="00333802"/>
    <w:rsid w:val="003467B5"/>
    <w:rsid w:val="00355B7C"/>
    <w:rsid w:val="00357DC6"/>
    <w:rsid w:val="00361065"/>
    <w:rsid w:val="0036248F"/>
    <w:rsid w:val="00376D40"/>
    <w:rsid w:val="00382BCB"/>
    <w:rsid w:val="00391944"/>
    <w:rsid w:val="00393949"/>
    <w:rsid w:val="003948AF"/>
    <w:rsid w:val="00394BBC"/>
    <w:rsid w:val="00395C82"/>
    <w:rsid w:val="00396AF7"/>
    <w:rsid w:val="003A4AC6"/>
    <w:rsid w:val="003B748F"/>
    <w:rsid w:val="003C2820"/>
    <w:rsid w:val="003C3CB5"/>
    <w:rsid w:val="003C5A1A"/>
    <w:rsid w:val="003D0424"/>
    <w:rsid w:val="003D32D7"/>
    <w:rsid w:val="003F4E13"/>
    <w:rsid w:val="003F5868"/>
    <w:rsid w:val="003F6960"/>
    <w:rsid w:val="0040020D"/>
    <w:rsid w:val="00405ADB"/>
    <w:rsid w:val="004254EE"/>
    <w:rsid w:val="00430D19"/>
    <w:rsid w:val="00433480"/>
    <w:rsid w:val="0043655D"/>
    <w:rsid w:val="00437D86"/>
    <w:rsid w:val="00441246"/>
    <w:rsid w:val="00441E0B"/>
    <w:rsid w:val="00451CEB"/>
    <w:rsid w:val="00452A46"/>
    <w:rsid w:val="00454581"/>
    <w:rsid w:val="00454978"/>
    <w:rsid w:val="00467E81"/>
    <w:rsid w:val="004712E5"/>
    <w:rsid w:val="004744B6"/>
    <w:rsid w:val="004748B9"/>
    <w:rsid w:val="00477BA8"/>
    <w:rsid w:val="00477EB2"/>
    <w:rsid w:val="0048111A"/>
    <w:rsid w:val="00486526"/>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16C20"/>
    <w:rsid w:val="0052094C"/>
    <w:rsid w:val="00534A41"/>
    <w:rsid w:val="0053650E"/>
    <w:rsid w:val="00542535"/>
    <w:rsid w:val="00544E6E"/>
    <w:rsid w:val="00547910"/>
    <w:rsid w:val="00551033"/>
    <w:rsid w:val="00557859"/>
    <w:rsid w:val="00560AC4"/>
    <w:rsid w:val="00563FE4"/>
    <w:rsid w:val="00567790"/>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D7906"/>
    <w:rsid w:val="005E088E"/>
    <w:rsid w:val="005E0F00"/>
    <w:rsid w:val="005E38DC"/>
    <w:rsid w:val="005F4D9C"/>
    <w:rsid w:val="005F7E5C"/>
    <w:rsid w:val="00604996"/>
    <w:rsid w:val="00605B67"/>
    <w:rsid w:val="0061388F"/>
    <w:rsid w:val="006163B1"/>
    <w:rsid w:val="00616874"/>
    <w:rsid w:val="00624F02"/>
    <w:rsid w:val="0062589F"/>
    <w:rsid w:val="00626EA8"/>
    <w:rsid w:val="00641CEA"/>
    <w:rsid w:val="0065080E"/>
    <w:rsid w:val="00655229"/>
    <w:rsid w:val="00656B0C"/>
    <w:rsid w:val="0066309A"/>
    <w:rsid w:val="0066627D"/>
    <w:rsid w:val="006825DB"/>
    <w:rsid w:val="006832A2"/>
    <w:rsid w:val="00684A20"/>
    <w:rsid w:val="00690EC4"/>
    <w:rsid w:val="006962CB"/>
    <w:rsid w:val="006A0BB0"/>
    <w:rsid w:val="006A7F42"/>
    <w:rsid w:val="006B1117"/>
    <w:rsid w:val="006B4697"/>
    <w:rsid w:val="006D17EF"/>
    <w:rsid w:val="006E4941"/>
    <w:rsid w:val="006E55E9"/>
    <w:rsid w:val="006E5DE5"/>
    <w:rsid w:val="006E7335"/>
    <w:rsid w:val="006F13B1"/>
    <w:rsid w:val="006F1E9F"/>
    <w:rsid w:val="006F552F"/>
    <w:rsid w:val="006F6724"/>
    <w:rsid w:val="0070004D"/>
    <w:rsid w:val="007006AE"/>
    <w:rsid w:val="00702423"/>
    <w:rsid w:val="00702449"/>
    <w:rsid w:val="00702F48"/>
    <w:rsid w:val="007045B8"/>
    <w:rsid w:val="00705694"/>
    <w:rsid w:val="00707D71"/>
    <w:rsid w:val="00714CEA"/>
    <w:rsid w:val="007159A1"/>
    <w:rsid w:val="0071642F"/>
    <w:rsid w:val="00722DD7"/>
    <w:rsid w:val="00722E97"/>
    <w:rsid w:val="00725827"/>
    <w:rsid w:val="00725F68"/>
    <w:rsid w:val="0073075C"/>
    <w:rsid w:val="007315E0"/>
    <w:rsid w:val="0074144B"/>
    <w:rsid w:val="00741A3E"/>
    <w:rsid w:val="007443C2"/>
    <w:rsid w:val="00756CAD"/>
    <w:rsid w:val="007629BB"/>
    <w:rsid w:val="00762A82"/>
    <w:rsid w:val="007658A1"/>
    <w:rsid w:val="007703B8"/>
    <w:rsid w:val="00771227"/>
    <w:rsid w:val="00772D42"/>
    <w:rsid w:val="0077536A"/>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4051"/>
    <w:rsid w:val="007C51E4"/>
    <w:rsid w:val="007D4066"/>
    <w:rsid w:val="007E3EED"/>
    <w:rsid w:val="007F136D"/>
    <w:rsid w:val="007F60CB"/>
    <w:rsid w:val="00801AAB"/>
    <w:rsid w:val="00802D2C"/>
    <w:rsid w:val="0080773A"/>
    <w:rsid w:val="0081788D"/>
    <w:rsid w:val="00825398"/>
    <w:rsid w:val="008263AE"/>
    <w:rsid w:val="008318C0"/>
    <w:rsid w:val="00831A29"/>
    <w:rsid w:val="00832B61"/>
    <w:rsid w:val="00835A88"/>
    <w:rsid w:val="008438E2"/>
    <w:rsid w:val="008459CE"/>
    <w:rsid w:val="00847A69"/>
    <w:rsid w:val="008619E1"/>
    <w:rsid w:val="00866E5A"/>
    <w:rsid w:val="008721DF"/>
    <w:rsid w:val="008738A9"/>
    <w:rsid w:val="00874501"/>
    <w:rsid w:val="00876EC6"/>
    <w:rsid w:val="00881C77"/>
    <w:rsid w:val="00882FB0"/>
    <w:rsid w:val="008839E0"/>
    <w:rsid w:val="00887017"/>
    <w:rsid w:val="00891007"/>
    <w:rsid w:val="00892540"/>
    <w:rsid w:val="008A1AFA"/>
    <w:rsid w:val="008A2CE2"/>
    <w:rsid w:val="008A3460"/>
    <w:rsid w:val="008A4AE4"/>
    <w:rsid w:val="008B539C"/>
    <w:rsid w:val="008B77D5"/>
    <w:rsid w:val="008C155D"/>
    <w:rsid w:val="008C297F"/>
    <w:rsid w:val="008D39F2"/>
    <w:rsid w:val="008D4634"/>
    <w:rsid w:val="008E4CD7"/>
    <w:rsid w:val="008E58F7"/>
    <w:rsid w:val="008E6EC1"/>
    <w:rsid w:val="008F132E"/>
    <w:rsid w:val="008F6094"/>
    <w:rsid w:val="00903815"/>
    <w:rsid w:val="00903C0A"/>
    <w:rsid w:val="009062C4"/>
    <w:rsid w:val="0090723B"/>
    <w:rsid w:val="00910193"/>
    <w:rsid w:val="00921F45"/>
    <w:rsid w:val="0092312D"/>
    <w:rsid w:val="00933628"/>
    <w:rsid w:val="00935BAF"/>
    <w:rsid w:val="0094409B"/>
    <w:rsid w:val="009465EA"/>
    <w:rsid w:val="009506DC"/>
    <w:rsid w:val="009566C4"/>
    <w:rsid w:val="00956DD9"/>
    <w:rsid w:val="009628AE"/>
    <w:rsid w:val="00962969"/>
    <w:rsid w:val="00967A04"/>
    <w:rsid w:val="00973509"/>
    <w:rsid w:val="00977BBE"/>
    <w:rsid w:val="00977E7B"/>
    <w:rsid w:val="00986792"/>
    <w:rsid w:val="009871EF"/>
    <w:rsid w:val="009904D9"/>
    <w:rsid w:val="00991292"/>
    <w:rsid w:val="00991AEE"/>
    <w:rsid w:val="0099252E"/>
    <w:rsid w:val="00993CBF"/>
    <w:rsid w:val="00997D63"/>
    <w:rsid w:val="009A000D"/>
    <w:rsid w:val="009A149B"/>
    <w:rsid w:val="009B33C8"/>
    <w:rsid w:val="009B5D57"/>
    <w:rsid w:val="009C15E2"/>
    <w:rsid w:val="009C33BF"/>
    <w:rsid w:val="009C3820"/>
    <w:rsid w:val="009D1395"/>
    <w:rsid w:val="009D503A"/>
    <w:rsid w:val="009E35EB"/>
    <w:rsid w:val="009E64F2"/>
    <w:rsid w:val="009E7875"/>
    <w:rsid w:val="009F6604"/>
    <w:rsid w:val="009F72D1"/>
    <w:rsid w:val="00A144A6"/>
    <w:rsid w:val="00A21627"/>
    <w:rsid w:val="00A2189E"/>
    <w:rsid w:val="00A37322"/>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2C3"/>
    <w:rsid w:val="00A87DCB"/>
    <w:rsid w:val="00AA5880"/>
    <w:rsid w:val="00AB49A1"/>
    <w:rsid w:val="00AC1161"/>
    <w:rsid w:val="00AD18DD"/>
    <w:rsid w:val="00AD562B"/>
    <w:rsid w:val="00AE0F0D"/>
    <w:rsid w:val="00AE3F47"/>
    <w:rsid w:val="00AE69BF"/>
    <w:rsid w:val="00AF7347"/>
    <w:rsid w:val="00B014DF"/>
    <w:rsid w:val="00B11B77"/>
    <w:rsid w:val="00B1624F"/>
    <w:rsid w:val="00B16987"/>
    <w:rsid w:val="00B17EF5"/>
    <w:rsid w:val="00B2068A"/>
    <w:rsid w:val="00B23F95"/>
    <w:rsid w:val="00B25BAB"/>
    <w:rsid w:val="00B26285"/>
    <w:rsid w:val="00B31ABA"/>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127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36279"/>
    <w:rsid w:val="00C44634"/>
    <w:rsid w:val="00C45644"/>
    <w:rsid w:val="00C51B56"/>
    <w:rsid w:val="00C5361C"/>
    <w:rsid w:val="00C53B3E"/>
    <w:rsid w:val="00C53BB8"/>
    <w:rsid w:val="00C61988"/>
    <w:rsid w:val="00C64316"/>
    <w:rsid w:val="00C67F89"/>
    <w:rsid w:val="00C71F74"/>
    <w:rsid w:val="00C73CFC"/>
    <w:rsid w:val="00C7490E"/>
    <w:rsid w:val="00C75104"/>
    <w:rsid w:val="00C76CA4"/>
    <w:rsid w:val="00C81CAD"/>
    <w:rsid w:val="00C84743"/>
    <w:rsid w:val="00C86E10"/>
    <w:rsid w:val="00C9160A"/>
    <w:rsid w:val="00C972C4"/>
    <w:rsid w:val="00CA1FEF"/>
    <w:rsid w:val="00CA25FC"/>
    <w:rsid w:val="00CA6A56"/>
    <w:rsid w:val="00CB2CEE"/>
    <w:rsid w:val="00CB4DE3"/>
    <w:rsid w:val="00CC2F35"/>
    <w:rsid w:val="00CC40C3"/>
    <w:rsid w:val="00CC7440"/>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A5EEE"/>
    <w:rsid w:val="00DB6F0A"/>
    <w:rsid w:val="00DD202F"/>
    <w:rsid w:val="00DD7BAA"/>
    <w:rsid w:val="00DE0FFA"/>
    <w:rsid w:val="00DE6A70"/>
    <w:rsid w:val="00DF3DF3"/>
    <w:rsid w:val="00DF5AA8"/>
    <w:rsid w:val="00E010FE"/>
    <w:rsid w:val="00E107BD"/>
    <w:rsid w:val="00E11D7D"/>
    <w:rsid w:val="00E1254C"/>
    <w:rsid w:val="00E16895"/>
    <w:rsid w:val="00E32614"/>
    <w:rsid w:val="00E33250"/>
    <w:rsid w:val="00E3526B"/>
    <w:rsid w:val="00E4621A"/>
    <w:rsid w:val="00E5059C"/>
    <w:rsid w:val="00E54C06"/>
    <w:rsid w:val="00E5664A"/>
    <w:rsid w:val="00E7407A"/>
    <w:rsid w:val="00E76C42"/>
    <w:rsid w:val="00E81A0A"/>
    <w:rsid w:val="00E90F34"/>
    <w:rsid w:val="00E964F7"/>
    <w:rsid w:val="00EA6F84"/>
    <w:rsid w:val="00EB7931"/>
    <w:rsid w:val="00ED548C"/>
    <w:rsid w:val="00ED7F3F"/>
    <w:rsid w:val="00EE1F72"/>
    <w:rsid w:val="00EE3379"/>
    <w:rsid w:val="00EE7E02"/>
    <w:rsid w:val="00EF043C"/>
    <w:rsid w:val="00EF49B3"/>
    <w:rsid w:val="00EF56E1"/>
    <w:rsid w:val="00EF73FD"/>
    <w:rsid w:val="00F00561"/>
    <w:rsid w:val="00F01150"/>
    <w:rsid w:val="00F01E3D"/>
    <w:rsid w:val="00F04DC2"/>
    <w:rsid w:val="00F066D9"/>
    <w:rsid w:val="00F067E6"/>
    <w:rsid w:val="00F25F52"/>
    <w:rsid w:val="00F31C00"/>
    <w:rsid w:val="00F36EEE"/>
    <w:rsid w:val="00F469D5"/>
    <w:rsid w:val="00F47FEE"/>
    <w:rsid w:val="00F527B3"/>
    <w:rsid w:val="00F632AF"/>
    <w:rsid w:val="00F6382D"/>
    <w:rsid w:val="00F63F55"/>
    <w:rsid w:val="00F64211"/>
    <w:rsid w:val="00F66378"/>
    <w:rsid w:val="00F71C51"/>
    <w:rsid w:val="00F77F4B"/>
    <w:rsid w:val="00F830B1"/>
    <w:rsid w:val="00F9100C"/>
    <w:rsid w:val="00F93993"/>
    <w:rsid w:val="00FA0934"/>
    <w:rsid w:val="00FA653D"/>
    <w:rsid w:val="00FB23EE"/>
    <w:rsid w:val="00FC34DF"/>
    <w:rsid w:val="00FD658E"/>
    <w:rsid w:val="00FE0C5A"/>
    <w:rsid w:val="00FE13A2"/>
    <w:rsid w:val="14FA790D"/>
    <w:rsid w:val="4E472530"/>
    <w:rsid w:val="5346623E"/>
    <w:rsid w:val="79EE27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24F02"/>
    <w:pPr>
      <w:jc w:val="left"/>
    </w:pPr>
  </w:style>
  <w:style w:type="paragraph" w:styleId="a4">
    <w:name w:val="Date"/>
    <w:basedOn w:val="a"/>
    <w:next w:val="a"/>
    <w:link w:val="Char0"/>
    <w:uiPriority w:val="99"/>
    <w:semiHidden/>
    <w:unhideWhenUsed/>
    <w:rsid w:val="00624F02"/>
    <w:pPr>
      <w:ind w:leftChars="2500" w:left="100"/>
    </w:pPr>
  </w:style>
  <w:style w:type="paragraph" w:styleId="a5">
    <w:name w:val="Balloon Text"/>
    <w:basedOn w:val="a"/>
    <w:link w:val="Char1"/>
    <w:uiPriority w:val="99"/>
    <w:semiHidden/>
    <w:unhideWhenUsed/>
    <w:rsid w:val="00624F02"/>
    <w:rPr>
      <w:sz w:val="18"/>
      <w:szCs w:val="18"/>
    </w:rPr>
  </w:style>
  <w:style w:type="paragraph" w:styleId="a6">
    <w:name w:val="footer"/>
    <w:basedOn w:val="a"/>
    <w:link w:val="Char2"/>
    <w:uiPriority w:val="99"/>
    <w:unhideWhenUsed/>
    <w:qFormat/>
    <w:rsid w:val="00624F02"/>
    <w:pPr>
      <w:tabs>
        <w:tab w:val="center" w:pos="4153"/>
        <w:tab w:val="right" w:pos="8306"/>
      </w:tabs>
      <w:snapToGrid w:val="0"/>
      <w:jc w:val="left"/>
    </w:pPr>
    <w:rPr>
      <w:sz w:val="18"/>
      <w:szCs w:val="18"/>
    </w:rPr>
  </w:style>
  <w:style w:type="paragraph" w:styleId="a7">
    <w:name w:val="header"/>
    <w:basedOn w:val="a"/>
    <w:link w:val="Char3"/>
    <w:uiPriority w:val="99"/>
    <w:unhideWhenUsed/>
    <w:rsid w:val="00624F02"/>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rsid w:val="00624F02"/>
    <w:pPr>
      <w:snapToGrid w:val="0"/>
      <w:jc w:val="left"/>
    </w:pPr>
    <w:rPr>
      <w:sz w:val="18"/>
      <w:szCs w:val="18"/>
    </w:rPr>
  </w:style>
  <w:style w:type="paragraph" w:styleId="a9">
    <w:name w:val="annotation subject"/>
    <w:basedOn w:val="a3"/>
    <w:next w:val="a3"/>
    <w:link w:val="Char5"/>
    <w:uiPriority w:val="99"/>
    <w:semiHidden/>
    <w:unhideWhenUsed/>
    <w:rsid w:val="00624F02"/>
    <w:rPr>
      <w:b/>
      <w:bCs/>
    </w:rPr>
  </w:style>
  <w:style w:type="table" w:styleId="aa">
    <w:name w:val="Table Grid"/>
    <w:basedOn w:val="a1"/>
    <w:uiPriority w:val="59"/>
    <w:rsid w:val="00624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24F02"/>
    <w:rPr>
      <w:color w:val="0000FF" w:themeColor="hyperlink"/>
      <w:u w:val="single"/>
    </w:rPr>
  </w:style>
  <w:style w:type="character" w:styleId="ac">
    <w:name w:val="annotation reference"/>
    <w:basedOn w:val="a0"/>
    <w:uiPriority w:val="99"/>
    <w:semiHidden/>
    <w:unhideWhenUsed/>
    <w:rsid w:val="00624F02"/>
    <w:rPr>
      <w:sz w:val="21"/>
      <w:szCs w:val="21"/>
    </w:rPr>
  </w:style>
  <w:style w:type="character" w:styleId="ad">
    <w:name w:val="footnote reference"/>
    <w:basedOn w:val="a0"/>
    <w:uiPriority w:val="99"/>
    <w:semiHidden/>
    <w:unhideWhenUsed/>
    <w:rsid w:val="00624F02"/>
    <w:rPr>
      <w:vertAlign w:val="superscript"/>
    </w:rPr>
  </w:style>
  <w:style w:type="character" w:customStyle="1" w:styleId="Char3">
    <w:name w:val="页眉 Char"/>
    <w:basedOn w:val="a0"/>
    <w:link w:val="a7"/>
    <w:uiPriority w:val="99"/>
    <w:qFormat/>
    <w:rsid w:val="00624F02"/>
    <w:rPr>
      <w:sz w:val="18"/>
      <w:szCs w:val="18"/>
    </w:rPr>
  </w:style>
  <w:style w:type="character" w:customStyle="1" w:styleId="Char2">
    <w:name w:val="页脚 Char"/>
    <w:basedOn w:val="a0"/>
    <w:link w:val="a6"/>
    <w:uiPriority w:val="99"/>
    <w:rsid w:val="00624F02"/>
    <w:rPr>
      <w:sz w:val="18"/>
      <w:szCs w:val="18"/>
    </w:rPr>
  </w:style>
  <w:style w:type="paragraph" w:styleId="ae">
    <w:name w:val="List Paragraph"/>
    <w:basedOn w:val="a"/>
    <w:uiPriority w:val="34"/>
    <w:qFormat/>
    <w:rsid w:val="00624F02"/>
    <w:pPr>
      <w:ind w:firstLineChars="200" w:firstLine="420"/>
    </w:pPr>
  </w:style>
  <w:style w:type="character" w:customStyle="1" w:styleId="Char1">
    <w:name w:val="批注框文本 Char"/>
    <w:basedOn w:val="a0"/>
    <w:link w:val="a5"/>
    <w:uiPriority w:val="99"/>
    <w:semiHidden/>
    <w:qFormat/>
    <w:rsid w:val="00624F02"/>
    <w:rPr>
      <w:sz w:val="18"/>
      <w:szCs w:val="18"/>
    </w:rPr>
  </w:style>
  <w:style w:type="character" w:customStyle="1" w:styleId="Char">
    <w:name w:val="批注文字 Char"/>
    <w:basedOn w:val="a0"/>
    <w:link w:val="a3"/>
    <w:uiPriority w:val="99"/>
    <w:semiHidden/>
    <w:rsid w:val="00624F02"/>
  </w:style>
  <w:style w:type="character" w:customStyle="1" w:styleId="Char5">
    <w:name w:val="批注主题 Char"/>
    <w:basedOn w:val="Char"/>
    <w:link w:val="a9"/>
    <w:uiPriority w:val="99"/>
    <w:semiHidden/>
    <w:qFormat/>
    <w:rsid w:val="00624F02"/>
    <w:rPr>
      <w:b/>
      <w:bCs/>
    </w:rPr>
  </w:style>
  <w:style w:type="character" w:customStyle="1" w:styleId="Char4">
    <w:name w:val="脚注文本 Char"/>
    <w:basedOn w:val="a0"/>
    <w:link w:val="a8"/>
    <w:uiPriority w:val="99"/>
    <w:semiHidden/>
    <w:qFormat/>
    <w:rsid w:val="00624F02"/>
    <w:rPr>
      <w:sz w:val="18"/>
      <w:szCs w:val="18"/>
    </w:rPr>
  </w:style>
  <w:style w:type="character" w:customStyle="1" w:styleId="Char0">
    <w:name w:val="日期 Char"/>
    <w:basedOn w:val="a0"/>
    <w:link w:val="a4"/>
    <w:uiPriority w:val="99"/>
    <w:semiHidden/>
    <w:rsid w:val="00624F0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93A33-D603-4ACC-83F1-A528AA79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1143</Characters>
  <Application>Microsoft Office Word</Application>
  <DocSecurity>4</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2025-04-20T16:01:00Z</dcterms:created>
  <dcterms:modified xsi:type="dcterms:W3CDTF">2025-04-20T16:01:00Z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