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45FCD">
      <w:pPr>
        <w:spacing w:line="360" w:lineRule="auto"/>
        <w:jc w:val="center"/>
        <w:rPr>
          <w:rStyle w:val="da"/>
          <w:rFonts w:ascii="黑体" w:eastAsia="黑体" w:hAnsi="黑体" w:cs="黑体" w:hint="eastAsia"/>
          <w:b/>
          <w:bCs/>
          <w:sz w:val="28"/>
          <w:szCs w:val="28"/>
        </w:rPr>
      </w:pPr>
      <w:r>
        <w:rPr>
          <w:rStyle w:val="da"/>
          <w:rFonts w:ascii="黑体" w:eastAsia="黑体" w:hAnsi="黑体" w:cs="黑体" w:hint="eastAsia"/>
          <w:b/>
          <w:bCs/>
          <w:sz w:val="28"/>
          <w:szCs w:val="28"/>
        </w:rPr>
        <w:t>东吴基金管理有限公司关于旗下</w:t>
      </w:r>
      <w:r>
        <w:rPr>
          <w:rStyle w:val="da"/>
          <w:rFonts w:ascii="黑体" w:eastAsia="黑体" w:hAnsi="黑体" w:cs="黑体" w:hint="eastAsia"/>
          <w:b/>
          <w:bCs/>
          <w:sz w:val="28"/>
          <w:szCs w:val="28"/>
        </w:rPr>
        <w:t>部分</w:t>
      </w:r>
      <w:r>
        <w:rPr>
          <w:rStyle w:val="da"/>
          <w:rFonts w:ascii="黑体" w:eastAsia="黑体" w:hAnsi="黑体" w:cs="黑体" w:hint="eastAsia"/>
          <w:b/>
          <w:bCs/>
          <w:sz w:val="28"/>
          <w:szCs w:val="28"/>
        </w:rPr>
        <w:t>基金新增广发证券股份有限公司为代销机构</w:t>
      </w:r>
      <w:r>
        <w:rPr>
          <w:rStyle w:val="da"/>
          <w:rFonts w:ascii="黑体" w:eastAsia="黑体" w:hAnsi="黑体" w:cs="黑体" w:hint="eastAsia"/>
          <w:b/>
          <w:bCs/>
          <w:sz w:val="28"/>
          <w:szCs w:val="28"/>
        </w:rPr>
        <w:t>、开通</w:t>
      </w:r>
      <w:r>
        <w:rPr>
          <w:rStyle w:val="da"/>
          <w:rFonts w:ascii="黑体" w:eastAsia="黑体" w:hAnsi="黑体" w:cs="黑体" w:hint="eastAsia"/>
          <w:b/>
          <w:bCs/>
          <w:sz w:val="28"/>
          <w:szCs w:val="28"/>
        </w:rPr>
        <w:t>定期定额</w:t>
      </w:r>
      <w:r>
        <w:rPr>
          <w:rStyle w:val="da"/>
          <w:rFonts w:ascii="黑体" w:eastAsia="黑体" w:hAnsi="黑体" w:cs="黑体" w:hint="eastAsia"/>
          <w:b/>
          <w:bCs/>
          <w:sz w:val="28"/>
          <w:szCs w:val="28"/>
        </w:rPr>
        <w:t>投资</w:t>
      </w:r>
      <w:r>
        <w:rPr>
          <w:rStyle w:val="da"/>
          <w:rFonts w:ascii="黑体" w:eastAsia="黑体" w:hAnsi="黑体" w:cs="黑体" w:hint="eastAsia"/>
          <w:b/>
          <w:bCs/>
          <w:sz w:val="28"/>
          <w:szCs w:val="28"/>
        </w:rPr>
        <w:t>及转换业务</w:t>
      </w:r>
      <w:r>
        <w:rPr>
          <w:rStyle w:val="da"/>
          <w:rFonts w:ascii="黑体" w:eastAsia="黑体" w:hAnsi="黑体" w:cs="黑体" w:hint="eastAsia"/>
          <w:b/>
          <w:bCs/>
          <w:sz w:val="28"/>
          <w:szCs w:val="28"/>
        </w:rPr>
        <w:t>的公告</w:t>
      </w:r>
    </w:p>
    <w:p w:rsidR="00000000" w:rsidRDefault="00845FCD">
      <w:pPr>
        <w:spacing w:line="400" w:lineRule="exact"/>
        <w:jc w:val="center"/>
        <w:rPr>
          <w:rStyle w:val="da"/>
          <w:rFonts w:ascii="宋体" w:hAnsi="宋体" w:hint="eastAsia"/>
          <w:b/>
          <w:bCs/>
        </w:rPr>
      </w:pPr>
    </w:p>
    <w:p w:rsidR="00000000" w:rsidRDefault="00845FCD">
      <w:pPr>
        <w:widowControl/>
        <w:spacing w:line="360" w:lineRule="auto"/>
        <w:ind w:firstLineChars="200" w:firstLine="420"/>
        <w:jc w:val="left"/>
        <w:rPr>
          <w:rFonts w:cs="宋体" w:hint="eastAsia"/>
          <w:kern w:val="0"/>
          <w:szCs w:val="21"/>
        </w:rPr>
      </w:pPr>
      <w:r>
        <w:rPr>
          <w:rFonts w:cs="宋体" w:hint="eastAsia"/>
          <w:kern w:val="0"/>
          <w:szCs w:val="21"/>
        </w:rPr>
        <w:t>一、新增广发证券股份有限公司为东吴基金管理有限公司旗下</w:t>
      </w:r>
      <w:r>
        <w:rPr>
          <w:rFonts w:cs="宋体" w:hint="eastAsia"/>
          <w:kern w:val="0"/>
          <w:szCs w:val="21"/>
        </w:rPr>
        <w:t>部分</w:t>
      </w:r>
      <w:r>
        <w:rPr>
          <w:rFonts w:cs="宋体" w:hint="eastAsia"/>
          <w:kern w:val="0"/>
          <w:szCs w:val="21"/>
        </w:rPr>
        <w:t>基金的代销机构</w:t>
      </w:r>
    </w:p>
    <w:p w:rsidR="00000000" w:rsidRDefault="00845FCD">
      <w:pPr>
        <w:widowControl/>
        <w:spacing w:line="360" w:lineRule="auto"/>
        <w:ind w:firstLineChars="200" w:firstLine="420"/>
        <w:jc w:val="left"/>
        <w:rPr>
          <w:rFonts w:cs="宋体" w:hint="eastAsia"/>
          <w:kern w:val="0"/>
          <w:szCs w:val="21"/>
        </w:rPr>
      </w:pPr>
      <w:r>
        <w:rPr>
          <w:rFonts w:cs="宋体" w:hint="eastAsia"/>
          <w:kern w:val="0"/>
          <w:szCs w:val="21"/>
        </w:rPr>
        <w:t>根据东吴基金管理有限公司（以下简称“东吴基金”）与广发证券股份有限公司（以下简称</w:t>
      </w:r>
      <w:r>
        <w:rPr>
          <w:rFonts w:cs="宋体" w:hint="eastAsia"/>
          <w:kern w:val="0"/>
          <w:szCs w:val="21"/>
        </w:rPr>
        <w:t>“</w:t>
      </w:r>
      <w:r>
        <w:rPr>
          <w:rFonts w:cs="宋体" w:hint="eastAsia"/>
          <w:kern w:val="0"/>
          <w:szCs w:val="21"/>
        </w:rPr>
        <w:t>广发证券</w:t>
      </w:r>
      <w:r>
        <w:rPr>
          <w:rFonts w:cs="宋体" w:hint="eastAsia"/>
          <w:kern w:val="0"/>
          <w:szCs w:val="21"/>
        </w:rPr>
        <w:t>”</w:t>
      </w:r>
      <w:r>
        <w:rPr>
          <w:rFonts w:cs="宋体" w:hint="eastAsia"/>
          <w:kern w:val="0"/>
          <w:szCs w:val="21"/>
        </w:rPr>
        <w:t>）签署的开放式基金代销协议，</w:t>
      </w:r>
      <w:r>
        <w:rPr>
          <w:rFonts w:cs="宋体" w:hint="eastAsia"/>
          <w:kern w:val="0"/>
          <w:szCs w:val="21"/>
        </w:rPr>
        <w:t>自</w:t>
      </w:r>
      <w:r>
        <w:rPr>
          <w:rFonts w:cs="宋体" w:hint="eastAsia"/>
          <w:kern w:val="0"/>
          <w:szCs w:val="21"/>
        </w:rPr>
        <w:t>2025</w:t>
      </w:r>
      <w:r>
        <w:rPr>
          <w:rFonts w:cs="宋体" w:hint="eastAsia"/>
          <w:kern w:val="0"/>
          <w:szCs w:val="21"/>
        </w:rPr>
        <w:t>年</w:t>
      </w:r>
      <w:r>
        <w:rPr>
          <w:rFonts w:cs="宋体" w:hint="eastAsia"/>
          <w:kern w:val="0"/>
          <w:szCs w:val="21"/>
        </w:rPr>
        <w:t>4</w:t>
      </w:r>
      <w:r>
        <w:rPr>
          <w:rFonts w:cs="宋体" w:hint="eastAsia"/>
          <w:kern w:val="0"/>
          <w:szCs w:val="21"/>
        </w:rPr>
        <w:t>月</w:t>
      </w:r>
      <w:r>
        <w:rPr>
          <w:rFonts w:cs="宋体" w:hint="eastAsia"/>
          <w:kern w:val="0"/>
          <w:szCs w:val="21"/>
        </w:rPr>
        <w:t>22</w:t>
      </w:r>
      <w:r>
        <w:rPr>
          <w:rFonts w:cs="宋体" w:hint="eastAsia"/>
          <w:kern w:val="0"/>
          <w:szCs w:val="21"/>
        </w:rPr>
        <w:t>日</w:t>
      </w:r>
      <w:r>
        <w:rPr>
          <w:rFonts w:cs="宋体" w:hint="eastAsia"/>
          <w:kern w:val="0"/>
          <w:szCs w:val="21"/>
        </w:rPr>
        <w:t>起通过</w:t>
      </w:r>
      <w:r>
        <w:rPr>
          <w:rFonts w:cs="宋体" w:hint="eastAsia"/>
          <w:kern w:val="0"/>
          <w:szCs w:val="21"/>
        </w:rPr>
        <w:t>广发证券</w:t>
      </w:r>
      <w:r>
        <w:rPr>
          <w:rFonts w:cs="宋体" w:hint="eastAsia"/>
          <w:color w:val="000000"/>
          <w:kern w:val="0"/>
          <w:szCs w:val="21"/>
        </w:rPr>
        <w:t>的</w:t>
      </w:r>
      <w:r>
        <w:rPr>
          <w:rFonts w:cs="宋体" w:hint="eastAsia"/>
          <w:szCs w:val="21"/>
        </w:rPr>
        <w:t>销售网点或基金电子交易平台</w:t>
      </w:r>
      <w:r>
        <w:rPr>
          <w:rFonts w:cs="宋体" w:hint="eastAsia"/>
          <w:kern w:val="0"/>
          <w:szCs w:val="21"/>
        </w:rPr>
        <w:t>接受投资者办理</w:t>
      </w:r>
      <w:r>
        <w:rPr>
          <w:rFonts w:cs="宋体" w:hint="eastAsia"/>
          <w:szCs w:val="21"/>
        </w:rPr>
        <w:t>东吴基金旗下管理的</w:t>
      </w:r>
      <w:r>
        <w:rPr>
          <w:rFonts w:cs="宋体" w:hint="eastAsia"/>
          <w:szCs w:val="21"/>
        </w:rPr>
        <w:t>部分</w:t>
      </w:r>
      <w:r>
        <w:rPr>
          <w:rFonts w:cs="宋体" w:hint="eastAsia"/>
          <w:szCs w:val="21"/>
        </w:rPr>
        <w:t>证券投资基金</w:t>
      </w:r>
      <w:r>
        <w:rPr>
          <w:rFonts w:cs="宋体" w:hint="eastAsia"/>
          <w:kern w:val="0"/>
          <w:szCs w:val="21"/>
        </w:rPr>
        <w:t>的开户、申购和赎回等业务，具体包括：</w:t>
      </w:r>
      <w:r>
        <w:rPr>
          <w:rFonts w:cs="宋体" w:hint="eastAsia"/>
          <w:kern w:val="0"/>
          <w:szCs w:val="21"/>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5940"/>
        <w:gridCol w:w="1602"/>
      </w:tblGrid>
      <w:tr w:rsidR="00000000">
        <w:trPr>
          <w:trHeight w:val="90"/>
          <w:jc w:val="center"/>
        </w:trPr>
        <w:tc>
          <w:tcPr>
            <w:tcW w:w="676" w:type="dxa"/>
          </w:tcPr>
          <w:p w:rsidR="00000000" w:rsidRDefault="00845FCD">
            <w:pPr>
              <w:widowControl/>
              <w:spacing w:line="400" w:lineRule="exact"/>
              <w:jc w:val="center"/>
              <w:rPr>
                <w:rFonts w:ascii="宋体" w:hAnsi="宋体" w:cs="宋体" w:hint="eastAsia"/>
                <w:b/>
                <w:szCs w:val="21"/>
              </w:rPr>
            </w:pPr>
            <w:r>
              <w:rPr>
                <w:rFonts w:ascii="宋体" w:hAnsi="宋体" w:cs="宋体" w:hint="eastAsia"/>
                <w:b/>
                <w:szCs w:val="21"/>
              </w:rPr>
              <w:t>序号</w:t>
            </w:r>
          </w:p>
        </w:tc>
        <w:tc>
          <w:tcPr>
            <w:tcW w:w="5940" w:type="dxa"/>
          </w:tcPr>
          <w:p w:rsidR="00000000" w:rsidRDefault="00845FCD">
            <w:pPr>
              <w:widowControl/>
              <w:spacing w:line="400" w:lineRule="exact"/>
              <w:jc w:val="center"/>
              <w:rPr>
                <w:rFonts w:ascii="宋体" w:hAnsi="宋体" w:cs="宋体" w:hint="eastAsia"/>
                <w:b/>
                <w:szCs w:val="21"/>
              </w:rPr>
            </w:pPr>
            <w:r>
              <w:rPr>
                <w:rFonts w:ascii="宋体" w:hAnsi="宋体" w:cs="宋体" w:hint="eastAsia"/>
                <w:b/>
                <w:szCs w:val="21"/>
              </w:rPr>
              <w:t>基金名称</w:t>
            </w:r>
          </w:p>
        </w:tc>
        <w:tc>
          <w:tcPr>
            <w:tcW w:w="1602" w:type="dxa"/>
          </w:tcPr>
          <w:p w:rsidR="00000000" w:rsidRDefault="00845FCD">
            <w:pPr>
              <w:widowControl/>
              <w:spacing w:line="400" w:lineRule="exact"/>
              <w:jc w:val="center"/>
              <w:rPr>
                <w:rFonts w:ascii="宋体" w:hAnsi="宋体" w:cs="宋体" w:hint="eastAsia"/>
                <w:b/>
                <w:szCs w:val="21"/>
              </w:rPr>
            </w:pPr>
            <w:r>
              <w:rPr>
                <w:rFonts w:ascii="宋体" w:hAnsi="宋体" w:cs="宋体" w:hint="eastAsia"/>
                <w:b/>
                <w:szCs w:val="21"/>
              </w:rPr>
              <w:t>基金代码</w:t>
            </w:r>
          </w:p>
        </w:tc>
      </w:tr>
      <w:tr w:rsidR="00000000">
        <w:trPr>
          <w:trHeight w:val="385"/>
          <w:jc w:val="center"/>
        </w:trPr>
        <w:tc>
          <w:tcPr>
            <w:tcW w:w="676" w:type="dxa"/>
          </w:tcPr>
          <w:p w:rsidR="00000000" w:rsidRDefault="00845FCD">
            <w:pPr>
              <w:widowControl/>
              <w:numPr>
                <w:ilvl w:val="0"/>
                <w:numId w:val="2"/>
              </w:numPr>
              <w:spacing w:line="400" w:lineRule="exact"/>
              <w:jc w:val="center"/>
              <w:rPr>
                <w:rFonts w:ascii="Times New Roman" w:hAnsi="Times New Roman" w:cs="宋体" w:hint="eastAsia"/>
                <w:szCs w:val="21"/>
              </w:rPr>
            </w:pPr>
          </w:p>
        </w:tc>
        <w:tc>
          <w:tcPr>
            <w:tcW w:w="5940" w:type="dxa"/>
            <w:vAlign w:val="center"/>
          </w:tcPr>
          <w:p w:rsidR="00000000" w:rsidRDefault="00845FCD">
            <w:pPr>
              <w:widowControl/>
              <w:textAlignment w:val="center"/>
              <w:rPr>
                <w:rFonts w:ascii="Times New Roman" w:hAnsi="Times New Roman" w:cs="宋体" w:hint="eastAsia"/>
                <w:color w:val="000000"/>
                <w:kern w:val="0"/>
                <w:szCs w:val="21"/>
                <w:lang/>
              </w:rPr>
            </w:pPr>
            <w:r>
              <w:rPr>
                <w:rFonts w:ascii="Times New Roman" w:hAnsi="Times New Roman" w:cs="宋体" w:hint="eastAsia"/>
                <w:szCs w:val="21"/>
                <w:lang/>
              </w:rPr>
              <w:t>东吴新产业精选股票型证券投资</w:t>
            </w:r>
            <w:r>
              <w:rPr>
                <w:rFonts w:ascii="Times New Roman" w:hAnsi="Times New Roman" w:cs="宋体" w:hint="eastAsia"/>
                <w:szCs w:val="21"/>
                <w:lang/>
              </w:rPr>
              <w:t>基金</w:t>
            </w:r>
            <w:r>
              <w:rPr>
                <w:rFonts w:ascii="Times New Roman" w:hAnsi="Times New Roman" w:cs="宋体" w:hint="eastAsia"/>
                <w:szCs w:val="21"/>
                <w:lang/>
              </w:rPr>
              <w:t>A</w:t>
            </w:r>
            <w:r>
              <w:rPr>
                <w:rFonts w:ascii="Times New Roman" w:hAnsi="Times New Roman" w:cs="宋体" w:hint="eastAsia"/>
                <w:szCs w:val="21"/>
                <w:lang/>
              </w:rPr>
              <w:t>类</w:t>
            </w:r>
            <w:r>
              <w:rPr>
                <w:rFonts w:ascii="Times New Roman" w:hAnsi="Times New Roman" w:cs="宋体" w:hint="eastAsia"/>
                <w:szCs w:val="21"/>
                <w:lang/>
              </w:rPr>
              <w:t>/C</w:t>
            </w:r>
            <w:r>
              <w:rPr>
                <w:rFonts w:ascii="Times New Roman" w:hAnsi="Times New Roman" w:cs="宋体" w:hint="eastAsia"/>
                <w:szCs w:val="21"/>
                <w:lang/>
              </w:rPr>
              <w:t>类</w:t>
            </w:r>
          </w:p>
        </w:tc>
        <w:tc>
          <w:tcPr>
            <w:tcW w:w="1602" w:type="dxa"/>
            <w:vAlign w:val="center"/>
          </w:tcPr>
          <w:p w:rsidR="00000000" w:rsidRDefault="00845FCD">
            <w:pPr>
              <w:widowControl/>
              <w:spacing w:line="400" w:lineRule="exact"/>
              <w:jc w:val="left"/>
              <w:rPr>
                <w:rFonts w:ascii="Times New Roman" w:hAnsi="Times New Roman" w:cs="宋体"/>
                <w:color w:val="000000"/>
                <w:kern w:val="0"/>
                <w:szCs w:val="21"/>
                <w:lang/>
              </w:rPr>
            </w:pPr>
            <w:r>
              <w:rPr>
                <w:rFonts w:ascii="Times New Roman" w:hAnsi="Times New Roman" w:cs="宋体" w:hint="eastAsia"/>
                <w:szCs w:val="21"/>
                <w:lang/>
              </w:rPr>
              <w:t>580008/011470</w:t>
            </w:r>
          </w:p>
        </w:tc>
      </w:tr>
    </w:tbl>
    <w:p w:rsidR="00000000" w:rsidRDefault="00845FCD">
      <w:pPr>
        <w:widowControl/>
        <w:spacing w:line="360" w:lineRule="auto"/>
        <w:ind w:firstLineChars="200" w:firstLine="420"/>
        <w:jc w:val="left"/>
        <w:rPr>
          <w:rFonts w:cs="宋体" w:hint="eastAsia"/>
          <w:szCs w:val="21"/>
        </w:rPr>
      </w:pPr>
      <w:r>
        <w:rPr>
          <w:rFonts w:cs="宋体" w:hint="eastAsia"/>
          <w:szCs w:val="21"/>
        </w:rPr>
        <w:t>具体业务办理时间为：全天</w:t>
      </w:r>
      <w:r>
        <w:rPr>
          <w:rFonts w:cs="宋体" w:hint="eastAsia"/>
          <w:szCs w:val="21"/>
        </w:rPr>
        <w:t>24</w:t>
      </w:r>
      <w:r>
        <w:rPr>
          <w:rFonts w:cs="宋体" w:hint="eastAsia"/>
          <w:szCs w:val="21"/>
        </w:rPr>
        <w:t>小时接受委托，每个交易日</w:t>
      </w:r>
      <w:r>
        <w:rPr>
          <w:rFonts w:cs="宋体" w:hint="eastAsia"/>
          <w:szCs w:val="21"/>
        </w:rPr>
        <w:t>15</w:t>
      </w:r>
      <w:r>
        <w:rPr>
          <w:rFonts w:cs="宋体" w:hint="eastAsia"/>
          <w:szCs w:val="21"/>
        </w:rPr>
        <w:t>：</w:t>
      </w:r>
      <w:r>
        <w:rPr>
          <w:rFonts w:cs="宋体" w:hint="eastAsia"/>
          <w:szCs w:val="21"/>
        </w:rPr>
        <w:t>00</w:t>
      </w:r>
      <w:r>
        <w:rPr>
          <w:rFonts w:cs="宋体" w:hint="eastAsia"/>
          <w:szCs w:val="21"/>
        </w:rPr>
        <w:t>以后的委托将会在下一个交易日处理</w:t>
      </w:r>
      <w:r>
        <w:rPr>
          <w:rFonts w:cs="宋体" w:hint="eastAsia"/>
          <w:szCs w:val="21"/>
        </w:rPr>
        <w:t>，具体以销售机构相关规定为准。</w:t>
      </w:r>
    </w:p>
    <w:p w:rsidR="00000000" w:rsidRDefault="00845FCD">
      <w:pPr>
        <w:widowControl/>
        <w:spacing w:line="360" w:lineRule="auto"/>
        <w:ind w:firstLineChars="200" w:firstLine="420"/>
        <w:jc w:val="left"/>
        <w:rPr>
          <w:rFonts w:cs="宋体" w:hint="eastAsia"/>
          <w:szCs w:val="21"/>
        </w:rPr>
      </w:pPr>
      <w:r>
        <w:rPr>
          <w:rFonts w:cs="宋体" w:hint="eastAsia"/>
          <w:szCs w:val="21"/>
        </w:rPr>
        <w:t xml:space="preserve"> </w:t>
      </w:r>
    </w:p>
    <w:p w:rsidR="00000000" w:rsidRDefault="00845FCD">
      <w:pPr>
        <w:widowControl/>
        <w:spacing w:line="360" w:lineRule="auto"/>
        <w:ind w:firstLineChars="200" w:firstLine="420"/>
        <w:jc w:val="left"/>
        <w:rPr>
          <w:rFonts w:cs="宋体" w:hint="eastAsia"/>
          <w:szCs w:val="21"/>
        </w:rPr>
      </w:pPr>
      <w:r>
        <w:rPr>
          <w:rFonts w:cs="宋体" w:hint="eastAsia"/>
          <w:szCs w:val="21"/>
        </w:rPr>
        <w:t>二、开通东吴基金旗下部分基金定期定额投资业务</w:t>
      </w:r>
    </w:p>
    <w:p w:rsidR="00000000" w:rsidRDefault="00845FCD">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w:t>
      </w:r>
      <w:r>
        <w:rPr>
          <w:rFonts w:cs="宋体" w:hint="eastAsia"/>
          <w:szCs w:val="21"/>
        </w:rPr>
        <w:t>自</w:t>
      </w:r>
      <w:r>
        <w:rPr>
          <w:rFonts w:cs="宋体" w:hint="eastAsia"/>
          <w:szCs w:val="21"/>
        </w:rPr>
        <w:t>2025</w:t>
      </w:r>
      <w:r>
        <w:rPr>
          <w:rFonts w:cs="宋体" w:hint="eastAsia"/>
          <w:szCs w:val="21"/>
        </w:rPr>
        <w:t>年</w:t>
      </w:r>
      <w:r>
        <w:rPr>
          <w:rFonts w:cs="宋体" w:hint="eastAsia"/>
          <w:szCs w:val="21"/>
        </w:rPr>
        <w:t>4</w:t>
      </w:r>
      <w:r>
        <w:rPr>
          <w:rFonts w:cs="宋体" w:hint="eastAsia"/>
          <w:szCs w:val="21"/>
        </w:rPr>
        <w:t>月</w:t>
      </w:r>
      <w:r>
        <w:rPr>
          <w:rFonts w:cs="宋体" w:hint="eastAsia"/>
          <w:szCs w:val="21"/>
        </w:rPr>
        <w:t>22</w:t>
      </w:r>
      <w:r>
        <w:rPr>
          <w:rFonts w:cs="宋体" w:hint="eastAsia"/>
          <w:szCs w:val="21"/>
        </w:rPr>
        <w:t>日</w:t>
      </w:r>
      <w:r>
        <w:rPr>
          <w:rFonts w:cs="宋体" w:hint="eastAsia"/>
          <w:szCs w:val="21"/>
        </w:rPr>
        <w:t>起开通</w:t>
      </w:r>
      <w:r>
        <w:rPr>
          <w:rFonts w:cs="宋体" w:hint="eastAsia"/>
          <w:szCs w:val="21"/>
        </w:rPr>
        <w:t>上述基金</w:t>
      </w:r>
      <w:r>
        <w:rPr>
          <w:rFonts w:cs="宋体" w:hint="eastAsia"/>
          <w:szCs w:val="21"/>
        </w:rPr>
        <w:t>在</w:t>
      </w:r>
      <w:r>
        <w:rPr>
          <w:rFonts w:cs="宋体" w:hint="eastAsia"/>
          <w:kern w:val="0"/>
          <w:szCs w:val="21"/>
        </w:rPr>
        <w:t>广发证券</w:t>
      </w:r>
      <w:r>
        <w:rPr>
          <w:rFonts w:cs="宋体" w:hint="eastAsia"/>
          <w:szCs w:val="21"/>
        </w:rPr>
        <w:t>的定期定额投资业务</w:t>
      </w:r>
      <w:r>
        <w:rPr>
          <w:rFonts w:cs="宋体" w:hint="eastAsia"/>
          <w:szCs w:val="21"/>
        </w:rPr>
        <w:t>。</w:t>
      </w:r>
    </w:p>
    <w:p w:rsidR="00000000" w:rsidRDefault="00845FCD">
      <w:pPr>
        <w:spacing w:line="360" w:lineRule="auto"/>
        <w:ind w:firstLineChars="200" w:firstLine="420"/>
        <w:rPr>
          <w:rFonts w:cs="宋体" w:hint="eastAsia"/>
          <w:szCs w:val="21"/>
        </w:rPr>
      </w:pPr>
      <w:r>
        <w:rPr>
          <w:rFonts w:cs="宋体" w:hint="eastAsia"/>
          <w:szCs w:val="21"/>
        </w:rPr>
        <w:t>“定期定额投资业务”是基金申购业务的一种方式，投资者可以通过</w:t>
      </w:r>
      <w:r>
        <w:rPr>
          <w:rFonts w:cs="宋体" w:hint="eastAsia"/>
          <w:szCs w:val="21"/>
        </w:rPr>
        <w:t>广发证券</w:t>
      </w:r>
      <w:r>
        <w:rPr>
          <w:rFonts w:cs="宋体" w:hint="eastAsia"/>
          <w:szCs w:val="21"/>
        </w:rPr>
        <w:t>提交申请，约定每期扣款时间、扣款金额及扣款方式，由</w:t>
      </w:r>
      <w:r>
        <w:rPr>
          <w:rFonts w:cs="宋体" w:hint="eastAsia"/>
          <w:szCs w:val="21"/>
        </w:rPr>
        <w:t>广发证券</w:t>
      </w:r>
      <w:r>
        <w:rPr>
          <w:rFonts w:cs="宋体" w:hint="eastAsia"/>
          <w:szCs w:val="21"/>
        </w:rPr>
        <w:t>于约定扣款日在投资者指定</w:t>
      </w:r>
      <w:r>
        <w:rPr>
          <w:rFonts w:cs="宋体" w:hint="eastAsia"/>
          <w:szCs w:val="21"/>
        </w:rPr>
        <w:t>的</w:t>
      </w:r>
      <w:r>
        <w:rPr>
          <w:rFonts w:cs="宋体" w:hint="eastAsia"/>
          <w:szCs w:val="21"/>
        </w:rPr>
        <w:t>资金账户内自动完成扣款</w:t>
      </w:r>
      <w:r>
        <w:rPr>
          <w:rFonts w:cs="宋体" w:hint="eastAsia"/>
          <w:szCs w:val="21"/>
        </w:rPr>
        <w:t>以</w:t>
      </w:r>
      <w:r>
        <w:rPr>
          <w:rFonts w:cs="宋体" w:hint="eastAsia"/>
          <w:szCs w:val="21"/>
        </w:rPr>
        <w:t>及基金</w:t>
      </w:r>
      <w:r>
        <w:rPr>
          <w:rFonts w:cs="宋体" w:hint="eastAsia"/>
          <w:szCs w:val="21"/>
        </w:rPr>
        <w:t>申购业务。投资者在办理基金“定期定额投资业务”的同时，仍然可以进行日常申购、赎回业务。</w:t>
      </w:r>
    </w:p>
    <w:p w:rsidR="00000000" w:rsidRDefault="00845FCD">
      <w:pPr>
        <w:spacing w:line="360" w:lineRule="auto"/>
        <w:ind w:firstLineChars="200" w:firstLine="420"/>
        <w:rPr>
          <w:rFonts w:cs="宋体" w:hint="eastAsia"/>
          <w:szCs w:val="21"/>
        </w:rPr>
      </w:pPr>
      <w:r>
        <w:rPr>
          <w:rFonts w:cs="宋体" w:hint="eastAsia"/>
          <w:szCs w:val="21"/>
        </w:rPr>
        <w:t>（一）适用投资者</w:t>
      </w:r>
    </w:p>
    <w:p w:rsidR="00000000" w:rsidRDefault="00845FCD">
      <w:pPr>
        <w:spacing w:line="360" w:lineRule="auto"/>
        <w:ind w:firstLineChars="200" w:firstLine="420"/>
        <w:rPr>
          <w:rFonts w:cs="宋体" w:hint="eastAsia"/>
          <w:szCs w:val="21"/>
        </w:rPr>
      </w:pPr>
      <w:r>
        <w:rPr>
          <w:rFonts w:cs="宋体" w:hint="eastAsia"/>
          <w:szCs w:val="21"/>
        </w:rPr>
        <w:t>“定期定额投资业务”适用于依据国家有关法律法规和基金合同约定的可以投资证券投资基金的合法投资者。</w:t>
      </w:r>
    </w:p>
    <w:p w:rsidR="00000000" w:rsidRDefault="00845FCD">
      <w:pPr>
        <w:spacing w:line="360" w:lineRule="auto"/>
        <w:ind w:firstLineChars="200" w:firstLine="420"/>
        <w:rPr>
          <w:rFonts w:cs="宋体" w:hint="eastAsia"/>
          <w:szCs w:val="21"/>
        </w:rPr>
      </w:pPr>
      <w:r>
        <w:rPr>
          <w:rFonts w:cs="宋体" w:hint="eastAsia"/>
          <w:szCs w:val="21"/>
        </w:rPr>
        <w:t>（二）办理场所</w:t>
      </w:r>
    </w:p>
    <w:p w:rsidR="00000000" w:rsidRDefault="00845FCD">
      <w:pPr>
        <w:spacing w:line="360" w:lineRule="auto"/>
        <w:ind w:firstLineChars="200" w:firstLine="420"/>
        <w:rPr>
          <w:rFonts w:cs="宋体" w:hint="eastAsia"/>
          <w:szCs w:val="21"/>
        </w:rPr>
      </w:pPr>
      <w:r>
        <w:rPr>
          <w:rFonts w:cs="宋体" w:hint="eastAsia"/>
          <w:szCs w:val="21"/>
        </w:rPr>
        <w:t>投资者可</w:t>
      </w:r>
      <w:r>
        <w:rPr>
          <w:rFonts w:cs="宋体" w:hint="eastAsia"/>
          <w:kern w:val="0"/>
          <w:szCs w:val="21"/>
        </w:rPr>
        <w:t>通过</w:t>
      </w:r>
      <w:r>
        <w:rPr>
          <w:rFonts w:cs="宋体" w:hint="eastAsia"/>
          <w:kern w:val="0"/>
          <w:szCs w:val="21"/>
        </w:rPr>
        <w:t>广发证券</w:t>
      </w:r>
      <w:r>
        <w:rPr>
          <w:rFonts w:cs="宋体" w:hint="eastAsia"/>
          <w:kern w:val="0"/>
          <w:szCs w:val="21"/>
        </w:rPr>
        <w:t>交易系统</w:t>
      </w:r>
      <w:r>
        <w:rPr>
          <w:rFonts w:cs="宋体" w:hint="eastAsia"/>
          <w:szCs w:val="21"/>
        </w:rPr>
        <w:t>，办理“定期定额投资业务”申请。</w:t>
      </w:r>
    </w:p>
    <w:p w:rsidR="00000000" w:rsidRDefault="00845FCD">
      <w:pPr>
        <w:spacing w:line="360" w:lineRule="auto"/>
        <w:ind w:firstLineChars="200" w:firstLine="420"/>
        <w:rPr>
          <w:rFonts w:cs="宋体" w:hint="eastAsia"/>
          <w:szCs w:val="21"/>
        </w:rPr>
      </w:pPr>
      <w:r>
        <w:rPr>
          <w:rFonts w:cs="宋体" w:hint="eastAsia"/>
          <w:szCs w:val="21"/>
        </w:rPr>
        <w:t>（三）办理方式</w:t>
      </w:r>
    </w:p>
    <w:p w:rsidR="00000000" w:rsidRDefault="00845FCD">
      <w:pPr>
        <w:spacing w:line="360" w:lineRule="auto"/>
        <w:ind w:firstLineChars="200" w:firstLine="420"/>
        <w:rPr>
          <w:rFonts w:cs="宋体" w:hint="eastAsia"/>
          <w:szCs w:val="21"/>
        </w:rPr>
      </w:pPr>
      <w:r>
        <w:rPr>
          <w:rFonts w:cs="宋体" w:hint="eastAsia"/>
          <w:szCs w:val="21"/>
        </w:rPr>
        <w:t>1</w:t>
      </w:r>
      <w:r>
        <w:rPr>
          <w:rFonts w:cs="宋体" w:hint="eastAsia"/>
          <w:szCs w:val="21"/>
        </w:rPr>
        <w:t>、</w:t>
      </w:r>
      <w:r>
        <w:rPr>
          <w:rFonts w:cs="宋体" w:hint="eastAsia"/>
          <w:szCs w:val="21"/>
        </w:rPr>
        <w:t>凡申请办理“定期定额投资业务”的投资者在</w:t>
      </w:r>
      <w:r>
        <w:rPr>
          <w:rFonts w:cs="宋体" w:hint="eastAsia"/>
          <w:kern w:val="0"/>
          <w:szCs w:val="21"/>
        </w:rPr>
        <w:t>广发证券</w:t>
      </w:r>
      <w:r>
        <w:rPr>
          <w:rFonts w:cs="宋体" w:hint="eastAsia"/>
          <w:szCs w:val="21"/>
        </w:rPr>
        <w:t>直接开户便可进行东吴基金定期定额投资业务。</w:t>
      </w:r>
    </w:p>
    <w:p w:rsidR="00000000" w:rsidRDefault="00845FCD">
      <w:pPr>
        <w:spacing w:line="360" w:lineRule="auto"/>
        <w:ind w:firstLineChars="200" w:firstLine="420"/>
        <w:rPr>
          <w:rFonts w:cs="宋体" w:hint="eastAsia"/>
          <w:szCs w:val="21"/>
        </w:rPr>
      </w:pPr>
      <w:r>
        <w:rPr>
          <w:rFonts w:cs="宋体" w:hint="eastAsia"/>
          <w:szCs w:val="21"/>
        </w:rPr>
        <w:t>2</w:t>
      </w:r>
      <w:r>
        <w:rPr>
          <w:rFonts w:cs="宋体" w:hint="eastAsia"/>
          <w:szCs w:val="21"/>
        </w:rPr>
        <w:t>、</w:t>
      </w:r>
      <w:r>
        <w:rPr>
          <w:rFonts w:cs="宋体" w:hint="eastAsia"/>
          <w:szCs w:val="21"/>
        </w:rPr>
        <w:t>已开立东吴基金管理有限公司开放式基金账户的投资者，可在</w:t>
      </w:r>
      <w:r>
        <w:rPr>
          <w:rFonts w:cs="宋体" w:hint="eastAsia"/>
          <w:kern w:val="0"/>
          <w:szCs w:val="21"/>
        </w:rPr>
        <w:t>广发证券</w:t>
      </w:r>
      <w:r>
        <w:rPr>
          <w:rFonts w:cs="宋体" w:hint="eastAsia"/>
          <w:color w:val="000000"/>
          <w:kern w:val="0"/>
          <w:szCs w:val="21"/>
        </w:rPr>
        <w:t>的</w:t>
      </w:r>
      <w:r>
        <w:rPr>
          <w:rFonts w:cs="宋体" w:hint="eastAsia"/>
          <w:kern w:val="0"/>
          <w:szCs w:val="21"/>
        </w:rPr>
        <w:t>交易系统</w:t>
      </w:r>
      <w:r>
        <w:rPr>
          <w:rFonts w:cs="宋体" w:hint="eastAsia"/>
          <w:szCs w:val="21"/>
        </w:rPr>
        <w:lastRenderedPageBreak/>
        <w:t>通过账户登记后，办理“定期定额投资业务”申</w:t>
      </w:r>
      <w:r>
        <w:rPr>
          <w:rFonts w:cs="宋体" w:hint="eastAsia"/>
          <w:szCs w:val="21"/>
        </w:rPr>
        <w:t>请。</w:t>
      </w:r>
    </w:p>
    <w:p w:rsidR="00000000" w:rsidRDefault="00845FCD">
      <w:pPr>
        <w:spacing w:line="360" w:lineRule="auto"/>
        <w:ind w:firstLineChars="200" w:firstLine="420"/>
        <w:rPr>
          <w:rFonts w:cs="宋体" w:hint="eastAsia"/>
          <w:szCs w:val="21"/>
        </w:rPr>
      </w:pPr>
      <w:r>
        <w:rPr>
          <w:rFonts w:cs="宋体" w:hint="eastAsia"/>
          <w:szCs w:val="21"/>
        </w:rPr>
        <w:t>（四）办理时间</w:t>
      </w:r>
    </w:p>
    <w:p w:rsidR="00000000" w:rsidRDefault="00845FCD">
      <w:pPr>
        <w:spacing w:line="360" w:lineRule="auto"/>
        <w:ind w:firstLineChars="200" w:firstLine="420"/>
        <w:rPr>
          <w:rFonts w:cs="宋体" w:hint="eastAsia"/>
          <w:szCs w:val="21"/>
        </w:rPr>
      </w:pPr>
      <w:r>
        <w:rPr>
          <w:rFonts w:cs="宋体" w:hint="eastAsia"/>
          <w:szCs w:val="21"/>
        </w:rPr>
        <w:t>本业务的申请受理时间与基金日常申购业务受理时间相同。</w:t>
      </w:r>
    </w:p>
    <w:p w:rsidR="00000000" w:rsidRDefault="00845FCD">
      <w:pPr>
        <w:widowControl/>
        <w:snapToGrid w:val="0"/>
        <w:spacing w:line="360" w:lineRule="auto"/>
        <w:ind w:firstLineChars="200" w:firstLine="420"/>
        <w:jc w:val="left"/>
        <w:rPr>
          <w:rFonts w:cs="宋体" w:hint="eastAsia"/>
          <w:szCs w:val="21"/>
        </w:rPr>
      </w:pPr>
      <w:r>
        <w:rPr>
          <w:rFonts w:cs="宋体" w:hint="eastAsia"/>
          <w:szCs w:val="21"/>
        </w:rPr>
        <w:t>（五）扣款金额</w:t>
      </w:r>
    </w:p>
    <w:p w:rsidR="00000000" w:rsidRDefault="00845FCD">
      <w:pPr>
        <w:widowControl/>
        <w:snapToGrid w:val="0"/>
        <w:spacing w:line="360" w:lineRule="auto"/>
        <w:ind w:firstLineChars="200" w:firstLine="420"/>
        <w:jc w:val="left"/>
        <w:rPr>
          <w:rFonts w:cs="宋体" w:hint="eastAsia"/>
          <w:color w:val="000000"/>
          <w:szCs w:val="21"/>
        </w:rPr>
      </w:pPr>
      <w:r>
        <w:rPr>
          <w:rFonts w:cs="宋体" w:hint="eastAsia"/>
          <w:szCs w:val="21"/>
        </w:rPr>
        <w:t>投资者应与</w:t>
      </w:r>
      <w:r>
        <w:rPr>
          <w:rFonts w:cs="宋体" w:hint="eastAsia"/>
          <w:kern w:val="0"/>
          <w:szCs w:val="21"/>
        </w:rPr>
        <w:t>广发证券</w:t>
      </w:r>
      <w:r>
        <w:rPr>
          <w:rFonts w:cs="宋体" w:hint="eastAsia"/>
          <w:szCs w:val="21"/>
        </w:rPr>
        <w:t>约定每期扣款（申购）金额，</w:t>
      </w:r>
      <w:r>
        <w:rPr>
          <w:rFonts w:cs="宋体" w:hint="eastAsia"/>
          <w:szCs w:val="21"/>
        </w:rPr>
        <w:t>每期定投最低申购金额为人民币</w:t>
      </w:r>
      <w:r>
        <w:rPr>
          <w:rFonts w:cs="宋体" w:hint="eastAsia"/>
          <w:szCs w:val="21"/>
        </w:rPr>
        <w:t>1.00</w:t>
      </w:r>
      <w:r>
        <w:rPr>
          <w:rFonts w:cs="宋体" w:hint="eastAsia"/>
          <w:szCs w:val="21"/>
        </w:rPr>
        <w:t>元，</w:t>
      </w:r>
      <w:r>
        <w:rPr>
          <w:rFonts w:cs="宋体" w:hint="eastAsia"/>
          <w:color w:val="000000"/>
          <w:szCs w:val="21"/>
        </w:rPr>
        <w:t>销售机构在符合上述规定的前提下，可根据情况调高每期最低申购金额，具体以销售机构</w:t>
      </w:r>
      <w:r>
        <w:rPr>
          <w:rFonts w:cs="宋体" w:hint="eastAsia"/>
          <w:color w:val="000000"/>
          <w:szCs w:val="21"/>
        </w:rPr>
        <w:t>相关规定</w:t>
      </w:r>
      <w:r>
        <w:rPr>
          <w:rFonts w:cs="宋体" w:hint="eastAsia"/>
          <w:color w:val="000000"/>
          <w:szCs w:val="21"/>
        </w:rPr>
        <w:t>为准</w:t>
      </w:r>
      <w:r>
        <w:rPr>
          <w:rFonts w:cs="宋体" w:hint="eastAsia"/>
          <w:color w:val="000000"/>
          <w:szCs w:val="21"/>
        </w:rPr>
        <w:t>。</w:t>
      </w:r>
    </w:p>
    <w:p w:rsidR="00000000" w:rsidRDefault="00845FCD">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 xml:space="preserve"> </w:t>
      </w:r>
    </w:p>
    <w:p w:rsidR="00000000" w:rsidRDefault="00845FCD">
      <w:pPr>
        <w:tabs>
          <w:tab w:val="left" w:pos="720"/>
        </w:tabs>
        <w:autoSpaceDE w:val="0"/>
        <w:autoSpaceDN w:val="0"/>
        <w:adjustRightInd w:val="0"/>
        <w:spacing w:line="360" w:lineRule="auto"/>
        <w:ind w:right="18" w:firstLineChars="200" w:firstLine="420"/>
        <w:jc w:val="left"/>
        <w:rPr>
          <w:rFonts w:cs="宋体" w:hint="eastAsia"/>
          <w:szCs w:val="21"/>
        </w:rPr>
      </w:pPr>
      <w:r>
        <w:rPr>
          <w:rFonts w:cs="宋体" w:hint="eastAsia"/>
          <w:color w:val="000000"/>
          <w:szCs w:val="21"/>
        </w:rPr>
        <w:t>三、</w:t>
      </w:r>
      <w:r>
        <w:rPr>
          <w:rFonts w:cs="宋体" w:hint="eastAsia"/>
          <w:szCs w:val="21"/>
        </w:rPr>
        <w:t>开通东吴基金旗下部分基金的基金转换业务</w:t>
      </w:r>
    </w:p>
    <w:p w:rsidR="00000000" w:rsidRDefault="00845FCD">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w:t>
      </w:r>
      <w:r>
        <w:rPr>
          <w:rFonts w:cs="宋体" w:hint="eastAsia"/>
          <w:szCs w:val="21"/>
        </w:rPr>
        <w:t>自</w:t>
      </w:r>
      <w:r>
        <w:rPr>
          <w:rFonts w:cs="宋体" w:hint="eastAsia"/>
          <w:szCs w:val="21"/>
        </w:rPr>
        <w:t>2025</w:t>
      </w:r>
      <w:r>
        <w:rPr>
          <w:rFonts w:cs="宋体" w:hint="eastAsia"/>
          <w:szCs w:val="21"/>
        </w:rPr>
        <w:t>年</w:t>
      </w:r>
      <w:r>
        <w:rPr>
          <w:rFonts w:cs="宋体" w:hint="eastAsia"/>
          <w:szCs w:val="21"/>
        </w:rPr>
        <w:t>4</w:t>
      </w:r>
      <w:r>
        <w:rPr>
          <w:rFonts w:cs="宋体" w:hint="eastAsia"/>
          <w:szCs w:val="21"/>
        </w:rPr>
        <w:t>月</w:t>
      </w:r>
      <w:r>
        <w:rPr>
          <w:rFonts w:cs="宋体" w:hint="eastAsia"/>
          <w:szCs w:val="21"/>
        </w:rPr>
        <w:t>22</w:t>
      </w:r>
      <w:r>
        <w:rPr>
          <w:rFonts w:cs="宋体" w:hint="eastAsia"/>
          <w:szCs w:val="21"/>
        </w:rPr>
        <w:t>日</w:t>
      </w:r>
      <w:r>
        <w:rPr>
          <w:rFonts w:cs="宋体" w:hint="eastAsia"/>
          <w:szCs w:val="21"/>
        </w:rPr>
        <w:t>起同时在</w:t>
      </w:r>
      <w:r>
        <w:rPr>
          <w:rFonts w:cs="宋体" w:hint="eastAsia"/>
          <w:szCs w:val="21"/>
        </w:rPr>
        <w:t>广发证券</w:t>
      </w:r>
      <w:r>
        <w:rPr>
          <w:rFonts w:cs="宋体" w:hint="eastAsia"/>
          <w:szCs w:val="21"/>
        </w:rPr>
        <w:t>开通</w:t>
      </w:r>
      <w:r>
        <w:rPr>
          <w:rFonts w:cs="宋体" w:hint="eastAsia"/>
          <w:szCs w:val="21"/>
          <w:lang/>
        </w:rPr>
        <w:t>上述基金</w:t>
      </w:r>
      <w:r>
        <w:rPr>
          <w:rFonts w:cs="宋体" w:hint="eastAsia"/>
          <w:szCs w:val="21"/>
        </w:rPr>
        <w:t>的</w:t>
      </w:r>
      <w:r>
        <w:rPr>
          <w:rFonts w:cs="宋体" w:hint="eastAsia"/>
          <w:szCs w:val="21"/>
        </w:rPr>
        <w:t>转换</w:t>
      </w:r>
      <w:r>
        <w:rPr>
          <w:rFonts w:cs="宋体" w:hint="eastAsia"/>
          <w:szCs w:val="21"/>
        </w:rPr>
        <w:t>业务</w:t>
      </w:r>
      <w:r>
        <w:rPr>
          <w:rFonts w:cs="宋体" w:hint="eastAsia"/>
          <w:szCs w:val="21"/>
        </w:rPr>
        <w:t>。</w:t>
      </w:r>
    </w:p>
    <w:p w:rsidR="00000000" w:rsidRDefault="00845FCD">
      <w:pPr>
        <w:widowControl/>
        <w:spacing w:line="360" w:lineRule="auto"/>
        <w:ind w:firstLineChars="200" w:firstLine="420"/>
        <w:jc w:val="left"/>
        <w:rPr>
          <w:rFonts w:cs="宋体" w:hint="eastAsia"/>
          <w:szCs w:val="21"/>
        </w:rPr>
      </w:pPr>
      <w:r>
        <w:rPr>
          <w:rFonts w:cs="宋体" w:hint="eastAsia"/>
          <w:szCs w:val="21"/>
        </w:rPr>
        <w:t>（一）基金转换业务适用投资者范围</w:t>
      </w:r>
    </w:p>
    <w:p w:rsidR="00000000" w:rsidRDefault="00845FCD">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已持有本公司管理的开放式基金产品的投资者。</w:t>
      </w:r>
    </w:p>
    <w:p w:rsidR="00000000" w:rsidRDefault="00845FCD">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（二）基金转</w:t>
      </w:r>
      <w:r>
        <w:rPr>
          <w:rFonts w:ascii="Times New Roman" w:hAnsi="Times New Roman" w:hint="eastAsia"/>
          <w:color w:val="auto"/>
          <w:sz w:val="21"/>
          <w:szCs w:val="21"/>
        </w:rPr>
        <w:t>换受理时间</w:t>
      </w:r>
    </w:p>
    <w:p w:rsidR="00000000" w:rsidRDefault="00845FCD">
      <w:pPr>
        <w:spacing w:line="360" w:lineRule="auto"/>
        <w:ind w:firstLineChars="200" w:firstLine="420"/>
        <w:rPr>
          <w:rFonts w:cs="宋体" w:hint="eastAsia"/>
          <w:szCs w:val="21"/>
        </w:rPr>
      </w:pPr>
      <w:r>
        <w:rPr>
          <w:rFonts w:cs="宋体" w:hint="eastAsia"/>
          <w:szCs w:val="21"/>
        </w:rPr>
        <w:t>基金办理转换业务的开放日为</w:t>
      </w:r>
      <w:r>
        <w:rPr>
          <w:rFonts w:cs="宋体" w:hint="eastAsia"/>
          <w:szCs w:val="21"/>
        </w:rPr>
        <w:t>上海证券</w:t>
      </w:r>
      <w:r>
        <w:rPr>
          <w:rFonts w:cs="宋体" w:hint="eastAsia"/>
          <w:szCs w:val="21"/>
        </w:rPr>
        <w:t>交易所和深圳证券交易所交易日（本公司公告暂停转换时除外）。具体业务办理时间与基金日常申购业务时间相同。</w:t>
      </w:r>
    </w:p>
    <w:p w:rsidR="00000000" w:rsidRDefault="00845FCD">
      <w:pPr>
        <w:spacing w:line="360" w:lineRule="auto"/>
        <w:ind w:firstLineChars="200" w:firstLine="420"/>
        <w:rPr>
          <w:rFonts w:cs="宋体" w:hint="eastAsia"/>
          <w:szCs w:val="21"/>
        </w:rPr>
      </w:pPr>
      <w:r>
        <w:rPr>
          <w:rFonts w:cs="宋体" w:hint="eastAsia"/>
          <w:szCs w:val="21"/>
        </w:rPr>
        <w:t>（三）基金转换业务规则</w:t>
      </w:r>
    </w:p>
    <w:p w:rsidR="00000000" w:rsidRDefault="00845FCD">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转换业务具体业务规则请参照《东吴基金管理有限公司开放式基金业务规则》。</w:t>
      </w:r>
    </w:p>
    <w:p w:rsidR="00000000" w:rsidRDefault="00845FCD">
      <w:pPr>
        <w:tabs>
          <w:tab w:val="left" w:pos="720"/>
        </w:tabs>
        <w:autoSpaceDE w:val="0"/>
        <w:autoSpaceDN w:val="0"/>
        <w:adjustRightInd w:val="0"/>
        <w:spacing w:line="360" w:lineRule="auto"/>
        <w:ind w:right="18"/>
        <w:jc w:val="left"/>
        <w:rPr>
          <w:rFonts w:ascii="宋体" w:hAnsi="宋体" w:cs="宋体" w:hint="eastAsia"/>
          <w:color w:val="000000"/>
          <w:szCs w:val="21"/>
        </w:rPr>
      </w:pPr>
    </w:p>
    <w:p w:rsidR="00000000" w:rsidRDefault="00845FCD">
      <w:pPr>
        <w:numPr>
          <w:ilvl w:val="0"/>
          <w:numId w:val="3"/>
        </w:num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投资者可通过以下途径了解或咨询相关情况</w:t>
      </w:r>
      <w:r>
        <w:rPr>
          <w:rFonts w:cs="宋体" w:hint="eastAsia"/>
          <w:color w:val="000000"/>
          <w:szCs w:val="21"/>
        </w:rPr>
        <w:t xml:space="preserve"> </w:t>
      </w:r>
    </w:p>
    <w:p w:rsidR="00000000" w:rsidRDefault="00845FCD">
      <w:pPr>
        <w:tabs>
          <w:tab w:val="left" w:pos="720"/>
        </w:tabs>
        <w:autoSpaceDE w:val="0"/>
        <w:autoSpaceDN w:val="0"/>
        <w:adjustRightInd w:val="0"/>
        <w:spacing w:line="360" w:lineRule="auto"/>
        <w:ind w:right="18" w:firstLineChars="200" w:firstLine="420"/>
        <w:jc w:val="left"/>
        <w:rPr>
          <w:rFonts w:cs="宋体" w:hint="eastAsia"/>
          <w:kern w:val="0"/>
          <w:szCs w:val="21"/>
        </w:rPr>
      </w:pPr>
      <w:r>
        <w:rPr>
          <w:rFonts w:cs="宋体" w:hint="eastAsia"/>
          <w:kern w:val="0"/>
          <w:szCs w:val="21"/>
        </w:rPr>
        <w:t xml:space="preserve"> </w:t>
      </w:r>
      <w:r>
        <w:rPr>
          <w:rFonts w:cs="宋体" w:hint="eastAsia"/>
          <w:kern w:val="0"/>
          <w:szCs w:val="21"/>
        </w:rPr>
        <w:t>1</w:t>
      </w:r>
      <w:r>
        <w:rPr>
          <w:rFonts w:cs="宋体" w:hint="eastAsia"/>
          <w:kern w:val="0"/>
          <w:szCs w:val="21"/>
        </w:rPr>
        <w:t>、广发证券股份有限公司</w:t>
      </w:r>
    </w:p>
    <w:p w:rsidR="00000000" w:rsidRDefault="00845FCD">
      <w:pPr>
        <w:spacing w:line="360" w:lineRule="auto"/>
        <w:rPr>
          <w:rFonts w:cs="宋体"/>
          <w:kern w:val="0"/>
          <w:szCs w:val="21"/>
        </w:rPr>
      </w:pPr>
      <w:r>
        <w:rPr>
          <w:rFonts w:cs="宋体" w:hint="eastAsia"/>
          <w:kern w:val="0"/>
          <w:szCs w:val="21"/>
        </w:rPr>
        <w:t xml:space="preserve">　　</w:t>
      </w:r>
      <w:r>
        <w:rPr>
          <w:rFonts w:cs="宋体" w:hint="eastAsia"/>
          <w:kern w:val="0"/>
          <w:szCs w:val="21"/>
        </w:rPr>
        <w:t xml:space="preserve">   </w:t>
      </w:r>
      <w:r>
        <w:rPr>
          <w:rFonts w:cs="宋体" w:hint="eastAsia"/>
          <w:kern w:val="0"/>
          <w:szCs w:val="21"/>
        </w:rPr>
        <w:t xml:space="preserve"> </w:t>
      </w:r>
      <w:r>
        <w:rPr>
          <w:rFonts w:cs="宋体" w:hint="eastAsia"/>
          <w:kern w:val="0"/>
          <w:szCs w:val="21"/>
        </w:rPr>
        <w:t>客户服务热线：</w:t>
      </w:r>
      <w:r>
        <w:rPr>
          <w:rFonts w:cs="宋体" w:hint="eastAsia"/>
          <w:kern w:val="0"/>
          <w:szCs w:val="21"/>
        </w:rPr>
        <w:t>95355</w:t>
      </w:r>
    </w:p>
    <w:p w:rsidR="00000000" w:rsidRDefault="00845FCD">
      <w:pPr>
        <w:spacing w:line="360" w:lineRule="auto"/>
        <w:ind w:firstLineChars="304" w:firstLine="638"/>
        <w:rPr>
          <w:rFonts w:cs="宋体" w:hint="eastAsia"/>
          <w:kern w:val="0"/>
          <w:szCs w:val="21"/>
        </w:rPr>
      </w:pPr>
      <w:r>
        <w:rPr>
          <w:rFonts w:cs="宋体" w:hint="eastAsia"/>
          <w:kern w:val="0"/>
          <w:szCs w:val="21"/>
        </w:rPr>
        <w:t xml:space="preserve"> </w:t>
      </w:r>
      <w:r>
        <w:rPr>
          <w:rFonts w:cs="宋体" w:hint="eastAsia"/>
          <w:kern w:val="0"/>
          <w:szCs w:val="21"/>
        </w:rPr>
        <w:t xml:space="preserve"> </w:t>
      </w:r>
      <w:r>
        <w:rPr>
          <w:rFonts w:cs="宋体" w:hint="eastAsia"/>
          <w:kern w:val="0"/>
          <w:szCs w:val="21"/>
        </w:rPr>
        <w:t>公司网址：</w:t>
      </w:r>
      <w:r>
        <w:rPr>
          <w:rFonts w:cs="宋体" w:hint="eastAsia"/>
          <w:kern w:val="0"/>
          <w:szCs w:val="21"/>
        </w:rPr>
        <w:t>www.gf.com.cn</w:t>
      </w:r>
      <w:hyperlink r:id="rId5" w:tooltip="blocked::http://www.shzq.com/" w:history="1"/>
      <w:hyperlink r:id="rId6" w:history="1"/>
      <w:hyperlink r:id="rId7" w:history="1"/>
    </w:p>
    <w:p w:rsidR="00000000" w:rsidRDefault="00845FCD">
      <w:pPr>
        <w:spacing w:line="360" w:lineRule="auto"/>
        <w:ind w:firstLineChars="200" w:firstLine="420"/>
        <w:rPr>
          <w:rFonts w:cs="宋体" w:hint="eastAsia"/>
          <w:kern w:val="0"/>
          <w:szCs w:val="21"/>
        </w:rPr>
      </w:pPr>
      <w:r>
        <w:rPr>
          <w:rFonts w:cs="宋体" w:hint="eastAsia"/>
          <w:kern w:val="0"/>
          <w:szCs w:val="21"/>
        </w:rPr>
        <w:t>2</w:t>
      </w:r>
      <w:r>
        <w:rPr>
          <w:rFonts w:cs="宋体" w:hint="eastAsia"/>
          <w:kern w:val="0"/>
          <w:szCs w:val="21"/>
        </w:rPr>
        <w:t>、</w:t>
      </w:r>
      <w:r>
        <w:rPr>
          <w:rFonts w:cs="宋体" w:hint="eastAsia"/>
          <w:kern w:val="0"/>
          <w:szCs w:val="21"/>
        </w:rPr>
        <w:t>东吴基金管理有限公司</w:t>
      </w:r>
      <w:r>
        <w:rPr>
          <w:rFonts w:cs="宋体" w:hint="eastAsia"/>
          <w:kern w:val="0"/>
          <w:szCs w:val="21"/>
        </w:rPr>
        <w:t xml:space="preserve"> </w:t>
      </w:r>
    </w:p>
    <w:p w:rsidR="00000000" w:rsidRDefault="00845FCD">
      <w:pPr>
        <w:spacing w:line="360" w:lineRule="auto"/>
        <w:rPr>
          <w:rFonts w:cs="宋体" w:hint="eastAsia"/>
          <w:kern w:val="0"/>
          <w:szCs w:val="21"/>
        </w:rPr>
      </w:pPr>
      <w:r>
        <w:rPr>
          <w:rFonts w:cs="宋体" w:hint="eastAsia"/>
          <w:kern w:val="0"/>
          <w:szCs w:val="21"/>
        </w:rPr>
        <w:t xml:space="preserve">　　</w:t>
      </w:r>
      <w:r>
        <w:rPr>
          <w:rFonts w:cs="宋体" w:hint="eastAsia"/>
          <w:szCs w:val="21"/>
        </w:rPr>
        <w:t xml:space="preserve">   </w:t>
      </w:r>
      <w:r>
        <w:rPr>
          <w:rFonts w:cs="宋体" w:hint="eastAsia"/>
          <w:kern w:val="0"/>
          <w:szCs w:val="21"/>
        </w:rPr>
        <w:t>客户服务热线：</w:t>
      </w:r>
      <w:r>
        <w:rPr>
          <w:rFonts w:cs="宋体" w:hint="eastAsia"/>
          <w:kern w:val="0"/>
          <w:szCs w:val="21"/>
        </w:rPr>
        <w:t>400-821-0588</w:t>
      </w:r>
      <w:r>
        <w:rPr>
          <w:rFonts w:cs="宋体" w:hint="eastAsia"/>
          <w:kern w:val="0"/>
          <w:szCs w:val="21"/>
        </w:rPr>
        <w:t>（免长途话费）</w:t>
      </w:r>
    </w:p>
    <w:p w:rsidR="00000000" w:rsidRDefault="00845FCD">
      <w:pPr>
        <w:spacing w:line="360" w:lineRule="auto"/>
        <w:rPr>
          <w:rFonts w:cs="宋体" w:hint="eastAsia"/>
          <w:color w:val="000000"/>
          <w:kern w:val="0"/>
          <w:szCs w:val="21"/>
        </w:rPr>
      </w:pPr>
      <w:r>
        <w:rPr>
          <w:rFonts w:cs="宋体" w:hint="eastAsia"/>
          <w:kern w:val="0"/>
          <w:szCs w:val="21"/>
        </w:rPr>
        <w:t xml:space="preserve">　　</w:t>
      </w:r>
      <w:r>
        <w:rPr>
          <w:rFonts w:cs="宋体" w:hint="eastAsia"/>
          <w:szCs w:val="21"/>
        </w:rPr>
        <w:t xml:space="preserve">   </w:t>
      </w:r>
      <w:r>
        <w:rPr>
          <w:rFonts w:cs="宋体" w:hint="eastAsia"/>
          <w:kern w:val="0"/>
          <w:szCs w:val="21"/>
        </w:rPr>
        <w:t>公司网址：</w:t>
      </w:r>
      <w:hyperlink r:id="rId8" w:history="1">
        <w:r>
          <w:rPr>
            <w:rFonts w:cs="宋体" w:hint="eastAsia"/>
            <w:szCs w:val="21"/>
          </w:rPr>
          <w:t>www.scfund.com.cn</w:t>
        </w:r>
      </w:hyperlink>
    </w:p>
    <w:p w:rsidR="00000000" w:rsidRDefault="00845FCD">
      <w:pPr>
        <w:spacing w:line="360" w:lineRule="auto"/>
        <w:ind w:firstLineChars="200" w:firstLine="420"/>
        <w:rPr>
          <w:rFonts w:cs="宋体" w:hint="eastAsia"/>
          <w:color w:val="000000"/>
          <w:kern w:val="0"/>
          <w:szCs w:val="21"/>
        </w:rPr>
      </w:pPr>
    </w:p>
    <w:p w:rsidR="00000000" w:rsidRDefault="00845FCD">
      <w:pPr>
        <w:spacing w:line="360" w:lineRule="auto"/>
        <w:ind w:firstLineChars="200" w:firstLine="420"/>
        <w:rPr>
          <w:rFonts w:cs="宋体" w:hint="eastAsia"/>
          <w:color w:val="000000"/>
          <w:kern w:val="0"/>
          <w:szCs w:val="21"/>
        </w:rPr>
      </w:pPr>
      <w:r>
        <w:rPr>
          <w:rFonts w:cs="宋体" w:hint="eastAsia"/>
          <w:color w:val="000000"/>
          <w:kern w:val="0"/>
          <w:szCs w:val="21"/>
        </w:rPr>
        <w:t>五</w:t>
      </w:r>
      <w:r>
        <w:rPr>
          <w:rFonts w:cs="宋体" w:hint="eastAsia"/>
          <w:color w:val="000000"/>
          <w:kern w:val="0"/>
          <w:szCs w:val="21"/>
        </w:rPr>
        <w:t>、风险提示</w:t>
      </w:r>
    </w:p>
    <w:p w:rsidR="00000000" w:rsidRDefault="00845FCD">
      <w:pPr>
        <w:spacing w:line="360" w:lineRule="auto"/>
        <w:ind w:firstLineChars="200" w:firstLine="420"/>
        <w:rPr>
          <w:rFonts w:cs="宋体" w:hint="eastAsia"/>
          <w:szCs w:val="21"/>
        </w:rPr>
      </w:pPr>
      <w:r>
        <w:rPr>
          <w:rFonts w:cs="宋体" w:hint="eastAsia"/>
          <w:color w:val="000000"/>
          <w:kern w:val="0"/>
          <w:szCs w:val="21"/>
        </w:rPr>
        <w:t>本公司承诺以诚实信用、勤勉尽责的原则管理和运用基金资产，但不保证基金一定盈</w:t>
      </w:r>
      <w:r>
        <w:rPr>
          <w:rFonts w:cs="宋体" w:hint="eastAsia"/>
          <w:color w:val="000000"/>
          <w:kern w:val="0"/>
          <w:szCs w:val="21"/>
        </w:rPr>
        <w:t>利，也不保证最低收益。敬请投资者在投资前认真阅读我司旗下基金的《基金合同》《招募说明</w:t>
      </w:r>
      <w:r>
        <w:rPr>
          <w:rFonts w:cs="宋体" w:hint="eastAsia"/>
          <w:color w:val="000000"/>
          <w:kern w:val="0"/>
          <w:szCs w:val="21"/>
        </w:rPr>
        <w:lastRenderedPageBreak/>
        <w:t>书》和《基金产品资料概要》</w:t>
      </w:r>
      <w:r>
        <w:rPr>
          <w:rFonts w:cs="宋体" w:hint="eastAsia"/>
          <w:color w:val="000000"/>
          <w:kern w:val="0"/>
          <w:szCs w:val="21"/>
        </w:rPr>
        <w:t>等法律文件</w:t>
      </w:r>
      <w:r>
        <w:rPr>
          <w:rFonts w:cs="宋体" w:hint="eastAsia"/>
          <w:szCs w:val="21"/>
        </w:rPr>
        <w:t>。</w:t>
      </w:r>
    </w:p>
    <w:p w:rsidR="00000000" w:rsidRDefault="00845FCD">
      <w:pPr>
        <w:spacing w:line="360" w:lineRule="auto"/>
        <w:rPr>
          <w:rFonts w:cs="宋体" w:hint="eastAsia"/>
          <w:szCs w:val="21"/>
        </w:rPr>
      </w:pPr>
      <w:r>
        <w:rPr>
          <w:rFonts w:cs="宋体" w:hint="eastAsia"/>
          <w:szCs w:val="21"/>
        </w:rPr>
        <w:t xml:space="preserve">    </w:t>
      </w:r>
    </w:p>
    <w:p w:rsidR="00000000" w:rsidRDefault="00845FCD">
      <w:pPr>
        <w:spacing w:line="360" w:lineRule="auto"/>
        <w:ind w:firstLineChars="200" w:firstLine="420"/>
        <w:rPr>
          <w:rFonts w:cs="宋体" w:hint="eastAsia"/>
          <w:szCs w:val="21"/>
        </w:rPr>
      </w:pPr>
      <w:r>
        <w:rPr>
          <w:rFonts w:cs="宋体" w:hint="eastAsia"/>
          <w:szCs w:val="21"/>
        </w:rPr>
        <w:t xml:space="preserve"> </w:t>
      </w:r>
      <w:r>
        <w:rPr>
          <w:rFonts w:cs="宋体" w:hint="eastAsia"/>
          <w:szCs w:val="21"/>
        </w:rPr>
        <w:t>特此公告。</w:t>
      </w:r>
      <w:r>
        <w:rPr>
          <w:rFonts w:cs="宋体" w:hint="eastAsia"/>
          <w:szCs w:val="21"/>
        </w:rPr>
        <w:t xml:space="preserve"> </w:t>
      </w:r>
    </w:p>
    <w:p w:rsidR="00000000" w:rsidRDefault="00845FCD">
      <w:pPr>
        <w:spacing w:line="400" w:lineRule="exact"/>
        <w:jc w:val="right"/>
        <w:rPr>
          <w:rFonts w:cs="宋体" w:hint="eastAsia"/>
          <w:szCs w:val="21"/>
        </w:rPr>
      </w:pPr>
      <w:r>
        <w:rPr>
          <w:rFonts w:cs="宋体" w:hint="eastAsia"/>
          <w:szCs w:val="21"/>
        </w:rPr>
        <w:t xml:space="preserve">                                     </w:t>
      </w:r>
    </w:p>
    <w:p w:rsidR="00000000" w:rsidRDefault="00845FCD">
      <w:pPr>
        <w:spacing w:line="400" w:lineRule="exact"/>
        <w:jc w:val="right"/>
        <w:rPr>
          <w:rFonts w:cs="宋体" w:hint="eastAsia"/>
          <w:szCs w:val="21"/>
        </w:rPr>
      </w:pPr>
    </w:p>
    <w:p w:rsidR="00000000" w:rsidRDefault="00845FCD">
      <w:pPr>
        <w:spacing w:line="400" w:lineRule="exact"/>
        <w:jc w:val="right"/>
        <w:rPr>
          <w:rFonts w:cs="宋体" w:hint="eastAsia"/>
          <w:szCs w:val="21"/>
        </w:rPr>
      </w:pPr>
      <w:r>
        <w:rPr>
          <w:rFonts w:cs="宋体" w:hint="eastAsia"/>
          <w:szCs w:val="21"/>
        </w:rPr>
        <w:t>东吴基金管理有限公司</w:t>
      </w:r>
    </w:p>
    <w:p w:rsidR="00000000" w:rsidRDefault="00845FCD">
      <w:pPr>
        <w:spacing w:line="400" w:lineRule="exact"/>
        <w:jc w:val="center"/>
        <w:rPr>
          <w:rFonts w:cs="宋体" w:hint="eastAsia"/>
          <w:szCs w:val="21"/>
        </w:rPr>
      </w:pPr>
      <w:r>
        <w:rPr>
          <w:rFonts w:cs="宋体" w:hint="eastAsia"/>
          <w:szCs w:val="21"/>
        </w:rPr>
        <w:t xml:space="preserve">                                                            2025</w:t>
      </w:r>
      <w:r>
        <w:rPr>
          <w:rFonts w:cs="宋体" w:hint="eastAsia"/>
          <w:szCs w:val="21"/>
        </w:rPr>
        <w:t>年</w:t>
      </w:r>
      <w:r>
        <w:rPr>
          <w:rFonts w:cs="宋体" w:hint="eastAsia"/>
          <w:szCs w:val="21"/>
        </w:rPr>
        <w:t>4</w:t>
      </w:r>
      <w:r>
        <w:rPr>
          <w:rFonts w:cs="宋体" w:hint="eastAsia"/>
          <w:szCs w:val="21"/>
        </w:rPr>
        <w:t>月</w:t>
      </w:r>
      <w:r>
        <w:rPr>
          <w:rFonts w:cs="宋体" w:hint="eastAsia"/>
          <w:szCs w:val="21"/>
        </w:rPr>
        <w:t>21</w:t>
      </w:r>
      <w:r>
        <w:rPr>
          <w:rFonts w:cs="宋体" w:hint="eastAsia"/>
          <w:szCs w:val="21"/>
        </w:rPr>
        <w:t>日</w:t>
      </w:r>
    </w:p>
    <w:p w:rsidR="00000000" w:rsidRDefault="00845FCD"/>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ˎ̥">
    <w:altName w:val="Times New Roman"/>
    <w:charset w:val="00"/>
    <w:family w:val="roman"/>
    <w:pitch w:val="default"/>
    <w:sig w:usb0="00000000" w:usb1="00000000" w:usb2="00000000" w:usb3="00000000" w:csb0="00040001" w:csb1="00000000"/>
  </w:font>
  <w:font w:name="方正仿宋简体">
    <w:altName w:val="宋体"/>
    <w:charset w:val="86"/>
    <w:family w:val="auto"/>
    <w:pitch w:val="default"/>
    <w:sig w:usb0="00000001"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A90836"/>
    <w:multiLevelType w:val="singleLevel"/>
    <w:tmpl w:val="81A90836"/>
    <w:lvl w:ilvl="0">
      <w:start w:val="4"/>
      <w:numFmt w:val="chineseCounting"/>
      <w:suff w:val="nothing"/>
      <w:lvlText w:val="%1、"/>
      <w:lvlJc w:val="left"/>
      <w:rPr>
        <w:rFonts w:hint="eastAsia"/>
      </w:rPr>
    </w:lvl>
  </w:abstractNum>
  <w:abstractNum w:abstractNumId="1">
    <w:nsid w:val="39EB2679"/>
    <w:multiLevelType w:val="multilevel"/>
    <w:tmpl w:val="39EB2679"/>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ascii="宋体" w:eastAsia="宋体" w:hint="eastAsia"/>
        <w:b/>
        <w:i w:val="0"/>
        <w:sz w:val="28"/>
      </w:rPr>
    </w:lvl>
    <w:lvl w:ilvl="2">
      <w:start w:val="1"/>
      <w:numFmt w:val="chineseCountingThousand"/>
      <w:suff w:val="nothing"/>
      <w:lvlText w:val="（%3）"/>
      <w:lvlJc w:val="left"/>
      <w:pPr>
        <w:ind w:left="0" w:firstLine="510"/>
      </w:pPr>
      <w:rPr>
        <w:rFonts w:hint="eastAsia"/>
      </w:rPr>
    </w:lvl>
    <w:lvl w:ilvl="3">
      <w:start w:val="1"/>
      <w:numFmt w:val="decimal"/>
      <w:suff w:val="nothing"/>
      <w:lvlText w:val="%4．"/>
      <w:lvlJc w:val="left"/>
      <w:pPr>
        <w:ind w:left="0" w:firstLine="624"/>
      </w:pPr>
      <w:rPr>
        <w:rFonts w:hint="eastAsia"/>
      </w:rPr>
    </w:lvl>
    <w:lvl w:ilvl="4">
      <w:start w:val="1"/>
      <w:numFmt w:val="decimal"/>
      <w:suff w:val="nothing"/>
      <w:lvlText w:val="（%5）"/>
      <w:lvlJc w:val="left"/>
      <w:pPr>
        <w:ind w:left="57" w:firstLine="510"/>
      </w:pPr>
      <w:rPr>
        <w:rFonts w:hint="eastAsia"/>
        <w:b/>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5E28EE34"/>
    <w:multiLevelType w:val="singleLevel"/>
    <w:tmpl w:val="5E28EE34"/>
    <w:lvl w:ilvl="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U3ZjFhMTI0Y2Y5NGExM2IzYWFiY2FlN2E5MGIzNTAifQ=="/>
    <w:docVar w:name="KSO_WPS_MARK_KEY" w:val="1282f676-f6e8-43f6-b041-c716090c35d3"/>
  </w:docVars>
  <w:rsids>
    <w:rsidRoot w:val="00A1064D"/>
    <w:rsid w:val="00002377"/>
    <w:rsid w:val="0001137F"/>
    <w:rsid w:val="0001592A"/>
    <w:rsid w:val="0009599E"/>
    <w:rsid w:val="000A42E0"/>
    <w:rsid w:val="000B1FB9"/>
    <w:rsid w:val="000D59AC"/>
    <w:rsid w:val="000F612E"/>
    <w:rsid w:val="00123F4F"/>
    <w:rsid w:val="00174219"/>
    <w:rsid w:val="00180EFA"/>
    <w:rsid w:val="00185A7B"/>
    <w:rsid w:val="001A262C"/>
    <w:rsid w:val="001B0862"/>
    <w:rsid w:val="001B278B"/>
    <w:rsid w:val="001C2706"/>
    <w:rsid w:val="001C6613"/>
    <w:rsid w:val="001D1398"/>
    <w:rsid w:val="002038DF"/>
    <w:rsid w:val="00264D21"/>
    <w:rsid w:val="00286994"/>
    <w:rsid w:val="00293433"/>
    <w:rsid w:val="002B5F30"/>
    <w:rsid w:val="002C2F4D"/>
    <w:rsid w:val="002D2115"/>
    <w:rsid w:val="002D5F30"/>
    <w:rsid w:val="002F49D9"/>
    <w:rsid w:val="00312488"/>
    <w:rsid w:val="00330975"/>
    <w:rsid w:val="00354A87"/>
    <w:rsid w:val="00374201"/>
    <w:rsid w:val="003878A4"/>
    <w:rsid w:val="00393AFF"/>
    <w:rsid w:val="00394115"/>
    <w:rsid w:val="00397F6D"/>
    <w:rsid w:val="003C68FA"/>
    <w:rsid w:val="003F797E"/>
    <w:rsid w:val="004035F4"/>
    <w:rsid w:val="004155AF"/>
    <w:rsid w:val="00434FA4"/>
    <w:rsid w:val="00437AFE"/>
    <w:rsid w:val="004433D6"/>
    <w:rsid w:val="004558F4"/>
    <w:rsid w:val="00471B57"/>
    <w:rsid w:val="004B6426"/>
    <w:rsid w:val="004E1C88"/>
    <w:rsid w:val="00523264"/>
    <w:rsid w:val="00526DF2"/>
    <w:rsid w:val="00532036"/>
    <w:rsid w:val="00553C77"/>
    <w:rsid w:val="00563060"/>
    <w:rsid w:val="005A720A"/>
    <w:rsid w:val="005B3D09"/>
    <w:rsid w:val="005C250A"/>
    <w:rsid w:val="005F6388"/>
    <w:rsid w:val="005F6E1C"/>
    <w:rsid w:val="0062730D"/>
    <w:rsid w:val="0064633D"/>
    <w:rsid w:val="006805B6"/>
    <w:rsid w:val="00686C85"/>
    <w:rsid w:val="0068707E"/>
    <w:rsid w:val="006966C9"/>
    <w:rsid w:val="006B745E"/>
    <w:rsid w:val="006C76F5"/>
    <w:rsid w:val="006D6841"/>
    <w:rsid w:val="006E4A44"/>
    <w:rsid w:val="006E70D0"/>
    <w:rsid w:val="006F62E7"/>
    <w:rsid w:val="007267FF"/>
    <w:rsid w:val="00726A6C"/>
    <w:rsid w:val="00741ED7"/>
    <w:rsid w:val="00745320"/>
    <w:rsid w:val="00757DF8"/>
    <w:rsid w:val="00775E0F"/>
    <w:rsid w:val="007A3EE4"/>
    <w:rsid w:val="007D1EBA"/>
    <w:rsid w:val="007D5E95"/>
    <w:rsid w:val="007F3ED7"/>
    <w:rsid w:val="007F632E"/>
    <w:rsid w:val="00826717"/>
    <w:rsid w:val="00831E1A"/>
    <w:rsid w:val="00837B68"/>
    <w:rsid w:val="00845FCD"/>
    <w:rsid w:val="008847A9"/>
    <w:rsid w:val="0089461A"/>
    <w:rsid w:val="008D143D"/>
    <w:rsid w:val="008D5D10"/>
    <w:rsid w:val="008E2110"/>
    <w:rsid w:val="008F2B68"/>
    <w:rsid w:val="008F6401"/>
    <w:rsid w:val="008F7008"/>
    <w:rsid w:val="00901D9C"/>
    <w:rsid w:val="00922629"/>
    <w:rsid w:val="00922BB1"/>
    <w:rsid w:val="00932064"/>
    <w:rsid w:val="00941470"/>
    <w:rsid w:val="00956EF3"/>
    <w:rsid w:val="0098011F"/>
    <w:rsid w:val="009C5FD9"/>
    <w:rsid w:val="009E1C84"/>
    <w:rsid w:val="009E6B58"/>
    <w:rsid w:val="009F5CEA"/>
    <w:rsid w:val="00A04D69"/>
    <w:rsid w:val="00A1064D"/>
    <w:rsid w:val="00A140B7"/>
    <w:rsid w:val="00A23CF0"/>
    <w:rsid w:val="00A23F6E"/>
    <w:rsid w:val="00A24F19"/>
    <w:rsid w:val="00A33CF6"/>
    <w:rsid w:val="00A362A8"/>
    <w:rsid w:val="00A46F58"/>
    <w:rsid w:val="00A56789"/>
    <w:rsid w:val="00A66DE2"/>
    <w:rsid w:val="00A90763"/>
    <w:rsid w:val="00AA36E9"/>
    <w:rsid w:val="00AA4733"/>
    <w:rsid w:val="00AB4D59"/>
    <w:rsid w:val="00AB57C3"/>
    <w:rsid w:val="00AD31E6"/>
    <w:rsid w:val="00AE7776"/>
    <w:rsid w:val="00B0646C"/>
    <w:rsid w:val="00B20C4E"/>
    <w:rsid w:val="00B247B9"/>
    <w:rsid w:val="00B54A3E"/>
    <w:rsid w:val="00B63E86"/>
    <w:rsid w:val="00B7560D"/>
    <w:rsid w:val="00B82CA0"/>
    <w:rsid w:val="00BA13C9"/>
    <w:rsid w:val="00BB6BBB"/>
    <w:rsid w:val="00BD031D"/>
    <w:rsid w:val="00BD7E83"/>
    <w:rsid w:val="00BE6693"/>
    <w:rsid w:val="00BE76E5"/>
    <w:rsid w:val="00C165AF"/>
    <w:rsid w:val="00C17BA5"/>
    <w:rsid w:val="00C2200A"/>
    <w:rsid w:val="00C42510"/>
    <w:rsid w:val="00C52319"/>
    <w:rsid w:val="00C5547D"/>
    <w:rsid w:val="00C5667B"/>
    <w:rsid w:val="00C56FF7"/>
    <w:rsid w:val="00C6298D"/>
    <w:rsid w:val="00C63722"/>
    <w:rsid w:val="00C65C6A"/>
    <w:rsid w:val="00CC7510"/>
    <w:rsid w:val="00CD3BB0"/>
    <w:rsid w:val="00CD74EE"/>
    <w:rsid w:val="00D257C8"/>
    <w:rsid w:val="00D416D1"/>
    <w:rsid w:val="00D80ACE"/>
    <w:rsid w:val="00DA45D7"/>
    <w:rsid w:val="00DF5DFE"/>
    <w:rsid w:val="00E13A02"/>
    <w:rsid w:val="00E225AA"/>
    <w:rsid w:val="00E3060C"/>
    <w:rsid w:val="00E41840"/>
    <w:rsid w:val="00E61458"/>
    <w:rsid w:val="00EA0A52"/>
    <w:rsid w:val="00EC5B25"/>
    <w:rsid w:val="00ED20EB"/>
    <w:rsid w:val="00ED30A2"/>
    <w:rsid w:val="00EE38E4"/>
    <w:rsid w:val="00EF357C"/>
    <w:rsid w:val="00F1164F"/>
    <w:rsid w:val="00F12E1F"/>
    <w:rsid w:val="00F33854"/>
    <w:rsid w:val="00F45DF7"/>
    <w:rsid w:val="00F57D17"/>
    <w:rsid w:val="00F62BB7"/>
    <w:rsid w:val="00F854C4"/>
    <w:rsid w:val="00F91A49"/>
    <w:rsid w:val="00FA490F"/>
    <w:rsid w:val="00FA728E"/>
    <w:rsid w:val="00FC5112"/>
    <w:rsid w:val="00FC5A8B"/>
    <w:rsid w:val="00FD5138"/>
    <w:rsid w:val="011B6997"/>
    <w:rsid w:val="01266495"/>
    <w:rsid w:val="014F75AE"/>
    <w:rsid w:val="016C2D4F"/>
    <w:rsid w:val="018141F9"/>
    <w:rsid w:val="01DA3C64"/>
    <w:rsid w:val="025E6EF2"/>
    <w:rsid w:val="028E4041"/>
    <w:rsid w:val="02A9126A"/>
    <w:rsid w:val="02AC2AD9"/>
    <w:rsid w:val="02C4633C"/>
    <w:rsid w:val="02FE7A2C"/>
    <w:rsid w:val="03164509"/>
    <w:rsid w:val="037B608B"/>
    <w:rsid w:val="03900D70"/>
    <w:rsid w:val="03BF4636"/>
    <w:rsid w:val="043833BC"/>
    <w:rsid w:val="05282922"/>
    <w:rsid w:val="05743748"/>
    <w:rsid w:val="05FD0EAD"/>
    <w:rsid w:val="06171B42"/>
    <w:rsid w:val="06530F29"/>
    <w:rsid w:val="065D535C"/>
    <w:rsid w:val="066C5AF4"/>
    <w:rsid w:val="07223B44"/>
    <w:rsid w:val="0725719D"/>
    <w:rsid w:val="076808B4"/>
    <w:rsid w:val="07C02047"/>
    <w:rsid w:val="07E27256"/>
    <w:rsid w:val="07EC11B9"/>
    <w:rsid w:val="08914121"/>
    <w:rsid w:val="089B75B6"/>
    <w:rsid w:val="089F48AC"/>
    <w:rsid w:val="08B95FAF"/>
    <w:rsid w:val="095A6915"/>
    <w:rsid w:val="097914DE"/>
    <w:rsid w:val="099A29BB"/>
    <w:rsid w:val="09C82DC6"/>
    <w:rsid w:val="09E830DD"/>
    <w:rsid w:val="0A641E54"/>
    <w:rsid w:val="0AE5737F"/>
    <w:rsid w:val="0AEB4D2E"/>
    <w:rsid w:val="0AFA04AF"/>
    <w:rsid w:val="0B2854B7"/>
    <w:rsid w:val="0B5A6D5F"/>
    <w:rsid w:val="0B702E95"/>
    <w:rsid w:val="0C1734E6"/>
    <w:rsid w:val="0C465321"/>
    <w:rsid w:val="0CBA046B"/>
    <w:rsid w:val="0CD34EFF"/>
    <w:rsid w:val="0CDA088F"/>
    <w:rsid w:val="0CFC7345"/>
    <w:rsid w:val="0D240982"/>
    <w:rsid w:val="0D781E29"/>
    <w:rsid w:val="0E345530"/>
    <w:rsid w:val="0E947D89"/>
    <w:rsid w:val="0F2D2C5D"/>
    <w:rsid w:val="0F304F86"/>
    <w:rsid w:val="0F420568"/>
    <w:rsid w:val="0F5A6124"/>
    <w:rsid w:val="0FCE7E58"/>
    <w:rsid w:val="103852DA"/>
    <w:rsid w:val="103D7A7A"/>
    <w:rsid w:val="10AF4A06"/>
    <w:rsid w:val="10EA5DD8"/>
    <w:rsid w:val="10ED011B"/>
    <w:rsid w:val="11252F1A"/>
    <w:rsid w:val="117D03B7"/>
    <w:rsid w:val="11D35ECA"/>
    <w:rsid w:val="121B17A1"/>
    <w:rsid w:val="12260115"/>
    <w:rsid w:val="126C35C1"/>
    <w:rsid w:val="12A80A9A"/>
    <w:rsid w:val="12ED0AC1"/>
    <w:rsid w:val="13A147CE"/>
    <w:rsid w:val="1412586F"/>
    <w:rsid w:val="144D74F1"/>
    <w:rsid w:val="14695692"/>
    <w:rsid w:val="149A6E87"/>
    <w:rsid w:val="149B08DC"/>
    <w:rsid w:val="14AC27FC"/>
    <w:rsid w:val="14D50D81"/>
    <w:rsid w:val="15284B7A"/>
    <w:rsid w:val="156173A0"/>
    <w:rsid w:val="15D65076"/>
    <w:rsid w:val="15F90791"/>
    <w:rsid w:val="16274FBF"/>
    <w:rsid w:val="16887312"/>
    <w:rsid w:val="16BB2E3C"/>
    <w:rsid w:val="16E41E49"/>
    <w:rsid w:val="176C38A0"/>
    <w:rsid w:val="17837E4E"/>
    <w:rsid w:val="17AB4629"/>
    <w:rsid w:val="17F654E3"/>
    <w:rsid w:val="1808590F"/>
    <w:rsid w:val="183F3F70"/>
    <w:rsid w:val="185A6A58"/>
    <w:rsid w:val="18723695"/>
    <w:rsid w:val="18AC5BF4"/>
    <w:rsid w:val="18B358E3"/>
    <w:rsid w:val="18C748B7"/>
    <w:rsid w:val="19502AFF"/>
    <w:rsid w:val="196E49C7"/>
    <w:rsid w:val="19AE35ED"/>
    <w:rsid w:val="1A0B0B52"/>
    <w:rsid w:val="1A4100CF"/>
    <w:rsid w:val="1A9B556D"/>
    <w:rsid w:val="1B7D7FE3"/>
    <w:rsid w:val="1BD41A17"/>
    <w:rsid w:val="1BED5CE0"/>
    <w:rsid w:val="1C3152AF"/>
    <w:rsid w:val="1C320D13"/>
    <w:rsid w:val="1C677BCF"/>
    <w:rsid w:val="1C863E5F"/>
    <w:rsid w:val="1CA27161"/>
    <w:rsid w:val="1CDF3654"/>
    <w:rsid w:val="1D3E15EC"/>
    <w:rsid w:val="1DE62317"/>
    <w:rsid w:val="1E3644FF"/>
    <w:rsid w:val="1EF07BE9"/>
    <w:rsid w:val="1EFE461A"/>
    <w:rsid w:val="1F603866"/>
    <w:rsid w:val="1FC7683A"/>
    <w:rsid w:val="1FDF5B04"/>
    <w:rsid w:val="1FFE7667"/>
    <w:rsid w:val="20040DFF"/>
    <w:rsid w:val="213212D6"/>
    <w:rsid w:val="21FC2E7E"/>
    <w:rsid w:val="22016A78"/>
    <w:rsid w:val="2217174F"/>
    <w:rsid w:val="22213E6C"/>
    <w:rsid w:val="224C5A31"/>
    <w:rsid w:val="225C7323"/>
    <w:rsid w:val="2269333F"/>
    <w:rsid w:val="22B107F8"/>
    <w:rsid w:val="235231CF"/>
    <w:rsid w:val="239B35B7"/>
    <w:rsid w:val="23A83A0D"/>
    <w:rsid w:val="24140680"/>
    <w:rsid w:val="243B7B17"/>
    <w:rsid w:val="24492F66"/>
    <w:rsid w:val="246062EC"/>
    <w:rsid w:val="24E07885"/>
    <w:rsid w:val="25123A35"/>
    <w:rsid w:val="2534229A"/>
    <w:rsid w:val="257D32B1"/>
    <w:rsid w:val="25EC6BD7"/>
    <w:rsid w:val="26165B41"/>
    <w:rsid w:val="26881B2A"/>
    <w:rsid w:val="276C144B"/>
    <w:rsid w:val="27751639"/>
    <w:rsid w:val="27C45851"/>
    <w:rsid w:val="27CF750B"/>
    <w:rsid w:val="27E36121"/>
    <w:rsid w:val="280C74C5"/>
    <w:rsid w:val="28525604"/>
    <w:rsid w:val="287C47B4"/>
    <w:rsid w:val="28AF333F"/>
    <w:rsid w:val="2920062A"/>
    <w:rsid w:val="293B3F83"/>
    <w:rsid w:val="297E1EFC"/>
    <w:rsid w:val="29FD398C"/>
    <w:rsid w:val="2A1B7B5C"/>
    <w:rsid w:val="2A395F8D"/>
    <w:rsid w:val="2A656EEF"/>
    <w:rsid w:val="2A691501"/>
    <w:rsid w:val="2A7603D1"/>
    <w:rsid w:val="2AA32102"/>
    <w:rsid w:val="2AAE6793"/>
    <w:rsid w:val="2B382728"/>
    <w:rsid w:val="2B5C6850"/>
    <w:rsid w:val="2B8A529A"/>
    <w:rsid w:val="2BAA0794"/>
    <w:rsid w:val="2BAD2685"/>
    <w:rsid w:val="2BC43604"/>
    <w:rsid w:val="2C445CD5"/>
    <w:rsid w:val="2C957B69"/>
    <w:rsid w:val="2CB23497"/>
    <w:rsid w:val="2D2F0A6E"/>
    <w:rsid w:val="2D47547B"/>
    <w:rsid w:val="2E290C48"/>
    <w:rsid w:val="2F1D5A8B"/>
    <w:rsid w:val="2FAA2872"/>
    <w:rsid w:val="2FB1307B"/>
    <w:rsid w:val="2FCA1259"/>
    <w:rsid w:val="2FDC331F"/>
    <w:rsid w:val="2FE857C9"/>
    <w:rsid w:val="309148BA"/>
    <w:rsid w:val="30A04B7E"/>
    <w:rsid w:val="30D40089"/>
    <w:rsid w:val="320D0E17"/>
    <w:rsid w:val="322D3DD5"/>
    <w:rsid w:val="323563A5"/>
    <w:rsid w:val="329F0927"/>
    <w:rsid w:val="32B61B46"/>
    <w:rsid w:val="32C945B8"/>
    <w:rsid w:val="330C0562"/>
    <w:rsid w:val="331C31BE"/>
    <w:rsid w:val="33464B7A"/>
    <w:rsid w:val="334D0383"/>
    <w:rsid w:val="33576347"/>
    <w:rsid w:val="33915228"/>
    <w:rsid w:val="33B075FE"/>
    <w:rsid w:val="33CB2631"/>
    <w:rsid w:val="340332F1"/>
    <w:rsid w:val="34395C89"/>
    <w:rsid w:val="34877D0D"/>
    <w:rsid w:val="349613D0"/>
    <w:rsid w:val="34DA79F4"/>
    <w:rsid w:val="351A72AD"/>
    <w:rsid w:val="35282C5A"/>
    <w:rsid w:val="354D41DF"/>
    <w:rsid w:val="35D5640E"/>
    <w:rsid w:val="35FB23CC"/>
    <w:rsid w:val="36371F6E"/>
    <w:rsid w:val="36774B69"/>
    <w:rsid w:val="36AC5178"/>
    <w:rsid w:val="36BE381C"/>
    <w:rsid w:val="370C6F24"/>
    <w:rsid w:val="373E372F"/>
    <w:rsid w:val="37CA3A87"/>
    <w:rsid w:val="38137F9C"/>
    <w:rsid w:val="384D2127"/>
    <w:rsid w:val="38B03454"/>
    <w:rsid w:val="39A04924"/>
    <w:rsid w:val="39E949C6"/>
    <w:rsid w:val="39FB0130"/>
    <w:rsid w:val="3A0D111F"/>
    <w:rsid w:val="3A0D38CD"/>
    <w:rsid w:val="3A387FA7"/>
    <w:rsid w:val="3A88044D"/>
    <w:rsid w:val="3AD30201"/>
    <w:rsid w:val="3B2E782F"/>
    <w:rsid w:val="3B893F22"/>
    <w:rsid w:val="3BCF2D0F"/>
    <w:rsid w:val="3C44454F"/>
    <w:rsid w:val="3C8467C5"/>
    <w:rsid w:val="3CB42A10"/>
    <w:rsid w:val="3CDB60E7"/>
    <w:rsid w:val="3D6E29EB"/>
    <w:rsid w:val="3D7374F4"/>
    <w:rsid w:val="3D994F8E"/>
    <w:rsid w:val="3D9B70CD"/>
    <w:rsid w:val="3DA939C5"/>
    <w:rsid w:val="3E1F1601"/>
    <w:rsid w:val="3E431917"/>
    <w:rsid w:val="3EA74EA6"/>
    <w:rsid w:val="3EAB2453"/>
    <w:rsid w:val="3F0D38BA"/>
    <w:rsid w:val="3F156B28"/>
    <w:rsid w:val="40591B82"/>
    <w:rsid w:val="406900CD"/>
    <w:rsid w:val="409B7B27"/>
    <w:rsid w:val="40ED1605"/>
    <w:rsid w:val="412133EB"/>
    <w:rsid w:val="414B2DA0"/>
    <w:rsid w:val="41F017A8"/>
    <w:rsid w:val="425828A0"/>
    <w:rsid w:val="42D52A3F"/>
    <w:rsid w:val="42F17050"/>
    <w:rsid w:val="431369E3"/>
    <w:rsid w:val="436A00A2"/>
    <w:rsid w:val="4399457F"/>
    <w:rsid w:val="443C6B00"/>
    <w:rsid w:val="445157F9"/>
    <w:rsid w:val="44676143"/>
    <w:rsid w:val="44794D63"/>
    <w:rsid w:val="44D067D1"/>
    <w:rsid w:val="44E670C8"/>
    <w:rsid w:val="453E3F7B"/>
    <w:rsid w:val="4572211D"/>
    <w:rsid w:val="46692B10"/>
    <w:rsid w:val="467C28B2"/>
    <w:rsid w:val="46924683"/>
    <w:rsid w:val="46B05CA5"/>
    <w:rsid w:val="473A5625"/>
    <w:rsid w:val="476F114B"/>
    <w:rsid w:val="47C02C46"/>
    <w:rsid w:val="47C17D67"/>
    <w:rsid w:val="48463A92"/>
    <w:rsid w:val="488515F1"/>
    <w:rsid w:val="489354A0"/>
    <w:rsid w:val="49083735"/>
    <w:rsid w:val="490F7BDD"/>
    <w:rsid w:val="49B758A3"/>
    <w:rsid w:val="4A8E51ED"/>
    <w:rsid w:val="4AAF17BC"/>
    <w:rsid w:val="4AFB1112"/>
    <w:rsid w:val="4C2F6420"/>
    <w:rsid w:val="4C8C3A8E"/>
    <w:rsid w:val="4D0C302C"/>
    <w:rsid w:val="4D473B61"/>
    <w:rsid w:val="4E053C46"/>
    <w:rsid w:val="4E13044B"/>
    <w:rsid w:val="4E1E499E"/>
    <w:rsid w:val="4E2906CE"/>
    <w:rsid w:val="4EC201C3"/>
    <w:rsid w:val="4F1C2EFD"/>
    <w:rsid w:val="4F691C56"/>
    <w:rsid w:val="4FA249DE"/>
    <w:rsid w:val="4FD81752"/>
    <w:rsid w:val="50B77329"/>
    <w:rsid w:val="51C41695"/>
    <w:rsid w:val="51D74CEC"/>
    <w:rsid w:val="524B0146"/>
    <w:rsid w:val="52861B73"/>
    <w:rsid w:val="52CB7035"/>
    <w:rsid w:val="52CD24EF"/>
    <w:rsid w:val="52D60FD9"/>
    <w:rsid w:val="531319AA"/>
    <w:rsid w:val="531D1557"/>
    <w:rsid w:val="5328390B"/>
    <w:rsid w:val="53506042"/>
    <w:rsid w:val="537F1847"/>
    <w:rsid w:val="54C94F38"/>
    <w:rsid w:val="554167A1"/>
    <w:rsid w:val="56BD677F"/>
    <w:rsid w:val="57564D00"/>
    <w:rsid w:val="57755916"/>
    <w:rsid w:val="5794651A"/>
    <w:rsid w:val="57BD2906"/>
    <w:rsid w:val="57EC095E"/>
    <w:rsid w:val="580F7213"/>
    <w:rsid w:val="58BB67A0"/>
    <w:rsid w:val="58DA0FD3"/>
    <w:rsid w:val="58F65C68"/>
    <w:rsid w:val="58FD4074"/>
    <w:rsid w:val="58FF5142"/>
    <w:rsid w:val="5923594F"/>
    <w:rsid w:val="59391735"/>
    <w:rsid w:val="596E70E3"/>
    <w:rsid w:val="59C33488"/>
    <w:rsid w:val="5A131408"/>
    <w:rsid w:val="5A2B49EC"/>
    <w:rsid w:val="5A6F1F2F"/>
    <w:rsid w:val="5A765101"/>
    <w:rsid w:val="5A9F0071"/>
    <w:rsid w:val="5AF57022"/>
    <w:rsid w:val="5B6C4405"/>
    <w:rsid w:val="5B850857"/>
    <w:rsid w:val="5B9E2DB8"/>
    <w:rsid w:val="5BA33C64"/>
    <w:rsid w:val="5BE71D34"/>
    <w:rsid w:val="5BF159D4"/>
    <w:rsid w:val="5C0E2860"/>
    <w:rsid w:val="5C712910"/>
    <w:rsid w:val="5C992924"/>
    <w:rsid w:val="5D057564"/>
    <w:rsid w:val="5D6B0290"/>
    <w:rsid w:val="5DF854E1"/>
    <w:rsid w:val="5E1A796B"/>
    <w:rsid w:val="5E2A5AED"/>
    <w:rsid w:val="5E7D2556"/>
    <w:rsid w:val="5EFB210D"/>
    <w:rsid w:val="5F110351"/>
    <w:rsid w:val="5F2913F5"/>
    <w:rsid w:val="5F3C0630"/>
    <w:rsid w:val="5FA97E40"/>
    <w:rsid w:val="5FAA4FFC"/>
    <w:rsid w:val="6025124B"/>
    <w:rsid w:val="603D5AAD"/>
    <w:rsid w:val="6072134A"/>
    <w:rsid w:val="608A7D81"/>
    <w:rsid w:val="60C05441"/>
    <w:rsid w:val="61186496"/>
    <w:rsid w:val="61B65F15"/>
    <w:rsid w:val="61BE058B"/>
    <w:rsid w:val="61BE4076"/>
    <w:rsid w:val="61D03DA9"/>
    <w:rsid w:val="61F61A03"/>
    <w:rsid w:val="6219297F"/>
    <w:rsid w:val="621E7D51"/>
    <w:rsid w:val="6277421B"/>
    <w:rsid w:val="62CD38A9"/>
    <w:rsid w:val="62DC3CE2"/>
    <w:rsid w:val="62E01DCA"/>
    <w:rsid w:val="637D72F5"/>
    <w:rsid w:val="63857653"/>
    <w:rsid w:val="63A64DC2"/>
    <w:rsid w:val="63AF3D3A"/>
    <w:rsid w:val="63D931E2"/>
    <w:rsid w:val="641D434E"/>
    <w:rsid w:val="646D072F"/>
    <w:rsid w:val="64D352B8"/>
    <w:rsid w:val="650A6E75"/>
    <w:rsid w:val="651560BA"/>
    <w:rsid w:val="65273A24"/>
    <w:rsid w:val="652B31FC"/>
    <w:rsid w:val="652E52F0"/>
    <w:rsid w:val="65302539"/>
    <w:rsid w:val="658102BD"/>
    <w:rsid w:val="65890AB7"/>
    <w:rsid w:val="65916115"/>
    <w:rsid w:val="65DE5582"/>
    <w:rsid w:val="66240165"/>
    <w:rsid w:val="66F43AF7"/>
    <w:rsid w:val="67005FA4"/>
    <w:rsid w:val="674F474C"/>
    <w:rsid w:val="675822DE"/>
    <w:rsid w:val="67787F8D"/>
    <w:rsid w:val="6792295F"/>
    <w:rsid w:val="67C07C99"/>
    <w:rsid w:val="67F266AF"/>
    <w:rsid w:val="680B78E9"/>
    <w:rsid w:val="684B7F35"/>
    <w:rsid w:val="68FC32F2"/>
    <w:rsid w:val="69A07404"/>
    <w:rsid w:val="69E95778"/>
    <w:rsid w:val="6A596387"/>
    <w:rsid w:val="6A732B77"/>
    <w:rsid w:val="6AA55DB5"/>
    <w:rsid w:val="6AC975E8"/>
    <w:rsid w:val="6AE83011"/>
    <w:rsid w:val="6B3016EB"/>
    <w:rsid w:val="6B722607"/>
    <w:rsid w:val="6BA2466A"/>
    <w:rsid w:val="6BBB6AAD"/>
    <w:rsid w:val="6C50732E"/>
    <w:rsid w:val="6C7E270E"/>
    <w:rsid w:val="6C8860A9"/>
    <w:rsid w:val="6C9768B4"/>
    <w:rsid w:val="6CA61A3A"/>
    <w:rsid w:val="6CC60CEF"/>
    <w:rsid w:val="6DB15CE3"/>
    <w:rsid w:val="6DCF7A62"/>
    <w:rsid w:val="6E044B8A"/>
    <w:rsid w:val="6EB448FD"/>
    <w:rsid w:val="6F383D07"/>
    <w:rsid w:val="6F421085"/>
    <w:rsid w:val="6FC714F2"/>
    <w:rsid w:val="6FF414D4"/>
    <w:rsid w:val="700746B2"/>
    <w:rsid w:val="70077DE7"/>
    <w:rsid w:val="706C7FA2"/>
    <w:rsid w:val="70845812"/>
    <w:rsid w:val="70E37F8D"/>
    <w:rsid w:val="71127BA2"/>
    <w:rsid w:val="7187084F"/>
    <w:rsid w:val="718F50E7"/>
    <w:rsid w:val="71FB5066"/>
    <w:rsid w:val="72165F65"/>
    <w:rsid w:val="72181581"/>
    <w:rsid w:val="72262C1C"/>
    <w:rsid w:val="726F6D4C"/>
    <w:rsid w:val="72835E6E"/>
    <w:rsid w:val="72AF0B64"/>
    <w:rsid w:val="72B30DC7"/>
    <w:rsid w:val="73975252"/>
    <w:rsid w:val="73BB1804"/>
    <w:rsid w:val="73F12CD0"/>
    <w:rsid w:val="73FD2CDB"/>
    <w:rsid w:val="74FA55F6"/>
    <w:rsid w:val="753271D8"/>
    <w:rsid w:val="756A3CA9"/>
    <w:rsid w:val="757438E6"/>
    <w:rsid w:val="7578477B"/>
    <w:rsid w:val="75E861EF"/>
    <w:rsid w:val="760553A8"/>
    <w:rsid w:val="7618435B"/>
    <w:rsid w:val="768C1119"/>
    <w:rsid w:val="7729744D"/>
    <w:rsid w:val="776C6CE8"/>
    <w:rsid w:val="777D46CA"/>
    <w:rsid w:val="77923065"/>
    <w:rsid w:val="77B37523"/>
    <w:rsid w:val="77EF43DC"/>
    <w:rsid w:val="78501E3B"/>
    <w:rsid w:val="78B70A5B"/>
    <w:rsid w:val="795A5208"/>
    <w:rsid w:val="795D3C37"/>
    <w:rsid w:val="79833C7C"/>
    <w:rsid w:val="79C91A00"/>
    <w:rsid w:val="79DB41C3"/>
    <w:rsid w:val="79EE3760"/>
    <w:rsid w:val="7A3D23EC"/>
    <w:rsid w:val="7A5709DC"/>
    <w:rsid w:val="7A8F4748"/>
    <w:rsid w:val="7A9629B0"/>
    <w:rsid w:val="7A9B4AFD"/>
    <w:rsid w:val="7ACB744D"/>
    <w:rsid w:val="7AD832E2"/>
    <w:rsid w:val="7B3E4593"/>
    <w:rsid w:val="7B533629"/>
    <w:rsid w:val="7B9F358C"/>
    <w:rsid w:val="7C1D1B1D"/>
    <w:rsid w:val="7C271FE0"/>
    <w:rsid w:val="7C464660"/>
    <w:rsid w:val="7CE03CA6"/>
    <w:rsid w:val="7D0801C2"/>
    <w:rsid w:val="7D3B2EE5"/>
    <w:rsid w:val="7D450D50"/>
    <w:rsid w:val="7D6E64F9"/>
    <w:rsid w:val="7DA60233"/>
    <w:rsid w:val="7DE92D15"/>
    <w:rsid w:val="7E1150D6"/>
    <w:rsid w:val="7E1A4758"/>
    <w:rsid w:val="7E590F57"/>
    <w:rsid w:val="7F1076A5"/>
    <w:rsid w:val="7F2A644F"/>
    <w:rsid w:val="7F737252"/>
    <w:rsid w:val="7F8D69DE"/>
    <w:rsid w:val="7FCD3814"/>
    <w:rsid w:val="7FFC29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qFormat/>
    <w:pPr>
      <w:numPr>
        <w:ilvl w:val="4"/>
        <w:numId w:val="1"/>
      </w:numPr>
      <w:adjustRightInd w:val="0"/>
      <w:spacing w:before="40" w:after="20" w:line="288" w:lineRule="auto"/>
      <w:textAlignment w:val="baseline"/>
      <w:outlineLvl w:val="4"/>
    </w:pPr>
    <w:rPr>
      <w:kern w:val="0"/>
      <w:sz w:val="28"/>
      <w:szCs w:val="20"/>
    </w:rPr>
  </w:style>
  <w:style w:type="character" w:default="1" w:styleId="a0">
    <w:name w:val="Default Paragraph Font"/>
    <w:link w:val="CharCharCharChar"/>
    <w:semiHidden/>
    <w:rPr>
      <w:sz w:val="24"/>
    </w:rPr>
  </w:style>
  <w:style w:type="table" w:default="1" w:styleId="a1">
    <w:name w:val="Normal Table"/>
    <w:semiHidden/>
    <w:rPr>
      <w:rFonts w:ascii="Calibri" w:hAnsi="Calibri" w:cs="Calibri"/>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Pr>
      <w:rFonts w:ascii="宋体"/>
      <w:sz w:val="18"/>
      <w:szCs w:val="18"/>
    </w:rPr>
  </w:style>
  <w:style w:type="character" w:customStyle="1" w:styleId="Char">
    <w:name w:val="文档结构图 Char"/>
    <w:link w:val="a3"/>
    <w:rPr>
      <w:rFonts w:ascii="宋体"/>
      <w:kern w:val="2"/>
      <w:sz w:val="18"/>
      <w:szCs w:val="18"/>
    </w:rPr>
  </w:style>
  <w:style w:type="paragraph" w:styleId="a4">
    <w:name w:val="annotation text"/>
    <w:basedOn w:val="a"/>
    <w:semiHidden/>
    <w:pPr>
      <w:jc w:val="left"/>
    </w:pPr>
  </w:style>
  <w:style w:type="paragraph" w:styleId="a5">
    <w:name w:val="Balloon Text"/>
    <w:basedOn w:val="a"/>
    <w:link w:val="Char0"/>
    <w:semiHidden/>
    <w:rPr>
      <w:sz w:val="18"/>
      <w:szCs w:val="18"/>
    </w:rPr>
  </w:style>
  <w:style w:type="character" w:customStyle="1" w:styleId="Char0">
    <w:name w:val="批注框文本 Char"/>
    <w:link w:val="a5"/>
    <w:rPr>
      <w:rFonts w:ascii="宋体" w:eastAsia="宋体" w:hAnsi="宋体" w:cs="宋体" w:hint="eastAsia"/>
    </w:rPr>
  </w:style>
  <w:style w:type="paragraph" w:styleId="a6">
    <w:name w:val="footer"/>
    <w:basedOn w:val="a"/>
    <w:link w:val="Char1"/>
    <w:pPr>
      <w:tabs>
        <w:tab w:val="center" w:pos="4153"/>
        <w:tab w:val="right" w:pos="8306"/>
      </w:tabs>
      <w:snapToGrid w:val="0"/>
      <w:jc w:val="left"/>
    </w:pPr>
    <w:rPr>
      <w:sz w:val="18"/>
      <w:szCs w:val="18"/>
    </w:rPr>
  </w:style>
  <w:style w:type="character" w:customStyle="1" w:styleId="Char1">
    <w:name w:val="页脚 Char"/>
    <w:link w:val="a6"/>
    <w:rPr>
      <w:kern w:val="2"/>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Pr>
      <w:kern w:val="2"/>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8">
    <w:name w:val="Normal (Web)"/>
    <w:basedOn w:val="a"/>
    <w:pPr>
      <w:widowControl/>
      <w:spacing w:before="100" w:beforeAutospacing="1" w:after="100" w:afterAutospacing="1"/>
      <w:jc w:val="left"/>
    </w:pPr>
    <w:rPr>
      <w:rFonts w:ascii="宋体" w:hAnsi="宋体"/>
      <w:kern w:val="0"/>
      <w:sz w:val="24"/>
    </w:rPr>
  </w:style>
  <w:style w:type="paragraph" w:styleId="a9">
    <w:name w:val="annotation subject"/>
    <w:basedOn w:val="a4"/>
    <w:next w:val="a4"/>
    <w:semiHidden/>
    <w:rPr>
      <w:b/>
      <w:bCs/>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a"/>
    <w:link w:val="a0"/>
    <w:pPr>
      <w:tabs>
        <w:tab w:val="left" w:pos="360"/>
      </w:tabs>
    </w:pPr>
    <w:rPr>
      <w:sz w:val="24"/>
    </w:rPr>
  </w:style>
  <w:style w:type="character" w:styleId="ab">
    <w:name w:val="Strong"/>
    <w:basedOn w:val="a0"/>
    <w:qFormat/>
    <w:rPr>
      <w:b/>
    </w:rPr>
  </w:style>
  <w:style w:type="character" w:styleId="ac">
    <w:name w:val="page number"/>
    <w:basedOn w:val="a0"/>
  </w:style>
  <w:style w:type="character" w:styleId="ad">
    <w:name w:val="FollowedHyperlink"/>
    <w:basedOn w:val="a0"/>
    <w:rPr>
      <w:color w:val="954F72"/>
      <w:u w:val="single"/>
    </w:rPr>
  </w:style>
  <w:style w:type="character" w:styleId="ae">
    <w:name w:val="Hyperlink"/>
    <w:basedOn w:val="a0"/>
    <w:rPr>
      <w:color w:val="0000FF"/>
      <w:u w:val="single"/>
    </w:rPr>
  </w:style>
  <w:style w:type="character" w:styleId="af">
    <w:name w:val="annotation reference"/>
    <w:semiHidden/>
    <w:rPr>
      <w:sz w:val="21"/>
      <w:szCs w:val="21"/>
    </w:rPr>
  </w:style>
  <w:style w:type="character" w:customStyle="1" w:styleId="emailstyle21">
    <w:name w:val="emailstyle21"/>
    <w:rPr>
      <w:rFonts w:ascii="Calibri" w:hAnsi="Calibri" w:cs="Calibri" w:hint="default"/>
      <w:color w:val="1F497D"/>
    </w:rPr>
  </w:style>
  <w:style w:type="character" w:customStyle="1" w:styleId="emailstyle27">
    <w:name w:val="emailstyle27"/>
    <w:rPr>
      <w:rFonts w:ascii="Calibri" w:hAnsi="Calibri" w:cs="Calibri" w:hint="default"/>
      <w:color w:val="1F497D"/>
    </w:rPr>
  </w:style>
  <w:style w:type="character" w:customStyle="1" w:styleId="da">
    <w:name w:val="da"/>
    <w:basedOn w:val="a0"/>
  </w:style>
  <w:style w:type="character" w:customStyle="1" w:styleId="emailstyle24">
    <w:name w:val="emailstyle24"/>
    <w:rPr>
      <w:rFonts w:ascii="Calibri" w:hAnsi="Calibri" w:cs="Calibri" w:hint="default"/>
      <w:color w:val="1F497D"/>
    </w:rPr>
  </w:style>
  <w:style w:type="character" w:customStyle="1" w:styleId="emailstyle26">
    <w:name w:val="emailstyle26"/>
    <w:rPr>
      <w:rFonts w:ascii="Calibri" w:hAnsi="Calibri" w:cs="Calibri" w:hint="default"/>
      <w:color w:val="1F497D"/>
    </w:rPr>
  </w:style>
  <w:style w:type="character" w:customStyle="1" w:styleId="emailstyle25">
    <w:name w:val="emailstyle25"/>
    <w:rPr>
      <w:rFonts w:ascii="Calibri" w:hAnsi="Calibri" w:cs="Calibri" w:hint="default"/>
      <w:color w:val="1F497D"/>
    </w:rPr>
  </w:style>
  <w:style w:type="character" w:customStyle="1" w:styleId="emailstyle23">
    <w:name w:val="emailstyle23"/>
    <w:rPr>
      <w:rFonts w:ascii="Calibri" w:hAnsi="Calibri" w:cs="Calibri" w:hint="default"/>
      <w:color w:val="1F497D"/>
    </w:rPr>
  </w:style>
  <w:style w:type="character" w:customStyle="1" w:styleId="txtcontent11">
    <w:name w:val="txtcontent11"/>
    <w:rPr>
      <w:rFonts w:ascii="ˎ̥" w:hAnsi="ˎ̥" w:hint="default"/>
      <w:b w:val="0"/>
      <w:bCs w:val="0"/>
      <w:color w:val="000000"/>
      <w:sz w:val="21"/>
      <w:szCs w:val="21"/>
    </w:rPr>
  </w:style>
  <w:style w:type="character" w:customStyle="1" w:styleId="emailstyle22">
    <w:name w:val="emailstyle22"/>
    <w:rPr>
      <w:rFonts w:ascii="Calibri" w:hAnsi="Calibri" w:cs="Calibri" w:hint="default"/>
      <w:color w:val="1F497D"/>
    </w:rPr>
  </w:style>
  <w:style w:type="character" w:customStyle="1" w:styleId="emailstyle20">
    <w:name w:val="emailstyle20"/>
    <w:rPr>
      <w:rFonts w:ascii="Calibri" w:hAnsi="Calibri" w:cs="Calibri" w:hint="default"/>
      <w:color w:val="1F497D"/>
    </w:rPr>
  </w:style>
  <w:style w:type="paragraph" w:customStyle="1" w:styleId="CharCharCharCharCharCharChar">
    <w:name w:val=" Char Char Char Char Char Char Char"/>
    <w:basedOn w:val="a"/>
    <w:pPr>
      <w:tabs>
        <w:tab w:val="left" w:pos="360"/>
      </w:tabs>
    </w:pPr>
    <w:rPr>
      <w:sz w:val="24"/>
    </w:rPr>
  </w:style>
  <w:style w:type="paragraph" w:customStyle="1" w:styleId="CharCharCharCharCharChar1CharCharChar">
    <w:name w:val=" Char Char Char Char Char Char1 Char Char Char"/>
    <w:basedOn w:val="a"/>
    <w:pPr>
      <w:autoSpaceDE w:val="0"/>
      <w:autoSpaceDN w:val="0"/>
      <w:adjustRightInd w:val="0"/>
      <w:jc w:val="left"/>
      <w:textAlignment w:val="baseline"/>
    </w:pPr>
    <w:rPr>
      <w:rFonts w:eastAsia="方正仿宋简体"/>
      <w:sz w:val="32"/>
      <w:szCs w:val="20"/>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fund.com.cn" TargetMode="External"/><Relationship Id="rId3" Type="http://schemas.openxmlformats.org/officeDocument/2006/relationships/settings" Target="settings.xml"/><Relationship Id="rId7" Type="http://schemas.openxmlformats.org/officeDocument/2006/relationships/hyperlink" Target="http://www.hgccp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caimofang.cn/" TargetMode="External"/><Relationship Id="rId5" Type="http://schemas.openxmlformats.org/officeDocument/2006/relationships/hyperlink" Target="http://www.shzq.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1475</Characters>
  <Application>Microsoft Office Word</Application>
  <DocSecurity>4</DocSecurity>
  <PresentationFormat/>
  <Lines>12</Lines>
  <Paragraphs>3</Paragraphs>
  <Slides>0</Slides>
  <Notes>0</Notes>
  <HiddenSlides>0</HiddenSlides>
  <MMClips>0</MMClips>
  <ScaleCrop>false</ScaleCrop>
  <Manager/>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东吴基金管理有限公司关于旗下部分基金新增广发证券股份有限公司为代销机构、开通定期定额投资及转换业务的公告</dc:title>
  <dc:subject/>
  <dc:creator>dingxue</dc:creator>
  <cp:keywords/>
  <dc:description/>
  <cp:lastModifiedBy>ZHONGM</cp:lastModifiedBy>
  <cp:revision>2</cp:revision>
  <cp:lastPrinted>2015-06-11T02:51:00Z</cp:lastPrinted>
  <dcterms:created xsi:type="dcterms:W3CDTF">2025-04-20T16:01:00Z</dcterms:created>
  <dcterms:modified xsi:type="dcterms:W3CDTF">2025-04-20T16:01:00Z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F3ABB409F6E94D56A8FBE6C80C54695D_13</vt:lpwstr>
  </property>
</Properties>
</file>