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F2" w:rsidRDefault="007A65C9">
      <w:pPr>
        <w:spacing w:after="0" w:line="240" w:lineRule="auto"/>
        <w:ind w:left="0" w:right="0" w:firstLine="0"/>
        <w:jc w:val="center"/>
        <w:rPr>
          <w:rFonts w:ascii="Times New Roman" w:hAnsi="Times New Roman"/>
          <w:sz w:val="36"/>
        </w:rPr>
      </w:pPr>
      <w:r>
        <w:rPr>
          <w:rFonts w:ascii="Times New Roman" w:hAnsi="Times New Roman"/>
          <w:sz w:val="36"/>
        </w:rPr>
        <w:t>关于</w:t>
      </w:r>
      <w:r>
        <w:rPr>
          <w:rFonts w:ascii="Times New Roman" w:hAnsi="Times New Roman" w:hint="eastAsia"/>
          <w:sz w:val="36"/>
        </w:rPr>
        <w:t>富国上海金交易型开放式证券投资基金</w:t>
      </w:r>
      <w:r>
        <w:rPr>
          <w:rFonts w:ascii="Times New Roman" w:hAnsi="Times New Roman"/>
          <w:sz w:val="36"/>
        </w:rPr>
        <w:t>基金份额</w:t>
      </w:r>
      <w:r>
        <w:rPr>
          <w:rFonts w:ascii="Times New Roman" w:hAnsi="Times New Roman" w:hint="eastAsia"/>
          <w:sz w:val="36"/>
        </w:rPr>
        <w:t>合并</w:t>
      </w:r>
      <w:r>
        <w:rPr>
          <w:rFonts w:ascii="Times New Roman" w:hAnsi="Times New Roman"/>
          <w:sz w:val="36"/>
        </w:rPr>
        <w:t>结果的公告</w:t>
      </w:r>
    </w:p>
    <w:p w:rsidR="00C876F2" w:rsidRDefault="00C876F2">
      <w:pPr>
        <w:spacing w:after="0" w:line="240" w:lineRule="auto"/>
        <w:ind w:left="428" w:firstLineChars="200" w:firstLine="420"/>
        <w:rPr>
          <w:rFonts w:ascii="Times New Roman" w:hAnsi="Times New Roman"/>
        </w:rPr>
      </w:pPr>
    </w:p>
    <w:p w:rsidR="00C876F2" w:rsidRDefault="007A65C9">
      <w:pPr>
        <w:adjustRightInd w:val="0"/>
        <w:snapToGrid w:val="0"/>
        <w:spacing w:after="0" w:line="360" w:lineRule="auto"/>
        <w:ind w:left="0" w:right="0" w:firstLineChars="200" w:firstLine="480"/>
        <w:jc w:val="both"/>
        <w:rPr>
          <w:rFonts w:ascii="Times New Roman" w:hAnsi="Times New Roman" w:cs="Times New Roman"/>
          <w:sz w:val="24"/>
          <w:szCs w:val="24"/>
        </w:rPr>
      </w:pPr>
      <w:r>
        <w:rPr>
          <w:rFonts w:ascii="Times New Roman" w:hAnsi="Times New Roman"/>
          <w:sz w:val="24"/>
          <w:szCs w:val="24"/>
        </w:rPr>
        <w:t>富国基金管理有限公司（以下简称</w:t>
      </w:r>
      <w:r>
        <w:rPr>
          <w:rFonts w:ascii="Times New Roman" w:hAnsi="Times New Roman" w:cs="Times New Roman"/>
          <w:sz w:val="24"/>
          <w:szCs w:val="24"/>
        </w:rPr>
        <w:t>“</w:t>
      </w:r>
      <w:r>
        <w:rPr>
          <w:rFonts w:ascii="Times New Roman" w:hAnsi="Times New Roman"/>
          <w:sz w:val="24"/>
          <w:szCs w:val="24"/>
        </w:rPr>
        <w:t>本基金管理人</w:t>
      </w:r>
      <w:r>
        <w:rPr>
          <w:rFonts w:ascii="Times New Roman" w:hAnsi="Times New Roman" w:cs="Times New Roman"/>
          <w:sz w:val="24"/>
          <w:szCs w:val="24"/>
        </w:rPr>
        <w:t>”</w:t>
      </w:r>
      <w:r>
        <w:rPr>
          <w:rFonts w:ascii="Times New Roman" w:hAnsi="Times New Roman"/>
          <w:sz w:val="24"/>
          <w:szCs w:val="24"/>
        </w:rPr>
        <w:t>）于</w:t>
      </w:r>
      <w:r>
        <w:rPr>
          <w:rFonts w:ascii="Times New Roman" w:hAnsi="Times New Roman" w:cs="Times New Roman" w:hint="eastAsia"/>
          <w:sz w:val="24"/>
          <w:szCs w:val="24"/>
        </w:rPr>
        <w:t>2025</w:t>
      </w:r>
      <w:r>
        <w:rPr>
          <w:rFonts w:ascii="Times New Roman" w:hAnsi="Times New Roman" w:cs="Times New Roman" w:hint="eastAsia"/>
          <w:sz w:val="24"/>
          <w:szCs w:val="24"/>
        </w:rPr>
        <w:t>年</w:t>
      </w:r>
      <w:r>
        <w:rPr>
          <w:rFonts w:ascii="Times New Roman" w:hAnsi="Times New Roman" w:cs="Times New Roman" w:hint="eastAsia"/>
          <w:sz w:val="24"/>
          <w:szCs w:val="24"/>
        </w:rPr>
        <w:t>4</w:t>
      </w:r>
      <w:r>
        <w:rPr>
          <w:rFonts w:ascii="Times New Roman" w:hAnsi="Times New Roman" w:cs="Times New Roman" w:hint="eastAsia"/>
          <w:sz w:val="24"/>
          <w:szCs w:val="24"/>
        </w:rPr>
        <w:t>月</w:t>
      </w:r>
      <w:r>
        <w:rPr>
          <w:rFonts w:ascii="Times New Roman" w:hAnsi="Times New Roman" w:cs="Times New Roman" w:hint="eastAsia"/>
          <w:sz w:val="24"/>
          <w:szCs w:val="24"/>
        </w:rPr>
        <w:t>15</w:t>
      </w:r>
      <w:r>
        <w:rPr>
          <w:rFonts w:ascii="Times New Roman" w:hAnsi="Times New Roman" w:cs="Times New Roman" w:hint="eastAsia"/>
          <w:sz w:val="24"/>
          <w:szCs w:val="24"/>
        </w:rPr>
        <w:t>日</w:t>
      </w:r>
      <w:r>
        <w:rPr>
          <w:rFonts w:ascii="Times New Roman" w:hAnsi="Times New Roman"/>
          <w:sz w:val="24"/>
          <w:szCs w:val="24"/>
        </w:rPr>
        <w:t>在公司网站</w:t>
      </w:r>
      <w:r>
        <w:rPr>
          <w:rFonts w:ascii="Times New Roman" w:hAnsi="Times New Roman" w:hint="eastAsia"/>
          <w:sz w:val="24"/>
          <w:szCs w:val="24"/>
        </w:rPr>
        <w:t>（</w:t>
      </w:r>
      <w:r>
        <w:rPr>
          <w:rFonts w:ascii="Times New Roman" w:hAnsi="Times New Roman"/>
        </w:rPr>
        <w:t>www.fullgoal.com.cn</w:t>
      </w:r>
      <w:r>
        <w:rPr>
          <w:rFonts w:ascii="Times New Roman" w:hAnsi="Times New Roman" w:cs="Times New Roman" w:hint="eastAsia"/>
          <w:sz w:val="24"/>
          <w:szCs w:val="24"/>
        </w:rPr>
        <w:t>）</w:t>
      </w:r>
      <w:r>
        <w:rPr>
          <w:rFonts w:ascii="Times New Roman" w:hAnsi="Times New Roman"/>
          <w:sz w:val="24"/>
          <w:szCs w:val="24"/>
        </w:rPr>
        <w:t>、上海证券交易所网站</w:t>
      </w:r>
      <w:r>
        <w:rPr>
          <w:rFonts w:ascii="Times New Roman" w:hAnsi="Times New Roman" w:cs="Times New Roman" w:hint="eastAsia"/>
          <w:sz w:val="24"/>
          <w:szCs w:val="24"/>
        </w:rPr>
        <w:t>（</w:t>
      </w:r>
      <w:r>
        <w:rPr>
          <w:rFonts w:ascii="Times New Roman" w:hAnsi="Times New Roman"/>
        </w:rPr>
        <w:t>www.sse.com.cn</w:t>
      </w:r>
      <w:r>
        <w:rPr>
          <w:rFonts w:ascii="Times New Roman" w:hAnsi="Times New Roman" w:cs="Times New Roman" w:hint="eastAsia"/>
          <w:sz w:val="24"/>
          <w:szCs w:val="24"/>
        </w:rPr>
        <w:t>）</w:t>
      </w:r>
      <w:r>
        <w:rPr>
          <w:rFonts w:ascii="Times New Roman" w:hAnsi="Times New Roman"/>
          <w:sz w:val="24"/>
          <w:szCs w:val="24"/>
        </w:rPr>
        <w:t>和中国证监会基金电子披露网站</w:t>
      </w:r>
      <w:r>
        <w:rPr>
          <w:rFonts w:ascii="Times New Roman" w:hAnsi="Times New Roman" w:cs="Times New Roman" w:hint="eastAsia"/>
          <w:sz w:val="24"/>
          <w:szCs w:val="24"/>
        </w:rPr>
        <w:t>（</w:t>
      </w:r>
      <w:r>
        <w:rPr>
          <w:rFonts w:ascii="Times New Roman" w:hAnsi="Times New Roman"/>
        </w:rPr>
        <w:t>http://eid.csrc.gov.cn/fund</w:t>
      </w:r>
      <w:r>
        <w:rPr>
          <w:rFonts w:ascii="Times New Roman" w:hAnsi="Times New Roman" w:cs="Times New Roman" w:hint="eastAsia"/>
          <w:sz w:val="24"/>
          <w:szCs w:val="24"/>
        </w:rPr>
        <w:t>）</w:t>
      </w:r>
      <w:r>
        <w:rPr>
          <w:rFonts w:ascii="Times New Roman" w:hAnsi="Times New Roman"/>
          <w:sz w:val="24"/>
          <w:szCs w:val="24"/>
        </w:rPr>
        <w:t>发布了《</w:t>
      </w:r>
      <w:r>
        <w:rPr>
          <w:rFonts w:ascii="Times New Roman" w:hAnsi="Times New Roman" w:hint="eastAsia"/>
          <w:sz w:val="24"/>
          <w:szCs w:val="24"/>
        </w:rPr>
        <w:t>关于富国上海金交易型开放式证券投资基金实施基金份额合并业务及相关业务安排的公告</w:t>
      </w:r>
      <w:r>
        <w:rPr>
          <w:rFonts w:ascii="Times New Roman" w:hAnsi="Times New Roman"/>
          <w:sz w:val="24"/>
          <w:szCs w:val="24"/>
        </w:rPr>
        <w:t>》。</w:t>
      </w:r>
      <w:r>
        <w:rPr>
          <w:rFonts w:ascii="Times New Roman" w:hAnsi="Times New Roman" w:hint="eastAsia"/>
          <w:sz w:val="24"/>
          <w:szCs w:val="24"/>
        </w:rPr>
        <w:t>富国上海金交易型开放式证券投资基金</w:t>
      </w:r>
      <w:r>
        <w:rPr>
          <w:rFonts w:ascii="Times New Roman" w:hAnsi="Times New Roman"/>
          <w:sz w:val="24"/>
          <w:szCs w:val="24"/>
        </w:rPr>
        <w:t>（以下简称</w:t>
      </w:r>
      <w:r>
        <w:rPr>
          <w:rFonts w:ascii="Times New Roman" w:hAnsi="Times New Roman" w:cs="Times New Roman"/>
          <w:sz w:val="24"/>
          <w:szCs w:val="24"/>
        </w:rPr>
        <w:t>“</w:t>
      </w:r>
      <w:r>
        <w:rPr>
          <w:rFonts w:ascii="Times New Roman" w:hAnsi="Times New Roman"/>
          <w:sz w:val="24"/>
          <w:szCs w:val="24"/>
        </w:rPr>
        <w:t>本基金</w:t>
      </w:r>
      <w:r>
        <w:rPr>
          <w:rFonts w:ascii="Times New Roman" w:hAnsi="Times New Roman" w:cs="Times New Roman"/>
          <w:sz w:val="24"/>
          <w:szCs w:val="24"/>
        </w:rPr>
        <w:t>”</w:t>
      </w:r>
      <w:r>
        <w:rPr>
          <w:rFonts w:ascii="Times New Roman" w:hAnsi="Times New Roman"/>
          <w:sz w:val="24"/>
          <w:szCs w:val="24"/>
        </w:rPr>
        <w:t>，</w:t>
      </w:r>
      <w:r>
        <w:rPr>
          <w:rFonts w:ascii="Times New Roman" w:hAnsi="Times New Roman" w:hint="eastAsia"/>
          <w:sz w:val="24"/>
          <w:szCs w:val="24"/>
        </w:rPr>
        <w:t>场内简称：金</w:t>
      </w:r>
      <w:r>
        <w:rPr>
          <w:rFonts w:ascii="Times New Roman" w:hAnsi="Times New Roman" w:hint="eastAsia"/>
          <w:sz w:val="24"/>
          <w:szCs w:val="24"/>
        </w:rPr>
        <w:t>ETF</w:t>
      </w:r>
      <w:r>
        <w:rPr>
          <w:rFonts w:ascii="Times New Roman" w:hAnsi="Times New Roman" w:hint="eastAsia"/>
          <w:sz w:val="24"/>
          <w:szCs w:val="24"/>
        </w:rPr>
        <w:t>，扩位证券简称：金</w:t>
      </w:r>
      <w:r>
        <w:rPr>
          <w:rFonts w:ascii="Times New Roman" w:hAnsi="Times New Roman" w:hint="eastAsia"/>
          <w:sz w:val="24"/>
          <w:szCs w:val="24"/>
        </w:rPr>
        <w:t>ETF</w:t>
      </w:r>
      <w:r>
        <w:rPr>
          <w:rFonts w:ascii="Times New Roman" w:hAnsi="Times New Roman" w:hint="eastAsia"/>
          <w:sz w:val="24"/>
          <w:szCs w:val="24"/>
        </w:rPr>
        <w:t>，基金代码：</w:t>
      </w:r>
      <w:r>
        <w:rPr>
          <w:rFonts w:ascii="Times New Roman" w:hAnsi="Times New Roman" w:hint="eastAsia"/>
          <w:sz w:val="24"/>
          <w:szCs w:val="24"/>
        </w:rPr>
        <w:t>518680</w:t>
      </w:r>
      <w:r>
        <w:rPr>
          <w:rFonts w:ascii="Times New Roman" w:hAnsi="Times New Roman"/>
          <w:sz w:val="24"/>
          <w:szCs w:val="24"/>
        </w:rPr>
        <w:t>）已于</w:t>
      </w:r>
      <w:r>
        <w:rPr>
          <w:rFonts w:ascii="Times New Roman" w:hAnsi="Times New Roman" w:cs="Times New Roman" w:hint="eastAsia"/>
          <w:sz w:val="24"/>
          <w:szCs w:val="24"/>
        </w:rPr>
        <w:t>2025</w:t>
      </w:r>
      <w:r>
        <w:rPr>
          <w:rFonts w:ascii="Times New Roman" w:hAnsi="Times New Roman" w:cs="Times New Roman" w:hint="eastAsia"/>
          <w:sz w:val="24"/>
          <w:szCs w:val="24"/>
        </w:rPr>
        <w:t>年</w:t>
      </w:r>
      <w:r>
        <w:rPr>
          <w:rFonts w:ascii="Times New Roman" w:hAnsi="Times New Roman" w:cs="Times New Roman" w:hint="eastAsia"/>
          <w:sz w:val="24"/>
          <w:szCs w:val="24"/>
        </w:rPr>
        <w:t>4</w:t>
      </w:r>
      <w:r>
        <w:rPr>
          <w:rFonts w:ascii="Times New Roman" w:hAnsi="Times New Roman" w:cs="Times New Roman" w:hint="eastAsia"/>
          <w:sz w:val="24"/>
          <w:szCs w:val="24"/>
        </w:rPr>
        <w:t>月</w:t>
      </w:r>
      <w:r>
        <w:rPr>
          <w:rFonts w:ascii="Times New Roman" w:hAnsi="Times New Roman" w:cs="Times New Roman" w:hint="eastAsia"/>
          <w:sz w:val="24"/>
          <w:szCs w:val="24"/>
        </w:rPr>
        <w:t>18</w:t>
      </w:r>
      <w:r>
        <w:rPr>
          <w:rFonts w:ascii="Times New Roman" w:hAnsi="Times New Roman" w:cs="Times New Roman" w:hint="eastAsia"/>
          <w:sz w:val="24"/>
          <w:szCs w:val="24"/>
        </w:rPr>
        <w:t>日</w:t>
      </w:r>
      <w:r>
        <w:rPr>
          <w:rFonts w:ascii="Times New Roman" w:hAnsi="Times New Roman"/>
          <w:sz w:val="24"/>
          <w:szCs w:val="24"/>
        </w:rPr>
        <w:t>（</w:t>
      </w:r>
      <w:r>
        <w:rPr>
          <w:rFonts w:ascii="Times New Roman" w:hAnsi="Times New Roman" w:hint="eastAsia"/>
          <w:sz w:val="24"/>
          <w:szCs w:val="24"/>
        </w:rPr>
        <w:t>权益登记日</w:t>
      </w:r>
      <w:r>
        <w:rPr>
          <w:rFonts w:ascii="Times New Roman" w:hAnsi="Times New Roman"/>
          <w:sz w:val="24"/>
          <w:szCs w:val="24"/>
        </w:rPr>
        <w:t>）进行了基金份额</w:t>
      </w:r>
      <w:r>
        <w:rPr>
          <w:rFonts w:ascii="Times New Roman" w:hAnsi="Times New Roman" w:hint="eastAsia"/>
          <w:sz w:val="24"/>
          <w:szCs w:val="24"/>
        </w:rPr>
        <w:t>合并</w:t>
      </w:r>
      <w:r>
        <w:rPr>
          <w:rFonts w:ascii="Times New Roman" w:hAnsi="Times New Roman"/>
          <w:sz w:val="24"/>
          <w:szCs w:val="24"/>
        </w:rPr>
        <w:t>。现将</w:t>
      </w:r>
      <w:r>
        <w:rPr>
          <w:rFonts w:ascii="Times New Roman" w:hAnsi="Times New Roman" w:hint="eastAsia"/>
          <w:sz w:val="24"/>
          <w:szCs w:val="24"/>
        </w:rPr>
        <w:t>基金份额合并结果有</w:t>
      </w:r>
      <w:r>
        <w:rPr>
          <w:rFonts w:ascii="Times New Roman" w:hAnsi="Times New Roman"/>
          <w:sz w:val="24"/>
          <w:szCs w:val="24"/>
        </w:rPr>
        <w:t>关事项公告如下：</w:t>
      </w:r>
    </w:p>
    <w:p w:rsidR="00C876F2" w:rsidRDefault="00C876F2">
      <w:pPr>
        <w:adjustRightInd w:val="0"/>
        <w:snapToGrid w:val="0"/>
        <w:spacing w:after="0" w:line="360" w:lineRule="auto"/>
        <w:ind w:left="0" w:right="0" w:firstLineChars="200" w:firstLine="480"/>
        <w:jc w:val="both"/>
        <w:rPr>
          <w:rFonts w:ascii="Times New Roman" w:hAnsi="Times New Roman" w:cs="Times New Roman"/>
          <w:sz w:val="24"/>
          <w:szCs w:val="24"/>
        </w:rPr>
      </w:pPr>
    </w:p>
    <w:p w:rsidR="00C876F2" w:rsidRDefault="007A65C9">
      <w:pPr>
        <w:adjustRightInd w:val="0"/>
        <w:snapToGrid w:val="0"/>
        <w:spacing w:after="0" w:line="360" w:lineRule="auto"/>
        <w:ind w:left="0" w:right="0" w:firstLineChars="200" w:firstLine="482"/>
        <w:jc w:val="both"/>
        <w:rPr>
          <w:rFonts w:ascii="Times New Roman" w:hAnsi="Times New Roman" w:cs="Times New Roman"/>
          <w:b/>
          <w:bCs/>
          <w:sz w:val="24"/>
          <w:szCs w:val="24"/>
        </w:rPr>
      </w:pPr>
      <w:r>
        <w:rPr>
          <w:rFonts w:ascii="Times New Roman" w:hAnsi="Times New Roman" w:hint="eastAsia"/>
          <w:b/>
          <w:bCs/>
          <w:sz w:val="24"/>
          <w:szCs w:val="24"/>
        </w:rPr>
        <w:t>一、基金份额合并结果</w:t>
      </w:r>
    </w:p>
    <w:p w:rsidR="00C876F2" w:rsidRDefault="007A65C9">
      <w:pPr>
        <w:adjustRightInd w:val="0"/>
        <w:snapToGrid w:val="0"/>
        <w:spacing w:after="0" w:line="360" w:lineRule="auto"/>
        <w:ind w:left="0" w:right="0" w:firstLineChars="200" w:firstLine="480"/>
        <w:jc w:val="both"/>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、合并方式</w:t>
      </w:r>
    </w:p>
    <w:p w:rsidR="00C876F2" w:rsidRDefault="007A65C9">
      <w:pPr>
        <w:adjustRightInd w:val="0"/>
        <w:snapToGrid w:val="0"/>
        <w:spacing w:after="0" w:line="360" w:lineRule="auto"/>
        <w:ind w:left="0" w:right="0" w:firstLineChars="200" w:firstLine="480"/>
        <w:jc w:val="both"/>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）基金份额合并后本基金基金份额净值与</w:t>
      </w:r>
      <w:r>
        <w:rPr>
          <w:rFonts w:ascii="Times New Roman" w:hAnsi="Times New Roman" w:hint="eastAsia"/>
          <w:sz w:val="24"/>
          <w:szCs w:val="24"/>
        </w:rPr>
        <w:t>2025</w:t>
      </w:r>
      <w:r>
        <w:rPr>
          <w:rFonts w:ascii="Times New Roman" w:hAnsi="Times New Roman" w:hint="eastAsia"/>
          <w:sz w:val="24"/>
          <w:szCs w:val="24"/>
        </w:rPr>
        <w:t>年</w:t>
      </w:r>
      <w:r>
        <w:rPr>
          <w:rFonts w:ascii="Times New Roman" w:hAnsi="Times New Roman" w:hint="eastAsia"/>
          <w:sz w:val="24"/>
          <w:szCs w:val="24"/>
        </w:rPr>
        <w:t>4</w:t>
      </w:r>
      <w:r>
        <w:rPr>
          <w:rFonts w:ascii="Times New Roman" w:hAnsi="Times New Roman" w:hint="eastAsia"/>
          <w:sz w:val="24"/>
          <w:szCs w:val="24"/>
        </w:rPr>
        <w:t>月</w:t>
      </w:r>
      <w:r>
        <w:rPr>
          <w:rFonts w:ascii="Times New Roman" w:hAnsi="Times New Roman" w:hint="eastAsia"/>
          <w:sz w:val="24"/>
          <w:szCs w:val="24"/>
        </w:rPr>
        <w:t>11</w:t>
      </w:r>
      <w:r>
        <w:rPr>
          <w:rFonts w:ascii="Times New Roman" w:hAnsi="Times New Roman" w:hint="eastAsia"/>
          <w:sz w:val="24"/>
          <w:szCs w:val="24"/>
        </w:rPr>
        <w:t>日</w:t>
      </w:r>
      <w:r>
        <w:rPr>
          <w:rFonts w:ascii="Times New Roman" w:hAnsi="Times New Roman" w:hint="eastAsia"/>
          <w:sz w:val="24"/>
          <w:szCs w:val="24"/>
        </w:rPr>
        <w:t>上海黄金交易所上海金集中定价合约午盘价的百分之一基本一致。</w:t>
      </w:r>
    </w:p>
    <w:p w:rsidR="00C876F2" w:rsidRDefault="007A65C9">
      <w:pPr>
        <w:adjustRightInd w:val="0"/>
        <w:snapToGrid w:val="0"/>
        <w:spacing w:after="0" w:line="360" w:lineRule="auto"/>
        <w:ind w:left="0" w:right="0" w:firstLineChars="200" w:firstLine="480"/>
        <w:jc w:val="both"/>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sz w:val="24"/>
          <w:szCs w:val="24"/>
        </w:rPr>
        <w:t>）</w:t>
      </w:r>
      <w:r>
        <w:rPr>
          <w:rFonts w:ascii="Times New Roman" w:hAnsi="Times New Roman" w:hint="eastAsia"/>
          <w:sz w:val="24"/>
          <w:szCs w:val="24"/>
        </w:rPr>
        <w:t>合并</w:t>
      </w:r>
      <w:r>
        <w:rPr>
          <w:rFonts w:ascii="Times New Roman" w:hAnsi="Times New Roman"/>
          <w:sz w:val="24"/>
          <w:szCs w:val="24"/>
        </w:rPr>
        <w:t>比例：</w:t>
      </w:r>
      <w:r>
        <w:rPr>
          <w:rFonts w:ascii="Times New Roman" w:hAnsi="Times New Roman" w:hint="eastAsia"/>
          <w:sz w:val="24"/>
          <w:szCs w:val="24"/>
        </w:rPr>
        <w:t>（</w:t>
      </w:r>
      <w:r>
        <w:rPr>
          <w:rFonts w:ascii="Times New Roman" w:hAnsi="Times New Roman" w:hint="eastAsia"/>
          <w:sz w:val="24"/>
          <w:szCs w:val="24"/>
        </w:rPr>
        <w:t>X</w:t>
      </w:r>
      <w:r>
        <w:rPr>
          <w:rFonts w:ascii="Times New Roman" w:hAnsi="Times New Roman" w:hint="eastAsia"/>
          <w:sz w:val="24"/>
          <w:szCs w:val="24"/>
        </w:rPr>
        <w:t>÷</w:t>
      </w:r>
      <w:r>
        <w:rPr>
          <w:rFonts w:ascii="Times New Roman" w:hAnsi="Times New Roman" w:hint="eastAsia"/>
          <w:sz w:val="24"/>
          <w:szCs w:val="24"/>
        </w:rPr>
        <w:t>Y</w:t>
      </w:r>
      <w:r>
        <w:rPr>
          <w:rFonts w:ascii="Times New Roman" w:hAnsi="Times New Roman" w:hint="eastAsia"/>
          <w:sz w:val="24"/>
          <w:szCs w:val="24"/>
        </w:rPr>
        <w:t>）÷（</w:t>
      </w:r>
      <w:r>
        <w:rPr>
          <w:rFonts w:ascii="Times New Roman" w:hAnsi="Times New Roman" w:hint="eastAsia"/>
          <w:sz w:val="24"/>
          <w:szCs w:val="24"/>
        </w:rPr>
        <w:t>I</w:t>
      </w: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w:t>
      </w:r>
      <w:r>
        <w:rPr>
          <w:rFonts w:ascii="Times New Roman" w:hAnsi="Times New Roman" w:hint="eastAsia"/>
          <w:sz w:val="24"/>
          <w:szCs w:val="24"/>
        </w:rPr>
        <w:t>100</w:t>
      </w:r>
      <w:r>
        <w:rPr>
          <w:rFonts w:ascii="Times New Roman" w:hAnsi="Times New Roman" w:hint="eastAsia"/>
          <w:sz w:val="24"/>
          <w:szCs w:val="24"/>
        </w:rPr>
        <w:t>）</w:t>
      </w:r>
    </w:p>
    <w:p w:rsidR="00C876F2" w:rsidRDefault="007A65C9">
      <w:pPr>
        <w:adjustRightInd w:val="0"/>
        <w:snapToGrid w:val="0"/>
        <w:spacing w:after="0" w:line="360" w:lineRule="auto"/>
        <w:ind w:left="0" w:right="0" w:firstLineChars="200" w:firstLine="480"/>
        <w:jc w:val="both"/>
        <w:rPr>
          <w:rFonts w:ascii="Times New Roman" w:hAnsi="Times New Roman"/>
          <w:sz w:val="24"/>
          <w:szCs w:val="24"/>
        </w:rPr>
      </w:pPr>
      <w:r>
        <w:rPr>
          <w:rFonts w:ascii="Times New Roman" w:hAnsi="Times New Roman" w:hint="eastAsia"/>
          <w:sz w:val="24"/>
          <w:szCs w:val="24"/>
        </w:rPr>
        <w:t>其中，</w:t>
      </w:r>
      <w:r>
        <w:rPr>
          <w:rFonts w:ascii="Times New Roman" w:hAnsi="Times New Roman" w:hint="eastAsia"/>
          <w:sz w:val="24"/>
          <w:szCs w:val="24"/>
        </w:rPr>
        <w:t>X</w:t>
      </w:r>
      <w:r>
        <w:rPr>
          <w:rFonts w:ascii="Times New Roman" w:hAnsi="Times New Roman" w:hint="eastAsia"/>
          <w:sz w:val="24"/>
          <w:szCs w:val="24"/>
        </w:rPr>
        <w:t>为</w:t>
      </w:r>
      <w:r>
        <w:rPr>
          <w:rFonts w:ascii="Times New Roman" w:hAnsi="Times New Roman" w:hint="eastAsia"/>
          <w:sz w:val="24"/>
          <w:szCs w:val="24"/>
        </w:rPr>
        <w:t>2025</w:t>
      </w:r>
      <w:r>
        <w:rPr>
          <w:rFonts w:ascii="Times New Roman" w:hAnsi="Times New Roman" w:hint="eastAsia"/>
          <w:sz w:val="24"/>
          <w:szCs w:val="24"/>
        </w:rPr>
        <w:t>年</w:t>
      </w:r>
      <w:r>
        <w:rPr>
          <w:rFonts w:ascii="Times New Roman" w:hAnsi="Times New Roman" w:hint="eastAsia"/>
          <w:sz w:val="24"/>
          <w:szCs w:val="24"/>
        </w:rPr>
        <w:t>4</w:t>
      </w:r>
      <w:r>
        <w:rPr>
          <w:rFonts w:ascii="Times New Roman" w:hAnsi="Times New Roman" w:hint="eastAsia"/>
          <w:sz w:val="24"/>
          <w:szCs w:val="24"/>
        </w:rPr>
        <w:t>月</w:t>
      </w:r>
      <w:r>
        <w:rPr>
          <w:rFonts w:ascii="Times New Roman" w:hAnsi="Times New Roman" w:hint="eastAsia"/>
          <w:sz w:val="24"/>
          <w:szCs w:val="24"/>
        </w:rPr>
        <w:t>11</w:t>
      </w:r>
      <w:r>
        <w:rPr>
          <w:rFonts w:ascii="Times New Roman" w:hAnsi="Times New Roman" w:hint="eastAsia"/>
          <w:sz w:val="24"/>
          <w:szCs w:val="24"/>
        </w:rPr>
        <w:t>日</w:t>
      </w:r>
      <w:r>
        <w:rPr>
          <w:rFonts w:ascii="Times New Roman" w:hAnsi="Times New Roman" w:hint="eastAsia"/>
          <w:sz w:val="24"/>
          <w:szCs w:val="24"/>
        </w:rPr>
        <w:t>经本基金管理人计算并经本基金托管人复核的本基金资产净值，</w:t>
      </w:r>
      <w:r>
        <w:rPr>
          <w:rFonts w:ascii="Times New Roman" w:hAnsi="Times New Roman" w:hint="eastAsia"/>
          <w:sz w:val="24"/>
          <w:szCs w:val="24"/>
        </w:rPr>
        <w:t>Y</w:t>
      </w:r>
      <w:r>
        <w:rPr>
          <w:rFonts w:ascii="Times New Roman" w:hAnsi="Times New Roman" w:hint="eastAsia"/>
          <w:sz w:val="24"/>
          <w:szCs w:val="24"/>
        </w:rPr>
        <w:t>为</w:t>
      </w:r>
      <w:r>
        <w:rPr>
          <w:rFonts w:ascii="Times New Roman" w:hAnsi="Times New Roman" w:hint="eastAsia"/>
          <w:sz w:val="24"/>
          <w:szCs w:val="24"/>
        </w:rPr>
        <w:t>2025</w:t>
      </w:r>
      <w:r>
        <w:rPr>
          <w:rFonts w:ascii="Times New Roman" w:hAnsi="Times New Roman" w:hint="eastAsia"/>
          <w:sz w:val="24"/>
          <w:szCs w:val="24"/>
        </w:rPr>
        <w:t>年</w:t>
      </w:r>
      <w:r>
        <w:rPr>
          <w:rFonts w:ascii="Times New Roman" w:hAnsi="Times New Roman" w:hint="eastAsia"/>
          <w:sz w:val="24"/>
          <w:szCs w:val="24"/>
        </w:rPr>
        <w:t>4</w:t>
      </w:r>
      <w:r>
        <w:rPr>
          <w:rFonts w:ascii="Times New Roman" w:hAnsi="Times New Roman" w:hint="eastAsia"/>
          <w:sz w:val="24"/>
          <w:szCs w:val="24"/>
        </w:rPr>
        <w:t>月</w:t>
      </w:r>
      <w:r>
        <w:rPr>
          <w:rFonts w:ascii="Times New Roman" w:hAnsi="Times New Roman" w:hint="eastAsia"/>
          <w:sz w:val="24"/>
          <w:szCs w:val="24"/>
        </w:rPr>
        <w:t>11</w:t>
      </w:r>
      <w:r>
        <w:rPr>
          <w:rFonts w:ascii="Times New Roman" w:hAnsi="Times New Roman" w:hint="eastAsia"/>
          <w:sz w:val="24"/>
          <w:szCs w:val="24"/>
        </w:rPr>
        <w:t>日</w:t>
      </w:r>
      <w:r>
        <w:rPr>
          <w:rFonts w:ascii="Times New Roman" w:hAnsi="Times New Roman" w:hint="eastAsia"/>
          <w:sz w:val="24"/>
          <w:szCs w:val="24"/>
        </w:rPr>
        <w:t>本基金基金份额总数，</w:t>
      </w:r>
      <w:r>
        <w:rPr>
          <w:rFonts w:ascii="Times New Roman" w:hAnsi="Times New Roman" w:hint="eastAsia"/>
          <w:sz w:val="24"/>
          <w:szCs w:val="24"/>
        </w:rPr>
        <w:t>I</w:t>
      </w:r>
      <w:r>
        <w:rPr>
          <w:rFonts w:ascii="Times New Roman" w:hAnsi="Times New Roman" w:hint="eastAsia"/>
          <w:sz w:val="24"/>
          <w:szCs w:val="24"/>
        </w:rPr>
        <w:t>为</w:t>
      </w:r>
      <w:r>
        <w:rPr>
          <w:rFonts w:ascii="Times New Roman" w:hAnsi="Times New Roman" w:hint="eastAsia"/>
          <w:sz w:val="24"/>
          <w:szCs w:val="24"/>
        </w:rPr>
        <w:t>2025</w:t>
      </w:r>
      <w:r>
        <w:rPr>
          <w:rFonts w:ascii="Times New Roman" w:hAnsi="Times New Roman" w:hint="eastAsia"/>
          <w:sz w:val="24"/>
          <w:szCs w:val="24"/>
        </w:rPr>
        <w:t>年</w:t>
      </w:r>
      <w:r>
        <w:rPr>
          <w:rFonts w:ascii="Times New Roman" w:hAnsi="Times New Roman" w:hint="eastAsia"/>
          <w:sz w:val="24"/>
          <w:szCs w:val="24"/>
        </w:rPr>
        <w:t>4</w:t>
      </w:r>
      <w:r>
        <w:rPr>
          <w:rFonts w:ascii="Times New Roman" w:hAnsi="Times New Roman" w:hint="eastAsia"/>
          <w:sz w:val="24"/>
          <w:szCs w:val="24"/>
        </w:rPr>
        <w:t>月</w:t>
      </w:r>
      <w:r>
        <w:rPr>
          <w:rFonts w:ascii="Times New Roman" w:hAnsi="Times New Roman" w:hint="eastAsia"/>
          <w:sz w:val="24"/>
          <w:szCs w:val="24"/>
        </w:rPr>
        <w:t>11</w:t>
      </w:r>
      <w:r>
        <w:rPr>
          <w:rFonts w:ascii="Times New Roman" w:hAnsi="Times New Roman" w:hint="eastAsia"/>
          <w:sz w:val="24"/>
          <w:szCs w:val="24"/>
        </w:rPr>
        <w:t>日</w:t>
      </w:r>
      <w:r>
        <w:rPr>
          <w:rFonts w:ascii="Times New Roman" w:hAnsi="Times New Roman" w:hint="eastAsia"/>
          <w:sz w:val="24"/>
          <w:szCs w:val="24"/>
        </w:rPr>
        <w:t>上海黄金交易所上</w:t>
      </w:r>
      <w:r>
        <w:rPr>
          <w:rFonts w:ascii="Times New Roman" w:hAnsi="Times New Roman" w:hint="eastAsia"/>
          <w:sz w:val="24"/>
          <w:szCs w:val="24"/>
        </w:rPr>
        <w:t>海</w:t>
      </w:r>
      <w:r>
        <w:rPr>
          <w:rFonts w:ascii="Times New Roman" w:hAnsi="Times New Roman" w:hint="eastAsia"/>
          <w:sz w:val="24"/>
          <w:szCs w:val="24"/>
        </w:rPr>
        <w:t>金集中定价合约午盘价。合并比例以四舍五入的方法保留至小数点后</w:t>
      </w:r>
      <w:r>
        <w:rPr>
          <w:rFonts w:ascii="Times New Roman" w:hAnsi="Times New Roman" w:hint="eastAsia"/>
          <w:sz w:val="24"/>
          <w:szCs w:val="24"/>
        </w:rPr>
        <w:t>8</w:t>
      </w:r>
      <w:r>
        <w:rPr>
          <w:rFonts w:ascii="Times New Roman" w:hAnsi="Times New Roman" w:hint="eastAsia"/>
          <w:sz w:val="24"/>
          <w:szCs w:val="24"/>
        </w:rPr>
        <w:t>位。</w:t>
      </w:r>
    </w:p>
    <w:p w:rsidR="00C876F2" w:rsidRDefault="007A65C9">
      <w:pPr>
        <w:adjustRightInd w:val="0"/>
        <w:snapToGrid w:val="0"/>
        <w:spacing w:after="0" w:line="360" w:lineRule="auto"/>
        <w:ind w:left="0" w:right="0" w:firstLineChars="200" w:firstLine="480"/>
        <w:jc w:val="both"/>
        <w:rPr>
          <w:rFonts w:ascii="Times New Roman" w:hAnsi="Times New Roman"/>
          <w:sz w:val="24"/>
          <w:szCs w:val="24"/>
        </w:rPr>
      </w:pPr>
      <w:r>
        <w:rPr>
          <w:rFonts w:ascii="Times New Roman" w:hAnsi="Times New Roman" w:hint="eastAsia"/>
          <w:sz w:val="24"/>
          <w:szCs w:val="24"/>
        </w:rPr>
        <w:t>2025</w:t>
      </w:r>
      <w:r>
        <w:rPr>
          <w:rFonts w:ascii="Times New Roman" w:hAnsi="Times New Roman" w:hint="eastAsia"/>
          <w:sz w:val="24"/>
          <w:szCs w:val="24"/>
        </w:rPr>
        <w:t>年</w:t>
      </w:r>
      <w:r>
        <w:rPr>
          <w:rFonts w:ascii="Times New Roman" w:hAnsi="Times New Roman" w:hint="eastAsia"/>
          <w:sz w:val="24"/>
          <w:szCs w:val="24"/>
        </w:rPr>
        <w:t>4</w:t>
      </w:r>
      <w:r>
        <w:rPr>
          <w:rFonts w:ascii="Times New Roman" w:hAnsi="Times New Roman" w:hint="eastAsia"/>
          <w:sz w:val="24"/>
          <w:szCs w:val="24"/>
        </w:rPr>
        <w:t>月</w:t>
      </w:r>
      <w:r>
        <w:rPr>
          <w:rFonts w:ascii="Times New Roman" w:hAnsi="Times New Roman" w:hint="eastAsia"/>
          <w:sz w:val="24"/>
          <w:szCs w:val="24"/>
        </w:rPr>
        <w:t>11</w:t>
      </w:r>
      <w:r>
        <w:rPr>
          <w:rFonts w:ascii="Times New Roman" w:hAnsi="Times New Roman" w:hint="eastAsia"/>
          <w:sz w:val="24"/>
          <w:szCs w:val="24"/>
        </w:rPr>
        <w:t>日，经本基金管理人计算并经本基金托管人复核的本基金资产净值为</w:t>
      </w:r>
      <w:r>
        <w:rPr>
          <w:rFonts w:ascii="Times New Roman" w:hAnsi="Times New Roman" w:hint="eastAsia"/>
          <w:sz w:val="24"/>
          <w:szCs w:val="24"/>
        </w:rPr>
        <w:t>1,577,679,592.50</w:t>
      </w:r>
      <w:r>
        <w:rPr>
          <w:rFonts w:ascii="Times New Roman" w:hAnsi="Times New Roman" w:hint="eastAsia"/>
          <w:sz w:val="24"/>
          <w:szCs w:val="24"/>
        </w:rPr>
        <w:t>元，该日本基金基金份额总数为</w:t>
      </w:r>
      <w:r>
        <w:rPr>
          <w:rFonts w:ascii="Times New Roman" w:hAnsi="Times New Roman" w:hint="eastAsia"/>
          <w:sz w:val="24"/>
          <w:szCs w:val="24"/>
        </w:rPr>
        <w:t>217,658,017.00</w:t>
      </w:r>
      <w:r>
        <w:rPr>
          <w:rFonts w:ascii="Times New Roman" w:hAnsi="Times New Roman" w:hint="eastAsia"/>
          <w:sz w:val="24"/>
          <w:szCs w:val="24"/>
        </w:rPr>
        <w:t>份，该日上海黄金交易所上海金集中定价合约午盘价为</w:t>
      </w:r>
      <w:r>
        <w:rPr>
          <w:rFonts w:ascii="Times New Roman" w:hAnsi="Times New Roman" w:hint="eastAsia"/>
          <w:sz w:val="24"/>
          <w:szCs w:val="24"/>
        </w:rPr>
        <w:t>756.94</w:t>
      </w:r>
      <w:r>
        <w:rPr>
          <w:rFonts w:ascii="Times New Roman" w:hAnsi="Times New Roman" w:hint="eastAsia"/>
          <w:sz w:val="24"/>
          <w:szCs w:val="24"/>
        </w:rPr>
        <w:t>元</w:t>
      </w:r>
      <w:r>
        <w:rPr>
          <w:rFonts w:ascii="Times New Roman" w:hAnsi="Times New Roman" w:hint="eastAsia"/>
          <w:sz w:val="24"/>
          <w:szCs w:val="24"/>
        </w:rPr>
        <w:t>/</w:t>
      </w:r>
      <w:r>
        <w:rPr>
          <w:rFonts w:ascii="Times New Roman" w:hAnsi="Times New Roman" w:hint="eastAsia"/>
          <w:sz w:val="24"/>
          <w:szCs w:val="24"/>
        </w:rPr>
        <w:t>克。根据上述公式，本基金本次基金份额合并比例为</w:t>
      </w:r>
      <w:r>
        <w:rPr>
          <w:rFonts w:ascii="Times New Roman" w:hAnsi="Times New Roman" w:hint="eastAsia"/>
          <w:sz w:val="24"/>
          <w:szCs w:val="24"/>
        </w:rPr>
        <w:t>0.95759680</w:t>
      </w:r>
      <w:r>
        <w:rPr>
          <w:rFonts w:ascii="Times New Roman" w:hAnsi="Times New Roman" w:hint="eastAsia"/>
          <w:sz w:val="24"/>
          <w:szCs w:val="24"/>
        </w:rPr>
        <w:t>。</w:t>
      </w:r>
    </w:p>
    <w:p w:rsidR="00C876F2" w:rsidRDefault="007A65C9">
      <w:pPr>
        <w:adjustRightInd w:val="0"/>
        <w:snapToGrid w:val="0"/>
        <w:spacing w:after="0" w:line="360" w:lineRule="auto"/>
        <w:ind w:left="0" w:right="0" w:firstLineChars="200" w:firstLine="480"/>
        <w:jc w:val="both"/>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、合并结果</w:t>
      </w:r>
    </w:p>
    <w:p w:rsidR="00C876F2" w:rsidRDefault="007A65C9">
      <w:pPr>
        <w:adjustRightInd w:val="0"/>
        <w:snapToGrid w:val="0"/>
        <w:spacing w:after="0" w:line="360" w:lineRule="auto"/>
        <w:ind w:left="0" w:right="0" w:firstLineChars="200" w:firstLine="480"/>
        <w:jc w:val="both"/>
        <w:rPr>
          <w:rFonts w:ascii="Times New Roman" w:hAnsi="Times New Roman"/>
          <w:sz w:val="24"/>
          <w:szCs w:val="24"/>
        </w:rPr>
      </w:pPr>
      <w:r>
        <w:rPr>
          <w:rFonts w:ascii="Times New Roman" w:hAnsi="Times New Roman" w:hint="eastAsia"/>
          <w:sz w:val="24"/>
          <w:szCs w:val="24"/>
        </w:rPr>
        <w:t>权益登记日（</w:t>
      </w:r>
      <w:r>
        <w:rPr>
          <w:rFonts w:ascii="Times New Roman" w:hAnsi="Times New Roman" w:hint="eastAsia"/>
          <w:sz w:val="24"/>
          <w:szCs w:val="24"/>
        </w:rPr>
        <w:t>2025</w:t>
      </w:r>
      <w:r>
        <w:rPr>
          <w:rFonts w:ascii="Times New Roman" w:hAnsi="Times New Roman" w:hint="eastAsia"/>
          <w:sz w:val="24"/>
          <w:szCs w:val="24"/>
        </w:rPr>
        <w:t>年</w:t>
      </w:r>
      <w:r>
        <w:rPr>
          <w:rFonts w:ascii="Times New Roman" w:hAnsi="Times New Roman" w:hint="eastAsia"/>
          <w:sz w:val="24"/>
          <w:szCs w:val="24"/>
        </w:rPr>
        <w:t>4</w:t>
      </w:r>
      <w:r>
        <w:rPr>
          <w:rFonts w:ascii="Times New Roman" w:hAnsi="Times New Roman" w:hint="eastAsia"/>
          <w:sz w:val="24"/>
          <w:szCs w:val="24"/>
        </w:rPr>
        <w:t>月</w:t>
      </w:r>
      <w:r>
        <w:rPr>
          <w:rFonts w:ascii="Times New Roman" w:hAnsi="Times New Roman" w:hint="eastAsia"/>
          <w:sz w:val="24"/>
          <w:szCs w:val="24"/>
        </w:rPr>
        <w:t>18</w:t>
      </w:r>
      <w:r>
        <w:rPr>
          <w:rFonts w:ascii="Times New Roman" w:hAnsi="Times New Roman" w:hint="eastAsia"/>
          <w:sz w:val="24"/>
          <w:szCs w:val="24"/>
        </w:rPr>
        <w:t>日）经本基金托管人复核的本基金份额合并</w:t>
      </w:r>
      <w:r>
        <w:rPr>
          <w:rFonts w:ascii="Times New Roman" w:hAnsi="Times New Roman" w:hint="eastAsia"/>
          <w:sz w:val="24"/>
          <w:szCs w:val="24"/>
        </w:rPr>
        <w:t>前的基金份额总额为</w:t>
      </w:r>
      <w:r>
        <w:rPr>
          <w:rFonts w:ascii="Times New Roman" w:hAnsi="Times New Roman" w:hint="eastAsia"/>
          <w:sz w:val="24"/>
          <w:szCs w:val="24"/>
        </w:rPr>
        <w:t>275,758,017.00</w:t>
      </w:r>
      <w:r>
        <w:rPr>
          <w:rFonts w:ascii="Times New Roman" w:hAnsi="Times New Roman" w:hint="eastAsia"/>
          <w:sz w:val="24"/>
          <w:szCs w:val="24"/>
        </w:rPr>
        <w:t>份，合并前的基金份额净值为</w:t>
      </w:r>
      <w:r>
        <w:rPr>
          <w:rFonts w:ascii="Times New Roman" w:hAnsi="Times New Roman" w:hint="eastAsia"/>
          <w:sz w:val="24"/>
          <w:szCs w:val="24"/>
        </w:rPr>
        <w:t>7.5690</w:t>
      </w:r>
      <w:r>
        <w:rPr>
          <w:rFonts w:ascii="Times New Roman" w:hAnsi="Times New Roman" w:hint="eastAsia"/>
          <w:sz w:val="24"/>
          <w:szCs w:val="24"/>
        </w:rPr>
        <w:t>元；本基金合并后基金份额总额为</w:t>
      </w:r>
      <w:r>
        <w:rPr>
          <w:rFonts w:ascii="Times New Roman" w:hAnsi="Times New Roman" w:hint="eastAsia"/>
          <w:sz w:val="24"/>
          <w:szCs w:val="24"/>
        </w:rPr>
        <w:t>264,069,516.00</w:t>
      </w:r>
      <w:r>
        <w:rPr>
          <w:rFonts w:ascii="Times New Roman" w:hAnsi="Times New Roman" w:hint="eastAsia"/>
          <w:sz w:val="24"/>
          <w:szCs w:val="24"/>
        </w:rPr>
        <w:t>份，合并后的基金份额净值为</w:t>
      </w:r>
      <w:r>
        <w:rPr>
          <w:rFonts w:ascii="Times New Roman" w:hAnsi="Times New Roman" w:hint="eastAsia"/>
          <w:sz w:val="24"/>
          <w:szCs w:val="24"/>
        </w:rPr>
        <w:t>7.9041</w:t>
      </w:r>
      <w:r>
        <w:rPr>
          <w:rFonts w:ascii="Times New Roman" w:hAnsi="Times New Roman" w:hint="eastAsia"/>
          <w:sz w:val="24"/>
          <w:szCs w:val="24"/>
        </w:rPr>
        <w:t>元。</w:t>
      </w:r>
    </w:p>
    <w:p w:rsidR="00C876F2" w:rsidRDefault="007A65C9">
      <w:pPr>
        <w:adjustRightInd w:val="0"/>
        <w:snapToGrid w:val="0"/>
        <w:spacing w:after="0" w:line="360" w:lineRule="auto"/>
        <w:ind w:left="0" w:right="0" w:firstLineChars="200" w:firstLine="480"/>
        <w:jc w:val="both"/>
        <w:rPr>
          <w:rFonts w:ascii="Times New Roman" w:hAnsi="Times New Roman"/>
          <w:sz w:val="24"/>
          <w:szCs w:val="24"/>
        </w:rPr>
      </w:pPr>
      <w:bookmarkStart w:id="0" w:name="_GoBack"/>
      <w:bookmarkEnd w:id="0"/>
      <w:r>
        <w:rPr>
          <w:rFonts w:ascii="Times New Roman" w:hAnsi="Times New Roman" w:hint="eastAsia"/>
          <w:sz w:val="24"/>
          <w:szCs w:val="24"/>
        </w:rPr>
        <w:t>权益登记日日终，本基金登记结算机构</w:t>
      </w:r>
      <w:r>
        <w:rPr>
          <w:rFonts w:ascii="Times New Roman" w:hAnsi="Times New Roman" w:hint="eastAsia"/>
          <w:sz w:val="24"/>
          <w:szCs w:val="24"/>
        </w:rPr>
        <w:t>已</w:t>
      </w:r>
      <w:r>
        <w:rPr>
          <w:rFonts w:ascii="Times New Roman" w:hAnsi="Times New Roman" w:hint="eastAsia"/>
          <w:sz w:val="24"/>
          <w:szCs w:val="24"/>
        </w:rPr>
        <w:t>按照上述合并比例对该日登记在册的各基金份额持有人持有的本基金基金份额进行合并，并进行变更登记。为保护</w:t>
      </w:r>
      <w:r>
        <w:rPr>
          <w:rFonts w:ascii="Times New Roman" w:hAnsi="Times New Roman" w:hint="eastAsia"/>
          <w:sz w:val="24"/>
          <w:szCs w:val="24"/>
        </w:rPr>
        <w:lastRenderedPageBreak/>
        <w:t>基金份额持有人利益，基金份额持有人持有的合并产生的小数点后基金份额将按照“上进位”的原则进行取整，即小数点后基金份额均进位为</w:t>
      </w:r>
      <w:r>
        <w:rPr>
          <w:rFonts w:ascii="Times New Roman" w:hAnsi="Times New Roman" w:hint="eastAsia"/>
          <w:sz w:val="24"/>
          <w:szCs w:val="24"/>
        </w:rPr>
        <w:t>1</w:t>
      </w:r>
      <w:r>
        <w:rPr>
          <w:rFonts w:ascii="Times New Roman" w:hAnsi="Times New Roman" w:hint="eastAsia"/>
          <w:sz w:val="24"/>
          <w:szCs w:val="24"/>
        </w:rPr>
        <w:t>份，合并后的基金份额以登记结算机构最终确认的数据为准。进位处理所</w:t>
      </w:r>
      <w:r>
        <w:rPr>
          <w:rFonts w:ascii="Times New Roman" w:hAnsi="Times New Roman" w:hint="eastAsia"/>
          <w:sz w:val="24"/>
          <w:szCs w:val="24"/>
        </w:rPr>
        <w:t>需资金由本基金管理人弥补，并于份额合并日计入基金资产。</w:t>
      </w:r>
    </w:p>
    <w:p w:rsidR="00C876F2" w:rsidRDefault="007A65C9">
      <w:pPr>
        <w:adjustRightInd w:val="0"/>
        <w:snapToGrid w:val="0"/>
        <w:spacing w:after="0" w:line="360" w:lineRule="auto"/>
        <w:ind w:left="0" w:right="0" w:firstLineChars="200" w:firstLine="480"/>
        <w:jc w:val="both"/>
        <w:rPr>
          <w:rFonts w:ascii="Times New Roman" w:hAnsi="Times New Roman" w:cs="Times New Roman"/>
          <w:sz w:val="24"/>
          <w:szCs w:val="24"/>
        </w:rPr>
      </w:pPr>
      <w:r>
        <w:rPr>
          <w:rFonts w:ascii="Times New Roman" w:hAnsi="Times New Roman"/>
          <w:sz w:val="24"/>
          <w:szCs w:val="24"/>
        </w:rPr>
        <w:t>本基金份额持有人应关注并妥善处置自身权益情况，</w:t>
      </w:r>
      <w:r>
        <w:rPr>
          <w:rFonts w:ascii="Times New Roman" w:hAnsi="Times New Roman" w:hint="eastAsia"/>
          <w:sz w:val="24"/>
          <w:szCs w:val="24"/>
        </w:rPr>
        <w:t>可</w:t>
      </w:r>
      <w:r>
        <w:rPr>
          <w:rFonts w:ascii="Times New Roman" w:hAnsi="Times New Roman"/>
          <w:sz w:val="24"/>
          <w:szCs w:val="24"/>
        </w:rPr>
        <w:t>自公告当日起通过其所属销售机构和指定交易的券商查询</w:t>
      </w:r>
      <w:r>
        <w:rPr>
          <w:rFonts w:ascii="Times New Roman" w:hAnsi="Times New Roman" w:hint="eastAsia"/>
          <w:sz w:val="24"/>
          <w:szCs w:val="24"/>
        </w:rPr>
        <w:t>合并</w:t>
      </w:r>
      <w:r>
        <w:rPr>
          <w:rFonts w:ascii="Times New Roman" w:hAnsi="Times New Roman"/>
          <w:sz w:val="24"/>
          <w:szCs w:val="24"/>
        </w:rPr>
        <w:t>后其所持有的基金份额。</w:t>
      </w:r>
    </w:p>
    <w:p w:rsidR="00C876F2" w:rsidRDefault="00C876F2">
      <w:pPr>
        <w:adjustRightInd w:val="0"/>
        <w:snapToGrid w:val="0"/>
        <w:spacing w:after="0" w:line="360" w:lineRule="auto"/>
        <w:ind w:left="0" w:right="0" w:firstLineChars="200" w:firstLine="480"/>
        <w:jc w:val="both"/>
        <w:rPr>
          <w:rFonts w:ascii="Times New Roman" w:hAnsi="Times New Roman" w:cs="Times New Roman"/>
          <w:sz w:val="24"/>
          <w:szCs w:val="24"/>
        </w:rPr>
      </w:pPr>
    </w:p>
    <w:p w:rsidR="00C876F2" w:rsidRDefault="007A65C9">
      <w:pPr>
        <w:adjustRightInd w:val="0"/>
        <w:snapToGrid w:val="0"/>
        <w:spacing w:after="0" w:line="360" w:lineRule="auto"/>
        <w:ind w:left="0" w:right="0" w:firstLineChars="200" w:firstLine="482"/>
        <w:jc w:val="both"/>
        <w:rPr>
          <w:rFonts w:ascii="Times New Roman" w:hAnsi="Times New Roman" w:cs="Times New Roman"/>
          <w:sz w:val="24"/>
          <w:szCs w:val="24"/>
        </w:rPr>
      </w:pPr>
      <w:r>
        <w:rPr>
          <w:rFonts w:ascii="Times New Roman" w:hAnsi="Times New Roman" w:hint="eastAsia"/>
          <w:b/>
          <w:bCs/>
          <w:sz w:val="24"/>
          <w:szCs w:val="24"/>
        </w:rPr>
        <w:t>二</w:t>
      </w:r>
      <w:r>
        <w:rPr>
          <w:rFonts w:ascii="Times New Roman" w:hAnsi="Times New Roman"/>
          <w:b/>
          <w:bCs/>
          <w:sz w:val="24"/>
          <w:szCs w:val="24"/>
        </w:rPr>
        <w:t>、其他需要提示的事项</w:t>
      </w:r>
      <w:r>
        <w:rPr>
          <w:rFonts w:ascii="Times New Roman" w:hAnsi="Times New Roman" w:cs="Times New Roman"/>
          <w:sz w:val="24"/>
          <w:szCs w:val="24"/>
        </w:rPr>
        <w:t xml:space="preserve"> </w:t>
      </w:r>
    </w:p>
    <w:p w:rsidR="00C876F2" w:rsidRDefault="007A65C9">
      <w:pPr>
        <w:adjustRightInd w:val="0"/>
        <w:snapToGrid w:val="0"/>
        <w:spacing w:after="0" w:line="360" w:lineRule="auto"/>
        <w:ind w:left="0" w:right="0" w:firstLineChars="200" w:firstLine="480"/>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sz w:val="24"/>
          <w:szCs w:val="24"/>
        </w:rPr>
        <w:t>、</w:t>
      </w:r>
      <w:r>
        <w:rPr>
          <w:rFonts w:ascii="Times New Roman" w:hAnsi="Times New Roman" w:hint="eastAsia"/>
          <w:sz w:val="24"/>
          <w:szCs w:val="24"/>
        </w:rPr>
        <w:t>2025</w:t>
      </w:r>
      <w:r>
        <w:rPr>
          <w:rFonts w:ascii="Times New Roman" w:hAnsi="Times New Roman" w:hint="eastAsia"/>
          <w:sz w:val="24"/>
          <w:szCs w:val="24"/>
        </w:rPr>
        <w:t>年</w:t>
      </w:r>
      <w:r>
        <w:rPr>
          <w:rFonts w:ascii="Times New Roman" w:hAnsi="Times New Roman" w:hint="eastAsia"/>
          <w:sz w:val="24"/>
          <w:szCs w:val="24"/>
        </w:rPr>
        <w:t>4</w:t>
      </w:r>
      <w:r>
        <w:rPr>
          <w:rFonts w:ascii="Times New Roman" w:hAnsi="Times New Roman" w:hint="eastAsia"/>
          <w:sz w:val="24"/>
          <w:szCs w:val="24"/>
        </w:rPr>
        <w:t>月</w:t>
      </w:r>
      <w:r>
        <w:rPr>
          <w:rFonts w:ascii="Times New Roman" w:hAnsi="Times New Roman" w:hint="eastAsia"/>
          <w:sz w:val="24"/>
          <w:szCs w:val="24"/>
        </w:rPr>
        <w:t>21</w:t>
      </w:r>
      <w:r>
        <w:rPr>
          <w:rFonts w:ascii="Times New Roman" w:hAnsi="Times New Roman" w:hint="eastAsia"/>
          <w:sz w:val="24"/>
          <w:szCs w:val="24"/>
        </w:rPr>
        <w:t>日</w:t>
      </w:r>
      <w:r>
        <w:rPr>
          <w:rFonts w:ascii="Times New Roman" w:hAnsi="Times New Roman" w:hint="eastAsia"/>
          <w:sz w:val="24"/>
          <w:szCs w:val="24"/>
        </w:rPr>
        <w:t>起，本基金恢复办理以本基金为标的证券的约定购回业务。</w:t>
      </w:r>
    </w:p>
    <w:p w:rsidR="00C876F2" w:rsidRDefault="007A65C9">
      <w:pPr>
        <w:numPr>
          <w:ilvl w:val="0"/>
          <w:numId w:val="1"/>
        </w:numPr>
        <w:adjustRightInd w:val="0"/>
        <w:snapToGrid w:val="0"/>
        <w:spacing w:after="0" w:line="360" w:lineRule="auto"/>
        <w:ind w:left="0" w:right="0" w:firstLineChars="200" w:firstLine="480"/>
        <w:jc w:val="both"/>
        <w:rPr>
          <w:rFonts w:ascii="Times New Roman" w:hAnsi="Times New Roman"/>
          <w:sz w:val="24"/>
          <w:szCs w:val="24"/>
        </w:rPr>
      </w:pPr>
      <w:r>
        <w:rPr>
          <w:rFonts w:ascii="Times New Roman" w:hAnsi="Times New Roman"/>
          <w:sz w:val="24"/>
          <w:szCs w:val="24"/>
        </w:rPr>
        <w:t>基金份额</w:t>
      </w:r>
      <w:r>
        <w:rPr>
          <w:rFonts w:ascii="Times New Roman" w:hAnsi="Times New Roman" w:hint="eastAsia"/>
          <w:sz w:val="24"/>
          <w:szCs w:val="24"/>
        </w:rPr>
        <w:t>合并</w:t>
      </w:r>
      <w:r>
        <w:rPr>
          <w:rFonts w:ascii="Times New Roman" w:hAnsi="Times New Roman"/>
          <w:sz w:val="24"/>
          <w:szCs w:val="24"/>
        </w:rPr>
        <w:t>后，本基金的基金份额总额与基金份额持有人持有的基金份额数额将发生调整，但调整后的基金份额持有人持有的基金份额占基金份额总额的比例不发生变化。基金份额</w:t>
      </w:r>
      <w:r>
        <w:rPr>
          <w:rFonts w:ascii="Times New Roman" w:hAnsi="Times New Roman" w:hint="eastAsia"/>
          <w:sz w:val="24"/>
          <w:szCs w:val="24"/>
        </w:rPr>
        <w:t>合并</w:t>
      </w:r>
      <w:r>
        <w:rPr>
          <w:rFonts w:ascii="Times New Roman" w:hAnsi="Times New Roman"/>
          <w:sz w:val="24"/>
          <w:szCs w:val="24"/>
        </w:rPr>
        <w:t>对基金份额持有人的权益无实质性影响。基金份额</w:t>
      </w:r>
      <w:r>
        <w:rPr>
          <w:rFonts w:ascii="Times New Roman" w:hAnsi="Times New Roman" w:hint="eastAsia"/>
          <w:sz w:val="24"/>
          <w:szCs w:val="24"/>
        </w:rPr>
        <w:t>合并</w:t>
      </w:r>
      <w:r>
        <w:rPr>
          <w:rFonts w:ascii="Times New Roman" w:hAnsi="Times New Roman"/>
          <w:sz w:val="24"/>
          <w:szCs w:val="24"/>
        </w:rPr>
        <w:t>后，基金份额持有人将按照</w:t>
      </w:r>
      <w:r>
        <w:rPr>
          <w:rFonts w:ascii="Times New Roman" w:hAnsi="Times New Roman" w:hint="eastAsia"/>
          <w:sz w:val="24"/>
          <w:szCs w:val="24"/>
        </w:rPr>
        <w:t>合并</w:t>
      </w:r>
      <w:r>
        <w:rPr>
          <w:rFonts w:ascii="Times New Roman" w:hAnsi="Times New Roman"/>
          <w:sz w:val="24"/>
          <w:szCs w:val="24"/>
        </w:rPr>
        <w:t>后的基金份额享有权利并承担义务。</w:t>
      </w:r>
    </w:p>
    <w:p w:rsidR="00C876F2" w:rsidRDefault="007A65C9">
      <w:pPr>
        <w:numPr>
          <w:ilvl w:val="0"/>
          <w:numId w:val="1"/>
        </w:numPr>
        <w:adjustRightInd w:val="0"/>
        <w:snapToGrid w:val="0"/>
        <w:spacing w:after="0" w:line="360" w:lineRule="auto"/>
        <w:ind w:left="0" w:right="0" w:firstLineChars="200" w:firstLine="480"/>
        <w:jc w:val="both"/>
        <w:rPr>
          <w:rFonts w:ascii="Times New Roman" w:hAnsi="Times New Roman" w:cs="Times New Roman"/>
          <w:sz w:val="24"/>
          <w:szCs w:val="24"/>
        </w:rPr>
      </w:pPr>
      <w:r>
        <w:rPr>
          <w:rFonts w:ascii="Times New Roman" w:hAnsi="Times New Roman"/>
          <w:sz w:val="24"/>
          <w:szCs w:val="24"/>
        </w:rPr>
        <w:t>因基金份额</w:t>
      </w:r>
      <w:r>
        <w:rPr>
          <w:rFonts w:ascii="Times New Roman" w:hAnsi="Times New Roman" w:hint="eastAsia"/>
          <w:sz w:val="24"/>
          <w:szCs w:val="24"/>
        </w:rPr>
        <w:t>合并</w:t>
      </w:r>
      <w:r>
        <w:rPr>
          <w:rFonts w:ascii="Times New Roman" w:hAnsi="Times New Roman"/>
          <w:sz w:val="24"/>
          <w:szCs w:val="24"/>
        </w:rPr>
        <w:t>导致基金份额净值变化，不会改变基金的风险收益特征，也不会降低基金投资的风险或提高基金投资的预期收益。</w:t>
      </w:r>
      <w:r>
        <w:rPr>
          <w:rFonts w:ascii="Times New Roman" w:hAnsi="Times New Roman" w:cs="Times New Roman"/>
          <w:sz w:val="24"/>
          <w:szCs w:val="24"/>
        </w:rPr>
        <w:t xml:space="preserve"> </w:t>
      </w:r>
    </w:p>
    <w:p w:rsidR="00C876F2" w:rsidRDefault="007A65C9">
      <w:pPr>
        <w:adjustRightInd w:val="0"/>
        <w:snapToGrid w:val="0"/>
        <w:spacing w:after="0" w:line="360" w:lineRule="auto"/>
        <w:ind w:left="0" w:right="0" w:firstLineChars="200" w:firstLine="480"/>
        <w:jc w:val="both"/>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sz w:val="24"/>
          <w:szCs w:val="24"/>
        </w:rPr>
        <w:t>、投资人可访问本公司网站（</w:t>
      </w:r>
      <w:r>
        <w:rPr>
          <w:rFonts w:ascii="Times New Roman" w:hAnsi="Times New Roman" w:cs="Times New Roman"/>
          <w:sz w:val="24"/>
          <w:szCs w:val="24"/>
        </w:rPr>
        <w:t>www.fullgoal.com.cn</w:t>
      </w:r>
      <w:r>
        <w:rPr>
          <w:rFonts w:ascii="Times New Roman" w:hAnsi="Times New Roman"/>
          <w:sz w:val="24"/>
          <w:szCs w:val="24"/>
        </w:rPr>
        <w:t>）或拨打全国免长途话费的客户服务电话（</w:t>
      </w:r>
      <w:r>
        <w:rPr>
          <w:rFonts w:ascii="Times New Roman" w:hAnsi="Times New Roman" w:cs="Times New Roman"/>
          <w:sz w:val="24"/>
          <w:szCs w:val="24"/>
        </w:rPr>
        <w:t>95105686</w:t>
      </w:r>
      <w:r>
        <w:rPr>
          <w:rFonts w:ascii="Times New Roman" w:hAnsi="Times New Roman" w:hint="eastAsia"/>
          <w:sz w:val="24"/>
          <w:szCs w:val="24"/>
        </w:rPr>
        <w:t>、</w:t>
      </w:r>
      <w:r>
        <w:rPr>
          <w:rFonts w:ascii="Times New Roman" w:hAnsi="Times New Roman" w:cs="Times New Roman"/>
          <w:sz w:val="24"/>
          <w:szCs w:val="24"/>
        </w:rPr>
        <w:t>400-888-0688</w:t>
      </w:r>
      <w:r>
        <w:rPr>
          <w:rFonts w:ascii="Times New Roman" w:hAnsi="Times New Roman"/>
          <w:sz w:val="24"/>
          <w:szCs w:val="24"/>
        </w:rPr>
        <w:t>）咨询相关情况。</w:t>
      </w:r>
      <w:r>
        <w:rPr>
          <w:rFonts w:ascii="Times New Roman" w:hAnsi="Times New Roman" w:cs="Times New Roman"/>
          <w:sz w:val="24"/>
          <w:szCs w:val="24"/>
        </w:rPr>
        <w:t xml:space="preserve"> </w:t>
      </w:r>
    </w:p>
    <w:p w:rsidR="00C876F2" w:rsidRDefault="007A65C9">
      <w:pPr>
        <w:adjustRightInd w:val="0"/>
        <w:snapToGrid w:val="0"/>
        <w:spacing w:after="0" w:line="360" w:lineRule="auto"/>
        <w:ind w:left="0" w:right="0"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 </w:t>
      </w:r>
    </w:p>
    <w:p w:rsidR="00C876F2" w:rsidRDefault="007A65C9">
      <w:pPr>
        <w:adjustRightInd w:val="0"/>
        <w:snapToGrid w:val="0"/>
        <w:spacing w:after="0" w:line="360" w:lineRule="auto"/>
        <w:ind w:left="0" w:right="0" w:firstLineChars="200" w:firstLine="480"/>
        <w:jc w:val="both"/>
        <w:rPr>
          <w:rFonts w:ascii="Times New Roman" w:hAnsi="Times New Roman" w:cs="Times New Roman"/>
          <w:sz w:val="24"/>
          <w:szCs w:val="24"/>
        </w:rPr>
      </w:pPr>
      <w:r>
        <w:rPr>
          <w:rFonts w:ascii="Times New Roman" w:hAnsi="Times New Roman"/>
          <w:sz w:val="24"/>
          <w:szCs w:val="24"/>
        </w:rPr>
        <w:t>风险提示：本基金管理人承诺以诚实信用、勤勉尽责的原则管理和运用基金资产，但不保证基金一定盈利，也不保证最低收益。投资者投资于本基金管理人管理的基金时应认真阅读《基</w:t>
      </w:r>
      <w:r>
        <w:rPr>
          <w:rFonts w:ascii="Times New Roman" w:hAnsi="Times New Roman"/>
          <w:sz w:val="24"/>
          <w:szCs w:val="24"/>
        </w:rPr>
        <w:t>金合同》、《招募说明书》等法律文件，了解基金产品的详细情况，选择与自己风险识别能力和风险承受能力相匹配的基金，并注意投资风险。</w:t>
      </w:r>
      <w:r>
        <w:rPr>
          <w:rFonts w:ascii="Times New Roman" w:hAnsi="Times New Roman" w:cs="Times New Roman"/>
          <w:sz w:val="24"/>
          <w:szCs w:val="24"/>
        </w:rPr>
        <w:t xml:space="preserve"> </w:t>
      </w:r>
    </w:p>
    <w:p w:rsidR="00C876F2" w:rsidRDefault="007A65C9">
      <w:pPr>
        <w:adjustRightInd w:val="0"/>
        <w:snapToGrid w:val="0"/>
        <w:spacing w:after="0" w:line="360" w:lineRule="auto"/>
        <w:ind w:left="0" w:right="0"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 </w:t>
      </w:r>
    </w:p>
    <w:p w:rsidR="00C876F2" w:rsidRDefault="007A65C9">
      <w:pPr>
        <w:adjustRightInd w:val="0"/>
        <w:snapToGrid w:val="0"/>
        <w:spacing w:after="0" w:line="360" w:lineRule="auto"/>
        <w:ind w:left="0" w:right="0" w:firstLineChars="200" w:firstLine="480"/>
        <w:jc w:val="both"/>
        <w:rPr>
          <w:rFonts w:ascii="Times New Roman" w:hAnsi="Times New Roman" w:cs="Times New Roman"/>
          <w:sz w:val="24"/>
          <w:szCs w:val="24"/>
        </w:rPr>
      </w:pPr>
      <w:r>
        <w:rPr>
          <w:rFonts w:ascii="Times New Roman" w:hAnsi="Times New Roman"/>
          <w:sz w:val="24"/>
          <w:szCs w:val="24"/>
        </w:rPr>
        <w:t>特此公告。</w:t>
      </w:r>
      <w:r>
        <w:rPr>
          <w:rFonts w:ascii="Times New Roman" w:hAnsi="Times New Roman" w:cs="Times New Roman"/>
          <w:sz w:val="24"/>
          <w:szCs w:val="24"/>
        </w:rPr>
        <w:t xml:space="preserve"> </w:t>
      </w:r>
    </w:p>
    <w:p w:rsidR="00C876F2" w:rsidRDefault="007A65C9">
      <w:pPr>
        <w:adjustRightInd w:val="0"/>
        <w:snapToGrid w:val="0"/>
        <w:spacing w:after="0" w:line="360" w:lineRule="auto"/>
        <w:ind w:left="-15" w:right="-14" w:firstLine="412"/>
        <w:rPr>
          <w:rFonts w:ascii="Times New Roman" w:hAnsi="Times New Roman" w:cs="Times New Roman"/>
          <w:sz w:val="24"/>
          <w:szCs w:val="24"/>
        </w:rPr>
      </w:pPr>
      <w:r>
        <w:rPr>
          <w:rFonts w:ascii="Times New Roman" w:hAnsi="Times New Roman" w:cs="Times New Roman"/>
          <w:sz w:val="24"/>
          <w:szCs w:val="24"/>
        </w:rPr>
        <w:t xml:space="preserve"> </w:t>
      </w:r>
    </w:p>
    <w:p w:rsidR="00C876F2" w:rsidRDefault="007A65C9">
      <w:pPr>
        <w:adjustRightInd w:val="0"/>
        <w:snapToGrid w:val="0"/>
        <w:spacing w:after="0" w:line="360" w:lineRule="auto"/>
        <w:ind w:left="-15" w:right="-14" w:firstLine="412"/>
        <w:jc w:val="right"/>
        <w:rPr>
          <w:rFonts w:ascii="Times New Roman" w:hAnsi="Times New Roman" w:cs="Times New Roman"/>
          <w:sz w:val="24"/>
          <w:szCs w:val="24"/>
        </w:rPr>
      </w:pPr>
      <w:r>
        <w:rPr>
          <w:rFonts w:ascii="Times New Roman" w:hAnsi="Times New Roman"/>
          <w:sz w:val="24"/>
          <w:szCs w:val="24"/>
        </w:rPr>
        <w:t>富国基金管理有限公司</w:t>
      </w:r>
    </w:p>
    <w:p w:rsidR="00C876F2" w:rsidRDefault="007A65C9">
      <w:pPr>
        <w:adjustRightInd w:val="0"/>
        <w:snapToGrid w:val="0"/>
        <w:spacing w:after="0" w:line="360" w:lineRule="auto"/>
        <w:ind w:left="-15" w:right="-14" w:firstLine="412"/>
        <w:jc w:val="right"/>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hint="eastAsia"/>
          <w:sz w:val="24"/>
          <w:szCs w:val="24"/>
        </w:rPr>
        <w:t>5</w:t>
      </w:r>
      <w:r>
        <w:rPr>
          <w:rFonts w:ascii="Times New Roman" w:hAnsi="Times New Roman"/>
          <w:sz w:val="24"/>
          <w:szCs w:val="24"/>
        </w:rPr>
        <w:t>年</w:t>
      </w:r>
      <w:r>
        <w:rPr>
          <w:rFonts w:ascii="Times New Roman" w:hAnsi="Times New Roman" w:cs="Times New Roman" w:hint="eastAsia"/>
          <w:sz w:val="24"/>
          <w:szCs w:val="24"/>
        </w:rPr>
        <w:t>4</w:t>
      </w:r>
      <w:r>
        <w:rPr>
          <w:rFonts w:ascii="Times New Roman" w:hAnsi="Times New Roman" w:cs="Times New Roman" w:hint="eastAsia"/>
          <w:sz w:val="24"/>
          <w:szCs w:val="24"/>
        </w:rPr>
        <w:t>月</w:t>
      </w:r>
      <w:r>
        <w:rPr>
          <w:rFonts w:ascii="Times New Roman" w:hAnsi="Times New Roman" w:cs="Times New Roman" w:hint="eastAsia"/>
          <w:sz w:val="24"/>
          <w:szCs w:val="24"/>
        </w:rPr>
        <w:t>21</w:t>
      </w:r>
      <w:r>
        <w:rPr>
          <w:rFonts w:ascii="Times New Roman" w:hAnsi="Times New Roman" w:cs="Times New Roman" w:hint="eastAsia"/>
          <w:sz w:val="24"/>
          <w:szCs w:val="24"/>
        </w:rPr>
        <w:t>日</w:t>
      </w:r>
    </w:p>
    <w:sectPr w:rsidR="00C876F2" w:rsidSect="00C876F2">
      <w:pgSz w:w="11906" w:h="16838"/>
      <w:pgMar w:top="1568" w:right="1688" w:bottom="1641"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6F2" w:rsidRDefault="007A65C9">
      <w:pPr>
        <w:spacing w:line="240" w:lineRule="auto"/>
      </w:pPr>
      <w:r>
        <w:separator/>
      </w:r>
    </w:p>
  </w:endnote>
  <w:endnote w:type="continuationSeparator" w:id="0">
    <w:p w:rsidR="00C876F2" w:rsidRDefault="007A65C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6F2" w:rsidRDefault="007A65C9">
      <w:pPr>
        <w:spacing w:after="0"/>
      </w:pPr>
      <w:r>
        <w:separator/>
      </w:r>
    </w:p>
  </w:footnote>
  <w:footnote w:type="continuationSeparator" w:id="0">
    <w:p w:rsidR="00C876F2" w:rsidRDefault="007A65C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C1BC81"/>
    <w:multiLevelType w:val="singleLevel"/>
    <w:tmpl w:val="CCC1BC81"/>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characterSpacingControl w:val="doNotCompress"/>
  <w:footnotePr>
    <w:footnote w:id="-1"/>
    <w:footnote w:id="0"/>
  </w:footnotePr>
  <w:endnotePr>
    <w:endnote w:id="-1"/>
    <w:endnote w:id="0"/>
  </w:endnotePr>
  <w:compat>
    <w:useFELayout/>
  </w:compat>
  <w:rsids>
    <w:rsidRoot w:val="00DE579E"/>
    <w:rsid w:val="00002C82"/>
    <w:rsid w:val="00010842"/>
    <w:rsid w:val="00033132"/>
    <w:rsid w:val="0004566E"/>
    <w:rsid w:val="00094656"/>
    <w:rsid w:val="000A178D"/>
    <w:rsid w:val="000A782C"/>
    <w:rsid w:val="000E59EE"/>
    <w:rsid w:val="000F27FB"/>
    <w:rsid w:val="00137A91"/>
    <w:rsid w:val="001B65E2"/>
    <w:rsid w:val="00202237"/>
    <w:rsid w:val="0023438D"/>
    <w:rsid w:val="002349A1"/>
    <w:rsid w:val="002B310F"/>
    <w:rsid w:val="002C11B5"/>
    <w:rsid w:val="003932F9"/>
    <w:rsid w:val="00423CB6"/>
    <w:rsid w:val="00455B1A"/>
    <w:rsid w:val="004E2583"/>
    <w:rsid w:val="00525D7D"/>
    <w:rsid w:val="006137DB"/>
    <w:rsid w:val="00653996"/>
    <w:rsid w:val="006720F7"/>
    <w:rsid w:val="00697134"/>
    <w:rsid w:val="006D29C8"/>
    <w:rsid w:val="00762B77"/>
    <w:rsid w:val="007A65C9"/>
    <w:rsid w:val="00817723"/>
    <w:rsid w:val="009050EA"/>
    <w:rsid w:val="0091649C"/>
    <w:rsid w:val="0093604B"/>
    <w:rsid w:val="009B66D3"/>
    <w:rsid w:val="00A1382E"/>
    <w:rsid w:val="00A90AEB"/>
    <w:rsid w:val="00AA2CEB"/>
    <w:rsid w:val="00BD78DA"/>
    <w:rsid w:val="00BF3D70"/>
    <w:rsid w:val="00C00D8E"/>
    <w:rsid w:val="00C876F2"/>
    <w:rsid w:val="00D7513E"/>
    <w:rsid w:val="00DD1878"/>
    <w:rsid w:val="00DD3ED0"/>
    <w:rsid w:val="00DE579E"/>
    <w:rsid w:val="00E12B05"/>
    <w:rsid w:val="00E15ADC"/>
    <w:rsid w:val="00E279A2"/>
    <w:rsid w:val="00EA5199"/>
    <w:rsid w:val="00F03E2D"/>
    <w:rsid w:val="00F81DD0"/>
    <w:rsid w:val="00F96BCD"/>
    <w:rsid w:val="00FA26D8"/>
    <w:rsid w:val="00FA4473"/>
    <w:rsid w:val="08506633"/>
    <w:rsid w:val="0CB33364"/>
    <w:rsid w:val="104C2BCB"/>
    <w:rsid w:val="165F0561"/>
    <w:rsid w:val="18714296"/>
    <w:rsid w:val="2438587A"/>
    <w:rsid w:val="2663666A"/>
    <w:rsid w:val="3749696C"/>
    <w:rsid w:val="382A7EB4"/>
    <w:rsid w:val="3C814BF9"/>
    <w:rsid w:val="3F034C9A"/>
    <w:rsid w:val="414300BE"/>
    <w:rsid w:val="4E8B2D23"/>
    <w:rsid w:val="4FEF78AB"/>
    <w:rsid w:val="52933407"/>
    <w:rsid w:val="52E41F0D"/>
    <w:rsid w:val="554561F4"/>
    <w:rsid w:val="56FA7DED"/>
    <w:rsid w:val="58FD3088"/>
    <w:rsid w:val="59EA6DB2"/>
    <w:rsid w:val="5B980C62"/>
    <w:rsid w:val="5E807125"/>
    <w:rsid w:val="5F0B5F01"/>
    <w:rsid w:val="63A77B96"/>
    <w:rsid w:val="655004CD"/>
    <w:rsid w:val="65FA53C3"/>
    <w:rsid w:val="66A64C63"/>
    <w:rsid w:val="6F6513BC"/>
    <w:rsid w:val="73646C46"/>
    <w:rsid w:val="746F1D15"/>
    <w:rsid w:val="7E5B6A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6F2"/>
    <w:pPr>
      <w:spacing w:after="234" w:line="451" w:lineRule="auto"/>
      <w:ind w:left="-7" w:right="-15" w:hanging="8"/>
    </w:pPr>
    <w:rPr>
      <w:rFonts w:ascii="宋体" w:eastAsia="宋体" w:hAnsi="宋体" w:cs="宋体"/>
      <w:color w:val="00000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C876F2"/>
  </w:style>
  <w:style w:type="paragraph" w:styleId="a4">
    <w:name w:val="Balloon Text"/>
    <w:basedOn w:val="a"/>
    <w:link w:val="Char0"/>
    <w:uiPriority w:val="99"/>
    <w:semiHidden/>
    <w:unhideWhenUsed/>
    <w:qFormat/>
    <w:rsid w:val="00C876F2"/>
    <w:pPr>
      <w:spacing w:after="0" w:line="240" w:lineRule="auto"/>
    </w:pPr>
    <w:rPr>
      <w:sz w:val="18"/>
      <w:szCs w:val="18"/>
    </w:rPr>
  </w:style>
  <w:style w:type="paragraph" w:styleId="a5">
    <w:name w:val="footer"/>
    <w:basedOn w:val="a"/>
    <w:link w:val="Char1"/>
    <w:uiPriority w:val="99"/>
    <w:unhideWhenUsed/>
    <w:qFormat/>
    <w:rsid w:val="00C876F2"/>
    <w:pPr>
      <w:tabs>
        <w:tab w:val="center" w:pos="4153"/>
        <w:tab w:val="right" w:pos="8306"/>
      </w:tabs>
      <w:snapToGrid w:val="0"/>
      <w:spacing w:line="240" w:lineRule="auto"/>
    </w:pPr>
    <w:rPr>
      <w:sz w:val="18"/>
      <w:szCs w:val="18"/>
    </w:rPr>
  </w:style>
  <w:style w:type="paragraph" w:styleId="a6">
    <w:name w:val="header"/>
    <w:basedOn w:val="a"/>
    <w:link w:val="Char2"/>
    <w:uiPriority w:val="99"/>
    <w:unhideWhenUsed/>
    <w:qFormat/>
    <w:rsid w:val="00C876F2"/>
    <w:pPr>
      <w:pBdr>
        <w:bottom w:val="single" w:sz="6" w:space="1" w:color="auto"/>
      </w:pBdr>
      <w:tabs>
        <w:tab w:val="center" w:pos="4153"/>
        <w:tab w:val="right" w:pos="8306"/>
      </w:tabs>
      <w:snapToGrid w:val="0"/>
      <w:spacing w:line="240" w:lineRule="auto"/>
      <w:jc w:val="center"/>
    </w:pPr>
    <w:rPr>
      <w:sz w:val="18"/>
      <w:szCs w:val="18"/>
    </w:rPr>
  </w:style>
  <w:style w:type="paragraph" w:styleId="a7">
    <w:name w:val="annotation subject"/>
    <w:basedOn w:val="a3"/>
    <w:next w:val="a3"/>
    <w:link w:val="Char3"/>
    <w:uiPriority w:val="99"/>
    <w:semiHidden/>
    <w:unhideWhenUsed/>
    <w:qFormat/>
    <w:rsid w:val="00C876F2"/>
    <w:rPr>
      <w:b/>
      <w:bCs/>
    </w:rPr>
  </w:style>
  <w:style w:type="character" w:styleId="a8">
    <w:name w:val="Hyperlink"/>
    <w:basedOn w:val="a0"/>
    <w:uiPriority w:val="99"/>
    <w:unhideWhenUsed/>
    <w:qFormat/>
    <w:rsid w:val="00C876F2"/>
    <w:rPr>
      <w:color w:val="0563C1" w:themeColor="hyperlink"/>
      <w:u w:val="single"/>
    </w:rPr>
  </w:style>
  <w:style w:type="character" w:styleId="a9">
    <w:name w:val="annotation reference"/>
    <w:basedOn w:val="a0"/>
    <w:uiPriority w:val="99"/>
    <w:semiHidden/>
    <w:unhideWhenUsed/>
    <w:qFormat/>
    <w:rsid w:val="00C876F2"/>
    <w:rPr>
      <w:sz w:val="21"/>
      <w:szCs w:val="21"/>
    </w:rPr>
  </w:style>
  <w:style w:type="character" w:customStyle="1" w:styleId="Char2">
    <w:name w:val="页眉 Char"/>
    <w:basedOn w:val="a0"/>
    <w:link w:val="a6"/>
    <w:uiPriority w:val="99"/>
    <w:qFormat/>
    <w:rsid w:val="00C876F2"/>
    <w:rPr>
      <w:rFonts w:ascii="宋体" w:eastAsia="宋体" w:hAnsi="宋体" w:cs="宋体"/>
      <w:color w:val="000000"/>
      <w:sz w:val="18"/>
      <w:szCs w:val="18"/>
    </w:rPr>
  </w:style>
  <w:style w:type="character" w:customStyle="1" w:styleId="Char1">
    <w:name w:val="页脚 Char"/>
    <w:basedOn w:val="a0"/>
    <w:link w:val="a5"/>
    <w:uiPriority w:val="99"/>
    <w:qFormat/>
    <w:rsid w:val="00C876F2"/>
    <w:rPr>
      <w:rFonts w:ascii="宋体" w:eastAsia="宋体" w:hAnsi="宋体" w:cs="宋体"/>
      <w:color w:val="000000"/>
      <w:sz w:val="18"/>
      <w:szCs w:val="18"/>
    </w:rPr>
  </w:style>
  <w:style w:type="paragraph" w:styleId="aa">
    <w:name w:val="List Paragraph"/>
    <w:basedOn w:val="a"/>
    <w:uiPriority w:val="34"/>
    <w:qFormat/>
    <w:rsid w:val="00C876F2"/>
    <w:pPr>
      <w:ind w:firstLineChars="200" w:firstLine="420"/>
    </w:pPr>
  </w:style>
  <w:style w:type="character" w:customStyle="1" w:styleId="Char0">
    <w:name w:val="批注框文本 Char"/>
    <w:basedOn w:val="a0"/>
    <w:link w:val="a4"/>
    <w:uiPriority w:val="99"/>
    <w:semiHidden/>
    <w:qFormat/>
    <w:rsid w:val="00C876F2"/>
    <w:rPr>
      <w:rFonts w:ascii="宋体" w:eastAsia="宋体" w:hAnsi="宋体" w:cs="宋体"/>
      <w:color w:val="000000"/>
      <w:sz w:val="18"/>
      <w:szCs w:val="18"/>
    </w:rPr>
  </w:style>
  <w:style w:type="character" w:customStyle="1" w:styleId="Char">
    <w:name w:val="批注文字 Char"/>
    <w:basedOn w:val="a0"/>
    <w:link w:val="a3"/>
    <w:uiPriority w:val="99"/>
    <w:semiHidden/>
    <w:qFormat/>
    <w:rsid w:val="00C876F2"/>
    <w:rPr>
      <w:rFonts w:ascii="宋体" w:eastAsia="宋体" w:hAnsi="宋体" w:cs="宋体"/>
      <w:color w:val="000000"/>
    </w:rPr>
  </w:style>
  <w:style w:type="character" w:customStyle="1" w:styleId="Char3">
    <w:name w:val="批注主题 Char"/>
    <w:basedOn w:val="Char"/>
    <w:link w:val="a7"/>
    <w:uiPriority w:val="99"/>
    <w:semiHidden/>
    <w:qFormat/>
    <w:rsid w:val="00C876F2"/>
    <w:rPr>
      <w:rFonts w:ascii="宋体" w:eastAsia="宋体" w:hAnsi="宋体" w:cs="宋体"/>
      <w:b/>
      <w:bCs/>
      <w:color w:val="000000"/>
    </w:rPr>
  </w:style>
  <w:style w:type="paragraph" w:customStyle="1" w:styleId="1">
    <w:name w:val="修订1"/>
    <w:hidden/>
    <w:uiPriority w:val="99"/>
    <w:unhideWhenUsed/>
    <w:qFormat/>
    <w:rsid w:val="00C876F2"/>
    <w:rPr>
      <w:rFonts w:ascii="宋体" w:eastAsia="宋体" w:hAnsi="宋体" w:cs="宋体"/>
      <w:color w:val="000000"/>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1355</Characters>
  <Application>Microsoft Office Word</Application>
  <DocSecurity>4</DocSecurity>
  <Lines>11</Lines>
  <Paragraphs>3</Paragraphs>
  <ScaleCrop>false</ScaleCrop>
  <Company>CNSTOCK</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杨朝阳</dc:creator>
  <cp:lastModifiedBy>ZHONGM</cp:lastModifiedBy>
  <cp:revision>2</cp:revision>
  <dcterms:created xsi:type="dcterms:W3CDTF">2025-04-20T16:02:00Z</dcterms:created>
  <dcterms:modified xsi:type="dcterms:W3CDTF">2025-04-20T16:02:00Z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B6B4FE90F3D644A5B604BC0BECF0E510</vt:lpwstr>
  </property>
</Properties>
</file>