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国泰中证煤炭交易型开放式指数证券投资基金发起式联接基金基金经理变更公告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2025年4月18日</w:t>
      </w: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国泰中证煤炭交易型开放式指数证券投资基金发起式联接基金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国泰中证煤炭ETF联接</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008279</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国泰基金管理有限公司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《公开募集证券投资基金信息披露管理办法》等</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增聘基金经理、解聘基金经理</w:t>
            </w:r>
          </w:p>
        </w:tc>
      </w:tr>
      <w:tr w:rsidR="0091558B">
        <w:trPr>
          <w:trHeight w:val="624"/>
          <w:jc w:val="center"/>
        </w:trPr>
        <w:tc>
          <w:tcPr>
            <w:tcW w:w="4353" w:type="dxa"/>
            <w:vMerge w:val="restart"/>
            <w:vAlign w:val="center"/>
          </w:tcPr>
          <w:p w:rsidR="0091558B" w:rsidRDefault="007366DF">
            <w:pPr>
              <w:jc w:val="left"/>
            </w:pPr>
            <w:r>
              <w:rPr>
                <w:rFonts w:asciiTheme="minorEastAsia" w:eastAsiaTheme="minorEastAsia" w:hAnsiTheme="minorEastAsia"/>
                <w:sz w:val="24"/>
                <w:szCs w:val="24"/>
              </w:rPr>
              <w:t>新任基金经理姓名</w:t>
            </w:r>
          </w:p>
        </w:tc>
        <w:tc>
          <w:tcPr>
            <w:tcW w:w="5286" w:type="dxa"/>
            <w:vMerge w:val="restart"/>
            <w:vAlign w:val="center"/>
          </w:tcPr>
          <w:p w:rsidR="0091558B" w:rsidRDefault="007366DF">
            <w:pPr>
              <w:jc w:val="left"/>
            </w:pPr>
            <w:r>
              <w:rPr>
                <w:rFonts w:asciiTheme="minorEastAsia" w:eastAsiaTheme="minorEastAsia" w:hAnsiTheme="minorEastAsia"/>
                <w:sz w:val="24"/>
                <w:szCs w:val="24"/>
              </w:rPr>
              <w:t>朱碧莹</w:t>
            </w:r>
          </w:p>
        </w:tc>
      </w:tr>
      <w:tr w:rsidR="0091558B">
        <w:trPr>
          <w:jc w:val="center"/>
        </w:trPr>
        <w:tc>
          <w:tcPr>
            <w:tcW w:w="4353" w:type="dxa"/>
            <w:vAlign w:val="center"/>
          </w:tcPr>
          <w:p w:rsidR="0091558B" w:rsidRDefault="007366DF">
            <w:pPr>
              <w:jc w:val="left"/>
            </w:pPr>
            <w:r>
              <w:rPr>
                <w:rFonts w:asciiTheme="minorEastAsia" w:eastAsiaTheme="minorEastAsia" w:hAnsiTheme="minorEastAsia"/>
                <w:sz w:val="24"/>
                <w:szCs w:val="24"/>
              </w:rPr>
              <w:t>离任基金经理姓名</w:t>
            </w:r>
          </w:p>
        </w:tc>
        <w:tc>
          <w:tcPr>
            <w:tcW w:w="5286" w:type="dxa"/>
            <w:vAlign w:val="center"/>
          </w:tcPr>
          <w:p w:rsidR="0091558B" w:rsidRDefault="007366DF">
            <w:pPr>
              <w:jc w:val="left"/>
            </w:pPr>
            <w:r>
              <w:rPr>
                <w:rFonts w:asciiTheme="minorEastAsia" w:eastAsiaTheme="minorEastAsia" w:hAnsiTheme="minorEastAsia"/>
                <w:sz w:val="24"/>
                <w:szCs w:val="24"/>
              </w:rPr>
              <w:t>晏曦</w:t>
            </w:r>
          </w:p>
        </w:tc>
      </w:tr>
    </w:tbl>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8"/>
        <w:gridCol w:w="1052"/>
        <w:gridCol w:w="4386"/>
        <w:gridCol w:w="1416"/>
        <w:gridCol w:w="1416"/>
      </w:tblGrid>
      <w:tr w:rsidR="00042A21" w:rsidRPr="0000418A" w:rsidTr="00DF3B40">
        <w:trPr>
          <w:jc w:val="center"/>
        </w:trPr>
        <w:tc>
          <w:tcPr>
            <w:tcW w:w="209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7556"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朱碧莹</w:t>
            </w:r>
          </w:p>
        </w:tc>
      </w:tr>
      <w:tr w:rsidR="00070317" w:rsidRPr="0000418A" w:rsidTr="00DF3B40">
        <w:trPr>
          <w:jc w:val="center"/>
        </w:trPr>
        <w:tc>
          <w:tcPr>
            <w:tcW w:w="2092"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755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2025年4月17日</w:t>
            </w:r>
          </w:p>
        </w:tc>
      </w:tr>
      <w:tr w:rsidR="00070317" w:rsidRPr="0000418A" w:rsidTr="00DF3B40">
        <w:trPr>
          <w:jc w:val="center"/>
        </w:trPr>
        <w:tc>
          <w:tcPr>
            <w:tcW w:w="2092"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755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7年</w:t>
            </w:r>
          </w:p>
        </w:tc>
      </w:tr>
      <w:tr w:rsidR="00070317" w:rsidRPr="0000418A" w:rsidTr="00DF3B40">
        <w:trPr>
          <w:jc w:val="center"/>
        </w:trPr>
        <w:tc>
          <w:tcPr>
            <w:tcW w:w="2092"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755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7年</w:t>
            </w:r>
          </w:p>
        </w:tc>
      </w:tr>
      <w:tr w:rsidR="00070317" w:rsidRPr="0000418A" w:rsidTr="00DF3B40">
        <w:trPr>
          <w:jc w:val="center"/>
        </w:trPr>
        <w:tc>
          <w:tcPr>
            <w:tcW w:w="2092"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w:t>
            </w:r>
            <w:r w:rsidRPr="0000418A">
              <w:rPr>
                <w:rFonts w:asciiTheme="minorEastAsia" w:eastAsiaTheme="minorEastAsia" w:hAnsiTheme="minorEastAsia"/>
                <w:color w:val="000000"/>
                <w:sz w:val="24"/>
                <w:szCs w:val="24"/>
              </w:rPr>
              <w:lastRenderedPageBreak/>
              <w:t>经历</w:t>
            </w:r>
          </w:p>
        </w:tc>
        <w:tc>
          <w:tcPr>
            <w:tcW w:w="755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lastRenderedPageBreak/>
              <w:t>硕士研究生。曾任职于华安基金。2020年2月加入国泰基金，历任研究员、</w:t>
            </w:r>
            <w:r w:rsidRPr="0000418A">
              <w:rPr>
                <w:rFonts w:asciiTheme="minorEastAsia" w:eastAsiaTheme="minorEastAsia" w:hAnsiTheme="minorEastAsia"/>
                <w:sz w:val="24"/>
                <w:szCs w:val="24"/>
              </w:rPr>
              <w:lastRenderedPageBreak/>
              <w:t>基金经理助理。2024年11月起任国泰中证有色金属矿业主题交易型开放式指数证券投资基金发起式联接基金和国泰中证半导体材料设备主题交易型开放式指数证券投资基金发起式联接基金的基金经理，2025年3月起兼任国泰创业板50交易型开放式指数证券投资基金发起式联接基金（原国泰创业板50指数型发起式证券投资基金）、国泰恒生A股电网设备交易型开放式指数证券投资基金发起式联接基金和国泰上证科创板综合交易型开放式指数证券投资基金发起式联接基金的基金经理，2025年4月起兼任国泰富时中国国企开放共赢交易型开放式指数证券投资基金发起式联接基金、国泰中证内地运输主题交易型开放式指数证券投资基金发起式联接基金、国泰中证动漫游戏交易型开放式指数证券投资基金发起式联接基金、国泰中证800汽车与零部件交易型开放式指数证券投资基金发起式联接基金、国泰中证环保产业50交易型开放式指数证券投资基金发起式联接基金和国泰国证绿色电力交易型开放式指数证券投资基金发起式联接基金的基金经理。</w:t>
            </w:r>
          </w:p>
        </w:tc>
      </w:tr>
      <w:tr w:rsidR="00042A21" w:rsidRPr="0000418A" w:rsidTr="00DF3B40">
        <w:trPr>
          <w:jc w:val="center"/>
        </w:trPr>
        <w:tc>
          <w:tcPr>
            <w:tcW w:w="2092"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174"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355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416"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416"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018167</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国泰中证有色金属矿业主题交易型开放式指数证券投资基金发起式联接基金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2024-11-08</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019632</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国泰中证半导体材料设备主题交易型开放式指数证券投资基金发起式联接基金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2024-11-08</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023371</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国泰创业板50指数型发起式证券投资基金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2025-03-13</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2025-03-18</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023371</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国泰创业板50交易型开放式指数证券投资基金发起式联接基金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2025-03-19</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023638</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国泰恒生A股电网设备交易型开放式指数证券投资基金发起式联接基金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2025-03-24</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023733</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国泰上证科创板综合交易型开放式指数证券投资基金发起式联接基金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2025-03-25</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019259</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国泰富时中国国企开放共赢交易型开放式指数证券投资基金发起式联接基金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2025-04-09</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018905</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国泰中证内地运输主题交易型开放式指数证券投资基金发起式联接基金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2025-04-09</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012728</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国泰中证动漫游戏交易型开放式指数证</w:t>
            </w:r>
            <w:r>
              <w:rPr>
                <w:rFonts w:asciiTheme="minorEastAsia" w:eastAsiaTheme="minorEastAsia" w:hAnsiTheme="minorEastAsia"/>
                <w:color w:val="000000"/>
                <w:sz w:val="24"/>
                <w:szCs w:val="24"/>
              </w:rPr>
              <w:lastRenderedPageBreak/>
              <w:t>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lastRenderedPageBreak/>
              <w:t>2025-04-09</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012973</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国泰中证800汽车与零部件交易型开放式指数证券投资基金发起式联接基金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2025-04-09</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012503</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国泰中证环保产业50交易型开放式指数证券投资基金发起式联接基金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2025-04-09</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91558B">
        <w:trPr>
          <w:jc w:val="center"/>
        </w:trPr>
        <w:tc>
          <w:tcPr>
            <w:tcW w:w="0" w:type="auto"/>
            <w:vMerge/>
          </w:tcPr>
          <w:p w:rsidR="0091558B" w:rsidRDefault="0091558B"/>
        </w:tc>
        <w:tc>
          <w:tcPr>
            <w:tcW w:w="0" w:type="auto"/>
            <w:vAlign w:val="center"/>
          </w:tcPr>
          <w:p w:rsidR="0091558B" w:rsidRDefault="007366DF">
            <w:pPr>
              <w:jc w:val="center"/>
            </w:pPr>
            <w:r>
              <w:rPr>
                <w:rFonts w:asciiTheme="minorEastAsia" w:eastAsiaTheme="minorEastAsia" w:hAnsiTheme="minorEastAsia"/>
                <w:color w:val="000000"/>
                <w:sz w:val="24"/>
                <w:szCs w:val="24"/>
              </w:rPr>
              <w:t>018034</w:t>
            </w:r>
          </w:p>
        </w:tc>
        <w:tc>
          <w:tcPr>
            <w:tcW w:w="0" w:type="auto"/>
            <w:vAlign w:val="center"/>
          </w:tcPr>
          <w:p w:rsidR="0091558B" w:rsidRDefault="007366DF">
            <w:pPr>
              <w:jc w:val="center"/>
            </w:pPr>
            <w:r>
              <w:rPr>
                <w:rFonts w:asciiTheme="minorEastAsia" w:eastAsiaTheme="minorEastAsia" w:hAnsiTheme="minorEastAsia"/>
                <w:color w:val="000000"/>
                <w:sz w:val="24"/>
                <w:szCs w:val="24"/>
              </w:rPr>
              <w:t>国泰国证绿色电力交易型开放式指数证券投资基金发起式联接基金</w:t>
            </w:r>
          </w:p>
        </w:tc>
        <w:tc>
          <w:tcPr>
            <w:tcW w:w="0" w:type="auto"/>
            <w:vAlign w:val="center"/>
          </w:tcPr>
          <w:p w:rsidR="0091558B" w:rsidRDefault="007366DF">
            <w:pPr>
              <w:jc w:val="center"/>
            </w:pPr>
            <w:r>
              <w:rPr>
                <w:rFonts w:asciiTheme="minorEastAsia" w:eastAsiaTheme="minorEastAsia" w:hAnsiTheme="minorEastAsia"/>
                <w:color w:val="000000"/>
                <w:sz w:val="24"/>
                <w:szCs w:val="24"/>
              </w:rPr>
              <w:t>2025-04-09</w:t>
            </w:r>
          </w:p>
        </w:tc>
        <w:tc>
          <w:tcPr>
            <w:tcW w:w="0" w:type="auto"/>
            <w:vAlign w:val="center"/>
          </w:tcPr>
          <w:p w:rsidR="0091558B" w:rsidRDefault="007366DF">
            <w:pPr>
              <w:jc w:val="center"/>
            </w:pPr>
            <w:r>
              <w:rPr>
                <w:rFonts w:asciiTheme="minorEastAsia" w:eastAsiaTheme="minorEastAsia" w:hAnsiTheme="minorEastAsia"/>
                <w:color w:val="000000"/>
                <w:sz w:val="24"/>
                <w:szCs w:val="24"/>
              </w:rPr>
              <w:t>-</w:t>
            </w:r>
          </w:p>
        </w:tc>
      </w:tr>
      <w:tr w:rsidR="00042A21" w:rsidRPr="0000418A" w:rsidTr="00DF3B40">
        <w:trPr>
          <w:jc w:val="center"/>
        </w:trPr>
        <w:tc>
          <w:tcPr>
            <w:tcW w:w="209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755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DF3B40">
        <w:trPr>
          <w:jc w:val="center"/>
        </w:trPr>
        <w:tc>
          <w:tcPr>
            <w:tcW w:w="209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755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DF3B40">
        <w:trPr>
          <w:jc w:val="center"/>
        </w:trPr>
        <w:tc>
          <w:tcPr>
            <w:tcW w:w="209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755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DF3B40">
        <w:trPr>
          <w:jc w:val="center"/>
        </w:trPr>
        <w:tc>
          <w:tcPr>
            <w:tcW w:w="209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755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硕士研究生</w:t>
            </w:r>
          </w:p>
        </w:tc>
      </w:tr>
      <w:tr w:rsidR="00042A21" w:rsidRPr="0000418A" w:rsidTr="00DF3B40">
        <w:trPr>
          <w:jc w:val="center"/>
        </w:trPr>
        <w:tc>
          <w:tcPr>
            <w:tcW w:w="209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755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晏曦</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2025年4月17日</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4</w:t>
      </w:r>
      <w:r w:rsidR="00070317" w:rsidRPr="0000418A">
        <w:rPr>
          <w:rFonts w:asciiTheme="minorEastAsia" w:eastAsiaTheme="minorEastAsia" w:hAnsiTheme="minorEastAsia"/>
          <w:bCs w:val="0"/>
          <w:color w:val="000000"/>
          <w:sz w:val="24"/>
          <w:szCs w:val="24"/>
        </w:rPr>
        <w:t>其他需要说明的事项</w:t>
      </w:r>
      <w:bookmarkEnd w:id="4"/>
    </w:p>
    <w:p w:rsidR="0091558B" w:rsidRDefault="007366D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公司已按规定向中国证券投资基金业协会办理相应手续，并将报中国证券监督管理委员会上海监管局备案。</w:t>
      </w:r>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p w:rsidR="00392F5D" w:rsidRDefault="00392F5D" w:rsidP="00207AA8">
      <w:pPr>
        <w:spacing w:line="360" w:lineRule="auto"/>
        <w:ind w:firstLineChars="200" w:firstLine="480"/>
        <w:rPr>
          <w:rFonts w:asciiTheme="minorEastAsia" w:eastAsiaTheme="minorEastAsia" w:hAnsiTheme="minorEastAsia"/>
          <w:color w:val="000000"/>
          <w:sz w:val="24"/>
          <w:szCs w:val="24"/>
        </w:rPr>
      </w:pPr>
    </w:p>
    <w:p w:rsidR="00392F5D" w:rsidRDefault="00392F5D" w:rsidP="00392F5D">
      <w:pPr>
        <w:spacing w:line="360" w:lineRule="auto"/>
        <w:ind w:firstLineChars="200" w:firstLine="480"/>
        <w:rPr>
          <w:rFonts w:asciiTheme="minorEastAsia" w:eastAsiaTheme="minorEastAsia" w:hAnsiTheme="minorEastAsia"/>
          <w:sz w:val="24"/>
          <w:szCs w:val="24"/>
        </w:rPr>
      </w:pPr>
    </w:p>
    <w:p w:rsidR="00392F5D" w:rsidRDefault="00392F5D" w:rsidP="00392F5D">
      <w:pPr>
        <w:widowControl/>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国泰基金管理有限公司</w:t>
      </w:r>
      <w:r>
        <w:rPr>
          <w:rFonts w:asciiTheme="minorEastAsia" w:eastAsiaTheme="minorEastAsia" w:hAnsiTheme="minorEastAsia" w:hint="eastAsia"/>
          <w:sz w:val="24"/>
          <w:szCs w:val="24"/>
        </w:rPr>
        <w:br/>
        <w:t>二〇二五年四月十八日</w:t>
      </w:r>
    </w:p>
    <w:sectPr w:rsidR="00392F5D"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107" w:rsidRDefault="004B2107" w:rsidP="00070317">
      <w:r>
        <w:separator/>
      </w:r>
    </w:p>
  </w:endnote>
  <w:endnote w:type="continuationSeparator" w:id="0">
    <w:p w:rsidR="004B2107" w:rsidRDefault="004B2107"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A00002BF"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107" w:rsidRDefault="004B2107" w:rsidP="00070317">
      <w:r>
        <w:separator/>
      </w:r>
    </w:p>
  </w:footnote>
  <w:footnote w:type="continuationSeparator" w:id="0">
    <w:p w:rsidR="004B2107" w:rsidRDefault="004B2107"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4AF4"/>
    <w:rsid w:val="000071CE"/>
    <w:rsid w:val="00041353"/>
    <w:rsid w:val="00042A21"/>
    <w:rsid w:val="00070317"/>
    <w:rsid w:val="00111BD0"/>
    <w:rsid w:val="00191AD9"/>
    <w:rsid w:val="001F622D"/>
    <w:rsid w:val="00206727"/>
    <w:rsid w:val="00207AA8"/>
    <w:rsid w:val="002A51E8"/>
    <w:rsid w:val="002F40AE"/>
    <w:rsid w:val="00306525"/>
    <w:rsid w:val="00392F5D"/>
    <w:rsid w:val="00412A37"/>
    <w:rsid w:val="004966BA"/>
    <w:rsid w:val="004B2107"/>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366DF"/>
    <w:rsid w:val="007F6D1D"/>
    <w:rsid w:val="00803A3A"/>
    <w:rsid w:val="00807FC2"/>
    <w:rsid w:val="00872E95"/>
    <w:rsid w:val="0087717F"/>
    <w:rsid w:val="008F0ACC"/>
    <w:rsid w:val="0091558B"/>
    <w:rsid w:val="009D65C6"/>
    <w:rsid w:val="009E3ABA"/>
    <w:rsid w:val="00A522D0"/>
    <w:rsid w:val="00A61621"/>
    <w:rsid w:val="00A63D9B"/>
    <w:rsid w:val="00A66507"/>
    <w:rsid w:val="00B03319"/>
    <w:rsid w:val="00B27750"/>
    <w:rsid w:val="00BE716F"/>
    <w:rsid w:val="00BE7AA2"/>
    <w:rsid w:val="00CB22B9"/>
    <w:rsid w:val="00D047E3"/>
    <w:rsid w:val="00D21C32"/>
    <w:rsid w:val="00D64B1C"/>
    <w:rsid w:val="00DD624E"/>
    <w:rsid w:val="00DE5519"/>
    <w:rsid w:val="00DF3B40"/>
    <w:rsid w:val="00E435FE"/>
    <w:rsid w:val="00E857A8"/>
    <w:rsid w:val="00EC7F0B"/>
    <w:rsid w:val="00ED112A"/>
    <w:rsid w:val="00F70EFB"/>
    <w:rsid w:val="00FC3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9649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1456</Characters>
  <Application>Microsoft Office Word</Application>
  <DocSecurity>4</DocSecurity>
  <Lines>12</Lines>
  <Paragraphs>3</Paragraphs>
  <ScaleCrop>false</ScaleCrop>
  <Company>微软中国</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2025-04-17T16:02:00Z</dcterms:created>
  <dcterms:modified xsi:type="dcterms:W3CDTF">2025-04-17T16:02:00Z</dcterms:modified>
</cp:coreProperties>
</file>