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AF" w:rsidRDefault="002E51FD">
      <w:pPr>
        <w:pStyle w:val="Default"/>
        <w:spacing w:before="100" w:after="100"/>
        <w:jc w:val="center"/>
        <w:rPr>
          <w:rFonts w:asciiTheme="minorEastAsia" w:eastAsiaTheme="minorEastAsia" w:hAnsiTheme="minorEastAsia"/>
          <w:b/>
          <w:sz w:val="30"/>
          <w:szCs w:val="30"/>
        </w:rPr>
      </w:pPr>
      <w:bookmarkStart w:id="0" w:name="_GoBack"/>
      <w:bookmarkEnd w:id="0"/>
      <w:r>
        <w:rPr>
          <w:rFonts w:asciiTheme="minorEastAsia" w:eastAsiaTheme="minorEastAsia" w:hAnsiTheme="minorEastAsia" w:hint="eastAsia"/>
          <w:b/>
          <w:sz w:val="30"/>
          <w:szCs w:val="30"/>
        </w:rPr>
        <w:t>富国融泰三个月定期开放混合型发起式证券投资基金</w:t>
      </w:r>
    </w:p>
    <w:p w:rsidR="005D77AF" w:rsidRDefault="002E51FD">
      <w:pPr>
        <w:pStyle w:val="Default"/>
        <w:spacing w:before="100" w:after="100"/>
        <w:jc w:val="center"/>
        <w:rPr>
          <w:rFonts w:asciiTheme="minorEastAsia" w:eastAsiaTheme="minorEastAsia" w:hAnsiTheme="minorEastAsia"/>
          <w:b/>
          <w:sz w:val="30"/>
          <w:szCs w:val="30"/>
        </w:rPr>
      </w:pPr>
      <w:r>
        <w:rPr>
          <w:rFonts w:asciiTheme="minorEastAsia" w:eastAsiaTheme="minorEastAsia" w:hAnsiTheme="minorEastAsia"/>
          <w:b/>
          <w:sz w:val="30"/>
          <w:szCs w:val="30"/>
        </w:rPr>
        <w:t>剩余财产分配公告</w:t>
      </w:r>
      <w:r>
        <w:rPr>
          <w:rFonts w:asciiTheme="minorEastAsia" w:eastAsiaTheme="minorEastAsia" w:hAnsiTheme="minorEastAsia"/>
          <w:b/>
          <w:sz w:val="30"/>
          <w:szCs w:val="30"/>
        </w:rPr>
        <w:t xml:space="preserve"> </w:t>
      </w:r>
    </w:p>
    <w:p w:rsidR="005D77AF" w:rsidRDefault="002E51FD">
      <w:pPr>
        <w:pStyle w:val="Default"/>
        <w:spacing w:before="100" w:after="100" w:line="360" w:lineRule="auto"/>
        <w:ind w:firstLine="465"/>
        <w:jc w:val="both"/>
        <w:rPr>
          <w:rFonts w:asciiTheme="minorEastAsia" w:eastAsiaTheme="minorEastAsia" w:hAnsiTheme="minorEastAsia"/>
          <w:sz w:val="22"/>
          <w:szCs w:val="21"/>
        </w:rPr>
      </w:pPr>
      <w:r>
        <w:rPr>
          <w:rFonts w:asciiTheme="minorEastAsia" w:eastAsiaTheme="minorEastAsia" w:hAnsiTheme="minorEastAsia" w:hint="eastAsia"/>
          <w:sz w:val="22"/>
          <w:szCs w:val="21"/>
        </w:rPr>
        <w:t>根据《中华人民共和国证券投资基金法》、《公开募集证券投资基金运作管理办法》、《公开募集证券投资基金信息披露管理办法》、《富国融泰三个月定期开放混合型发起式证券投资基金基金合同》（以下简称“基金合同”）的有关规定，本基金出现了基金合同终止事由，本基金管理人履行适当程序并在对本基金财产进行清算后终止基金合同，此事项不需召开基金份额持有人大会审议，</w:t>
      </w:r>
      <w:r>
        <w:rPr>
          <w:rFonts w:asciiTheme="minorEastAsia" w:eastAsiaTheme="minorEastAsia" w:hAnsiTheme="minorEastAsia" w:hint="eastAsia"/>
          <w:sz w:val="22"/>
          <w:szCs w:val="21"/>
        </w:rPr>
        <w:t>2025</w:t>
      </w:r>
      <w:r>
        <w:rPr>
          <w:rFonts w:asciiTheme="minorEastAsia" w:eastAsiaTheme="minorEastAsia" w:hAnsiTheme="minorEastAsia" w:hint="eastAsia"/>
          <w:sz w:val="22"/>
          <w:szCs w:val="21"/>
        </w:rPr>
        <w:t>年</w:t>
      </w:r>
      <w:r>
        <w:rPr>
          <w:rFonts w:asciiTheme="minorEastAsia" w:eastAsiaTheme="minorEastAsia" w:hAnsiTheme="minorEastAsia" w:hint="eastAsia"/>
          <w:sz w:val="22"/>
          <w:szCs w:val="21"/>
        </w:rPr>
        <w:t>3</w:t>
      </w:r>
      <w:r>
        <w:rPr>
          <w:rFonts w:asciiTheme="minorEastAsia" w:eastAsiaTheme="minorEastAsia" w:hAnsiTheme="minorEastAsia" w:hint="eastAsia"/>
          <w:sz w:val="22"/>
          <w:szCs w:val="21"/>
        </w:rPr>
        <w:t>月</w:t>
      </w:r>
      <w:r>
        <w:rPr>
          <w:rFonts w:asciiTheme="minorEastAsia" w:eastAsiaTheme="minorEastAsia" w:hAnsiTheme="minorEastAsia" w:hint="eastAsia"/>
          <w:sz w:val="22"/>
          <w:szCs w:val="21"/>
        </w:rPr>
        <w:t>28</w:t>
      </w:r>
      <w:r>
        <w:rPr>
          <w:rFonts w:asciiTheme="minorEastAsia" w:eastAsiaTheme="minorEastAsia" w:hAnsiTheme="minorEastAsia" w:hint="eastAsia"/>
          <w:sz w:val="22"/>
          <w:szCs w:val="21"/>
        </w:rPr>
        <w:t>日为本基金的最后运作日。</w:t>
      </w:r>
      <w:r>
        <w:rPr>
          <w:rFonts w:asciiTheme="minorEastAsia" w:eastAsiaTheme="minorEastAsia" w:hAnsiTheme="minorEastAsia"/>
          <w:sz w:val="22"/>
          <w:szCs w:val="21"/>
        </w:rPr>
        <w:t>本基金基金财产清算组自</w:t>
      </w:r>
      <w:r>
        <w:rPr>
          <w:rFonts w:asciiTheme="minorEastAsia" w:eastAsiaTheme="minorEastAsia" w:hAnsiTheme="minorEastAsia" w:hint="eastAsia"/>
          <w:sz w:val="22"/>
          <w:szCs w:val="21"/>
        </w:rPr>
        <w:t>2025</w:t>
      </w:r>
      <w:r>
        <w:rPr>
          <w:rFonts w:asciiTheme="minorEastAsia" w:eastAsiaTheme="minorEastAsia" w:hAnsiTheme="minorEastAsia"/>
          <w:sz w:val="22"/>
          <w:szCs w:val="21"/>
        </w:rPr>
        <w:t>年</w:t>
      </w:r>
      <w:r>
        <w:rPr>
          <w:rFonts w:asciiTheme="minorEastAsia" w:eastAsiaTheme="minorEastAsia" w:hAnsiTheme="minorEastAsia" w:hint="eastAsia"/>
          <w:sz w:val="22"/>
          <w:szCs w:val="21"/>
        </w:rPr>
        <w:t>3</w:t>
      </w:r>
      <w:r>
        <w:rPr>
          <w:rFonts w:asciiTheme="minorEastAsia" w:eastAsiaTheme="minorEastAsia" w:hAnsiTheme="minorEastAsia"/>
          <w:sz w:val="22"/>
          <w:szCs w:val="21"/>
        </w:rPr>
        <w:t>月</w:t>
      </w:r>
      <w:r>
        <w:rPr>
          <w:rFonts w:asciiTheme="minorEastAsia" w:eastAsiaTheme="minorEastAsia" w:hAnsiTheme="minorEastAsia" w:hint="eastAsia"/>
          <w:sz w:val="22"/>
          <w:szCs w:val="21"/>
        </w:rPr>
        <w:t>29</w:t>
      </w:r>
      <w:r>
        <w:rPr>
          <w:rFonts w:asciiTheme="minorEastAsia" w:eastAsiaTheme="minorEastAsia" w:hAnsiTheme="minorEastAsia"/>
          <w:sz w:val="22"/>
          <w:szCs w:val="21"/>
        </w:rPr>
        <w:t>日至</w:t>
      </w:r>
      <w:r>
        <w:rPr>
          <w:rFonts w:asciiTheme="minorEastAsia" w:eastAsiaTheme="minorEastAsia" w:hAnsiTheme="minorEastAsia"/>
          <w:sz w:val="22"/>
          <w:szCs w:val="21"/>
        </w:rPr>
        <w:t>202</w:t>
      </w:r>
      <w:r>
        <w:rPr>
          <w:rFonts w:asciiTheme="minorEastAsia" w:eastAsiaTheme="minorEastAsia" w:hAnsiTheme="minorEastAsia" w:hint="eastAsia"/>
          <w:sz w:val="22"/>
          <w:szCs w:val="21"/>
        </w:rPr>
        <w:t>5</w:t>
      </w:r>
      <w:r>
        <w:rPr>
          <w:rFonts w:asciiTheme="minorEastAsia" w:eastAsiaTheme="minorEastAsia" w:hAnsiTheme="minorEastAsia"/>
          <w:sz w:val="22"/>
          <w:szCs w:val="21"/>
        </w:rPr>
        <w:t>年</w:t>
      </w:r>
      <w:r>
        <w:rPr>
          <w:rFonts w:asciiTheme="minorEastAsia" w:eastAsiaTheme="minorEastAsia" w:hAnsiTheme="minorEastAsia" w:hint="eastAsia"/>
          <w:sz w:val="22"/>
          <w:szCs w:val="21"/>
        </w:rPr>
        <w:t>4</w:t>
      </w:r>
      <w:r>
        <w:rPr>
          <w:rFonts w:asciiTheme="minorEastAsia" w:eastAsiaTheme="minorEastAsia" w:hAnsiTheme="minorEastAsia"/>
          <w:sz w:val="22"/>
          <w:szCs w:val="21"/>
        </w:rPr>
        <w:t>月</w:t>
      </w:r>
      <w:r>
        <w:rPr>
          <w:rFonts w:asciiTheme="minorEastAsia" w:eastAsiaTheme="minorEastAsia" w:hAnsiTheme="minorEastAsia" w:hint="eastAsia"/>
          <w:sz w:val="22"/>
          <w:szCs w:val="21"/>
        </w:rPr>
        <w:t>3</w:t>
      </w:r>
      <w:r>
        <w:rPr>
          <w:rFonts w:asciiTheme="minorEastAsia" w:eastAsiaTheme="minorEastAsia" w:hAnsiTheme="minorEastAsia"/>
          <w:sz w:val="22"/>
          <w:szCs w:val="21"/>
        </w:rPr>
        <w:t>日期间对本基金进行了财产清算，</w:t>
      </w:r>
      <w:r>
        <w:rPr>
          <w:rFonts w:asciiTheme="minorEastAsia" w:eastAsiaTheme="minorEastAsia" w:hAnsiTheme="minorEastAsia" w:hint="eastAsia"/>
          <w:sz w:val="22"/>
          <w:szCs w:val="21"/>
        </w:rPr>
        <w:t>清算报告全文于</w:t>
      </w:r>
      <w:r>
        <w:rPr>
          <w:rFonts w:asciiTheme="minorEastAsia" w:eastAsiaTheme="minorEastAsia" w:hAnsiTheme="minorEastAsia" w:hint="eastAsia"/>
          <w:sz w:val="22"/>
          <w:szCs w:val="21"/>
        </w:rPr>
        <w:t>2025</w:t>
      </w:r>
      <w:r>
        <w:rPr>
          <w:rFonts w:asciiTheme="minorEastAsia" w:eastAsiaTheme="minorEastAsia" w:hAnsiTheme="minorEastAsia" w:hint="eastAsia"/>
          <w:sz w:val="22"/>
          <w:szCs w:val="21"/>
        </w:rPr>
        <w:t>年</w:t>
      </w:r>
      <w:r>
        <w:rPr>
          <w:rFonts w:asciiTheme="minorEastAsia" w:eastAsiaTheme="minorEastAsia" w:hAnsiTheme="minorEastAsia" w:hint="eastAsia"/>
          <w:sz w:val="22"/>
          <w:szCs w:val="21"/>
        </w:rPr>
        <w:t>4</w:t>
      </w:r>
      <w:r>
        <w:rPr>
          <w:rFonts w:asciiTheme="minorEastAsia" w:eastAsiaTheme="minorEastAsia" w:hAnsiTheme="minorEastAsia" w:hint="eastAsia"/>
          <w:sz w:val="22"/>
          <w:szCs w:val="21"/>
        </w:rPr>
        <w:t>月</w:t>
      </w:r>
      <w:r>
        <w:rPr>
          <w:rFonts w:asciiTheme="minorEastAsia" w:eastAsiaTheme="minorEastAsia" w:hAnsiTheme="minorEastAsia" w:hint="eastAsia"/>
          <w:sz w:val="22"/>
          <w:szCs w:val="21"/>
        </w:rPr>
        <w:t>18</w:t>
      </w:r>
      <w:r>
        <w:rPr>
          <w:rFonts w:asciiTheme="minorEastAsia" w:eastAsiaTheme="minorEastAsia" w:hAnsiTheme="minorEastAsia" w:hint="eastAsia"/>
          <w:sz w:val="22"/>
          <w:szCs w:val="21"/>
        </w:rPr>
        <w:t>日在本公司网站（</w:t>
      </w:r>
      <w:r>
        <w:rPr>
          <w:rFonts w:asciiTheme="minorEastAsia" w:eastAsiaTheme="minorEastAsia" w:hAnsiTheme="minorEastAsia" w:hint="eastAsia"/>
          <w:sz w:val="22"/>
          <w:szCs w:val="21"/>
        </w:rPr>
        <w:t>www.fullgoal.com.cn</w:t>
      </w:r>
      <w:r>
        <w:rPr>
          <w:rFonts w:asciiTheme="minorEastAsia" w:eastAsiaTheme="minorEastAsia" w:hAnsiTheme="minorEastAsia" w:hint="eastAsia"/>
          <w:sz w:val="22"/>
          <w:szCs w:val="21"/>
        </w:rPr>
        <w:t>）和中国证监会基金电子披露网站（</w:t>
      </w:r>
      <w:r>
        <w:rPr>
          <w:rFonts w:asciiTheme="minorEastAsia" w:eastAsiaTheme="minorEastAsia" w:hAnsiTheme="minorEastAsia" w:hint="eastAsia"/>
          <w:sz w:val="22"/>
          <w:szCs w:val="21"/>
        </w:rPr>
        <w:t>http://eid.csrc.gov.cn/fund</w:t>
      </w:r>
      <w:r>
        <w:rPr>
          <w:rFonts w:asciiTheme="minorEastAsia" w:eastAsiaTheme="minorEastAsia" w:hAnsiTheme="minorEastAsia" w:hint="eastAsia"/>
          <w:sz w:val="22"/>
          <w:szCs w:val="21"/>
        </w:rPr>
        <w:t>）披露。</w:t>
      </w:r>
    </w:p>
    <w:p w:rsidR="005D77AF" w:rsidRDefault="002E51FD">
      <w:pPr>
        <w:pStyle w:val="Default"/>
        <w:spacing w:before="100" w:after="100" w:line="360" w:lineRule="auto"/>
        <w:ind w:firstLine="465"/>
        <w:rPr>
          <w:rFonts w:asciiTheme="minorEastAsia" w:eastAsiaTheme="minorEastAsia" w:hAnsiTheme="minorEastAsia"/>
          <w:sz w:val="22"/>
          <w:szCs w:val="21"/>
        </w:rPr>
      </w:pPr>
      <w:r>
        <w:rPr>
          <w:rFonts w:asciiTheme="minorEastAsia" w:eastAsiaTheme="minorEastAsia" w:hAnsiTheme="minorEastAsia"/>
          <w:sz w:val="22"/>
          <w:szCs w:val="21"/>
        </w:rPr>
        <w:t>根据法律法规、本基金基金合同及清算报告的相关规定，本基金应分配剩余财产共计人民币</w:t>
      </w:r>
      <w:r>
        <w:rPr>
          <w:rFonts w:asciiTheme="minorEastAsia" w:eastAsiaTheme="minorEastAsia" w:hAnsiTheme="minorEastAsia" w:hint="eastAsia"/>
          <w:sz w:val="22"/>
          <w:szCs w:val="21"/>
        </w:rPr>
        <w:t>7</w:t>
      </w:r>
      <w:r>
        <w:rPr>
          <w:rFonts w:asciiTheme="minorEastAsia" w:eastAsiaTheme="minorEastAsia" w:hAnsiTheme="minorEastAsia"/>
          <w:sz w:val="22"/>
          <w:szCs w:val="21"/>
        </w:rPr>
        <w:t>,210,617.50</w:t>
      </w:r>
      <w:r>
        <w:rPr>
          <w:rFonts w:asciiTheme="minorEastAsia" w:eastAsiaTheme="minorEastAsia" w:hAnsiTheme="minorEastAsia"/>
          <w:sz w:val="22"/>
          <w:szCs w:val="21"/>
        </w:rPr>
        <w:t>元，</w:t>
      </w:r>
      <w:r>
        <w:rPr>
          <w:rFonts w:asciiTheme="minorEastAsia" w:eastAsiaTheme="minorEastAsia" w:hAnsiTheme="minorEastAsia" w:hint="eastAsia"/>
          <w:sz w:val="22"/>
          <w:szCs w:val="21"/>
        </w:rPr>
        <w:t>未变现资产</w:t>
      </w:r>
      <w:r>
        <w:rPr>
          <w:rFonts w:asciiTheme="minorEastAsia" w:eastAsiaTheme="minorEastAsia" w:hAnsiTheme="minorEastAsia"/>
          <w:sz w:val="22"/>
          <w:szCs w:val="21"/>
        </w:rPr>
        <w:t>553,572.21</w:t>
      </w:r>
      <w:r>
        <w:rPr>
          <w:rFonts w:asciiTheme="minorEastAsia" w:eastAsiaTheme="minorEastAsia" w:hAnsiTheme="minorEastAsia" w:hint="eastAsia"/>
          <w:sz w:val="22"/>
          <w:szCs w:val="21"/>
        </w:rPr>
        <w:t>元（按照</w:t>
      </w:r>
      <w:r>
        <w:rPr>
          <w:rFonts w:asciiTheme="minorEastAsia" w:eastAsiaTheme="minorEastAsia" w:hAnsiTheme="minorEastAsia" w:hint="eastAsia"/>
          <w:sz w:val="22"/>
          <w:szCs w:val="21"/>
        </w:rPr>
        <w:t>4</w:t>
      </w:r>
      <w:r>
        <w:rPr>
          <w:rFonts w:asciiTheme="minorEastAsia" w:eastAsiaTheme="minorEastAsia" w:hAnsiTheme="minorEastAsia" w:hint="eastAsia"/>
          <w:sz w:val="22"/>
          <w:szCs w:val="21"/>
        </w:rPr>
        <w:t>月</w:t>
      </w:r>
      <w:r>
        <w:rPr>
          <w:rFonts w:asciiTheme="minorEastAsia" w:eastAsiaTheme="minorEastAsia" w:hAnsiTheme="minorEastAsia"/>
          <w:sz w:val="22"/>
          <w:szCs w:val="21"/>
        </w:rPr>
        <w:t>16</w:t>
      </w:r>
      <w:r>
        <w:rPr>
          <w:rFonts w:asciiTheme="minorEastAsia" w:eastAsiaTheme="minorEastAsia" w:hAnsiTheme="minorEastAsia" w:hint="eastAsia"/>
          <w:sz w:val="22"/>
          <w:szCs w:val="21"/>
        </w:rPr>
        <w:t>日行情计算），本次清算可供分配剩余财产为人民币</w:t>
      </w:r>
      <w:r>
        <w:rPr>
          <w:rFonts w:asciiTheme="minorEastAsia" w:eastAsiaTheme="minorEastAsia" w:hAnsiTheme="minorEastAsia"/>
          <w:sz w:val="22"/>
          <w:szCs w:val="21"/>
        </w:rPr>
        <w:t>6,657,045.29</w:t>
      </w:r>
      <w:r>
        <w:rPr>
          <w:rFonts w:asciiTheme="minorEastAsia" w:eastAsiaTheme="minorEastAsia" w:hAnsiTheme="minorEastAsia" w:hint="eastAsia"/>
          <w:sz w:val="22"/>
          <w:szCs w:val="21"/>
        </w:rPr>
        <w:t>元，将基金财产清算后的全部剩余资产扣除基金财产清算费用、交纳所欠税款并清</w:t>
      </w:r>
      <w:r>
        <w:rPr>
          <w:rFonts w:asciiTheme="minorEastAsia" w:eastAsiaTheme="minorEastAsia" w:hAnsiTheme="minorEastAsia" w:hint="eastAsia"/>
          <w:sz w:val="22"/>
          <w:szCs w:val="21"/>
        </w:rPr>
        <w:t>偿基金债务后，按基金份额持有人持有的基金份额比例进行分配</w:t>
      </w:r>
      <w:r>
        <w:rPr>
          <w:rFonts w:asciiTheme="minorEastAsia" w:eastAsiaTheme="minorEastAsia" w:hAnsiTheme="minorEastAsia"/>
          <w:sz w:val="22"/>
          <w:szCs w:val="21"/>
        </w:rPr>
        <w:t>。</w:t>
      </w:r>
      <w:r>
        <w:rPr>
          <w:rFonts w:asciiTheme="minorEastAsia" w:eastAsiaTheme="minorEastAsia" w:hAnsiTheme="minorEastAsia" w:hint="eastAsia"/>
          <w:sz w:val="22"/>
          <w:szCs w:val="21"/>
        </w:rPr>
        <w:t>分配过程中产生的尾差亦将分配给基金份额持有人，上述资金将于</w:t>
      </w:r>
      <w:r>
        <w:rPr>
          <w:rFonts w:asciiTheme="minorEastAsia" w:eastAsiaTheme="minorEastAsia" w:hAnsiTheme="minorEastAsia" w:hint="eastAsia"/>
          <w:sz w:val="22"/>
          <w:szCs w:val="21"/>
        </w:rPr>
        <w:t>202</w:t>
      </w:r>
      <w:r>
        <w:rPr>
          <w:rFonts w:asciiTheme="minorEastAsia" w:eastAsiaTheme="minorEastAsia" w:hAnsiTheme="minorEastAsia"/>
          <w:sz w:val="22"/>
          <w:szCs w:val="21"/>
        </w:rPr>
        <w:t>5</w:t>
      </w:r>
      <w:r>
        <w:rPr>
          <w:rFonts w:asciiTheme="minorEastAsia" w:eastAsiaTheme="minorEastAsia" w:hAnsiTheme="minorEastAsia" w:hint="eastAsia"/>
          <w:sz w:val="22"/>
          <w:szCs w:val="21"/>
        </w:rPr>
        <w:t>年</w:t>
      </w:r>
      <w:r>
        <w:rPr>
          <w:rFonts w:asciiTheme="minorEastAsia" w:eastAsiaTheme="minorEastAsia" w:hAnsiTheme="minorEastAsia"/>
          <w:sz w:val="22"/>
          <w:szCs w:val="21"/>
        </w:rPr>
        <w:t>4</w:t>
      </w:r>
      <w:r>
        <w:rPr>
          <w:rFonts w:asciiTheme="minorEastAsia" w:eastAsiaTheme="minorEastAsia" w:hAnsiTheme="minorEastAsia" w:hint="eastAsia"/>
          <w:sz w:val="22"/>
          <w:szCs w:val="21"/>
        </w:rPr>
        <w:t>月</w:t>
      </w:r>
      <w:r>
        <w:rPr>
          <w:rFonts w:asciiTheme="minorEastAsia" w:eastAsiaTheme="minorEastAsia" w:hAnsiTheme="minorEastAsia" w:hint="eastAsia"/>
          <w:sz w:val="22"/>
          <w:szCs w:val="21"/>
        </w:rPr>
        <w:t>1</w:t>
      </w:r>
      <w:r>
        <w:rPr>
          <w:rFonts w:asciiTheme="minorEastAsia" w:eastAsiaTheme="minorEastAsia" w:hAnsiTheme="minorEastAsia"/>
          <w:sz w:val="22"/>
          <w:szCs w:val="21"/>
        </w:rPr>
        <w:t>8</w:t>
      </w:r>
      <w:r>
        <w:rPr>
          <w:rFonts w:asciiTheme="minorEastAsia" w:eastAsiaTheme="minorEastAsia" w:hAnsiTheme="minorEastAsia" w:hint="eastAsia"/>
          <w:sz w:val="22"/>
          <w:szCs w:val="21"/>
        </w:rPr>
        <w:t>日自本基金托管账户划出。</w:t>
      </w:r>
      <w:r>
        <w:rPr>
          <w:rFonts w:asciiTheme="minorEastAsia" w:eastAsiaTheme="minorEastAsia" w:hAnsiTheme="minorEastAsia"/>
          <w:sz w:val="22"/>
          <w:szCs w:val="21"/>
        </w:rPr>
        <w:t>基金份额持有人实际收到资金的时间、流程、规则等应遵循法律法规及销售机构的相关规定。</w:t>
      </w:r>
      <w:r>
        <w:rPr>
          <w:rFonts w:asciiTheme="minorEastAsia" w:eastAsiaTheme="minorEastAsia" w:hAnsiTheme="minorEastAsia" w:hint="eastAsia"/>
          <w:sz w:val="22"/>
          <w:szCs w:val="21"/>
        </w:rPr>
        <w:t>由于本基金截至清算报告出具日（</w:t>
      </w:r>
      <w:r>
        <w:rPr>
          <w:rFonts w:asciiTheme="minorEastAsia" w:eastAsiaTheme="minorEastAsia" w:hAnsiTheme="minorEastAsia" w:hint="eastAsia"/>
          <w:sz w:val="22"/>
          <w:szCs w:val="21"/>
        </w:rPr>
        <w:t>2025</w:t>
      </w:r>
      <w:r>
        <w:rPr>
          <w:rFonts w:asciiTheme="minorEastAsia" w:eastAsiaTheme="minorEastAsia" w:hAnsiTheme="minorEastAsia" w:hint="eastAsia"/>
          <w:sz w:val="22"/>
          <w:szCs w:val="21"/>
        </w:rPr>
        <w:t>年</w:t>
      </w:r>
      <w:r>
        <w:rPr>
          <w:rFonts w:asciiTheme="minorEastAsia" w:eastAsiaTheme="minorEastAsia" w:hAnsiTheme="minorEastAsia" w:hint="eastAsia"/>
          <w:sz w:val="22"/>
          <w:szCs w:val="21"/>
        </w:rPr>
        <w:t>4</w:t>
      </w:r>
      <w:r>
        <w:rPr>
          <w:rFonts w:asciiTheme="minorEastAsia" w:eastAsiaTheme="minorEastAsia" w:hAnsiTheme="minorEastAsia" w:hint="eastAsia"/>
          <w:sz w:val="22"/>
          <w:szCs w:val="21"/>
        </w:rPr>
        <w:t>月</w:t>
      </w:r>
      <w:r>
        <w:rPr>
          <w:rFonts w:asciiTheme="minorEastAsia" w:eastAsiaTheme="minorEastAsia" w:hAnsiTheme="minorEastAsia" w:hint="eastAsia"/>
          <w:sz w:val="22"/>
          <w:szCs w:val="21"/>
        </w:rPr>
        <w:t>3</w:t>
      </w:r>
      <w:r>
        <w:rPr>
          <w:rFonts w:asciiTheme="minorEastAsia" w:eastAsiaTheme="minorEastAsia" w:hAnsiTheme="minorEastAsia" w:hint="eastAsia"/>
          <w:sz w:val="22"/>
          <w:szCs w:val="21"/>
        </w:rPr>
        <w:t>日）所持流通受限证券尚处于锁定期内，本基金将进行二次清算，于资产全部变现后进行二次分配。</w:t>
      </w:r>
    </w:p>
    <w:p w:rsidR="005D77AF" w:rsidRDefault="002E51FD">
      <w:pPr>
        <w:pStyle w:val="Default"/>
        <w:spacing w:before="100" w:after="100" w:line="360" w:lineRule="auto"/>
        <w:ind w:firstLine="465"/>
        <w:rPr>
          <w:rFonts w:asciiTheme="minorEastAsia" w:eastAsiaTheme="minorEastAsia" w:hAnsiTheme="minorEastAsia"/>
          <w:sz w:val="22"/>
          <w:szCs w:val="21"/>
        </w:rPr>
      </w:pPr>
      <w:r>
        <w:rPr>
          <w:rFonts w:asciiTheme="minorEastAsia" w:eastAsiaTheme="minorEastAsia" w:hAnsiTheme="minorEastAsia"/>
          <w:sz w:val="22"/>
          <w:szCs w:val="21"/>
        </w:rPr>
        <w:t>投资者可登录基金管理人网站（</w:t>
      </w:r>
      <w:r>
        <w:rPr>
          <w:rFonts w:asciiTheme="minorEastAsia" w:eastAsiaTheme="minorEastAsia" w:hAnsiTheme="minorEastAsia"/>
          <w:sz w:val="22"/>
          <w:szCs w:val="21"/>
        </w:rPr>
        <w:t>www.fullgoal.com.cn</w:t>
      </w:r>
      <w:r>
        <w:rPr>
          <w:rFonts w:asciiTheme="minorEastAsia" w:eastAsiaTheme="minorEastAsia" w:hAnsiTheme="minorEastAsia"/>
          <w:sz w:val="22"/>
          <w:szCs w:val="21"/>
        </w:rPr>
        <w:t>）或拨打基金管理人</w:t>
      </w:r>
      <w:r>
        <w:rPr>
          <w:rFonts w:asciiTheme="minorEastAsia" w:eastAsiaTheme="minorEastAsia" w:hAnsiTheme="minorEastAsia" w:hint="eastAsia"/>
          <w:sz w:val="22"/>
          <w:szCs w:val="21"/>
        </w:rPr>
        <w:t>客服电话（</w:t>
      </w:r>
      <w:r>
        <w:rPr>
          <w:rFonts w:asciiTheme="minorEastAsia" w:eastAsiaTheme="minorEastAsia" w:hAnsiTheme="minorEastAsia" w:hint="eastAsia"/>
          <w:sz w:val="22"/>
          <w:szCs w:val="21"/>
        </w:rPr>
        <w:t>400-888-0688</w:t>
      </w:r>
      <w:r>
        <w:rPr>
          <w:rFonts w:asciiTheme="minorEastAsia" w:eastAsiaTheme="minorEastAsia" w:hAnsiTheme="minorEastAsia" w:hint="eastAsia"/>
          <w:sz w:val="22"/>
          <w:szCs w:val="21"/>
        </w:rPr>
        <w:t>）</w:t>
      </w:r>
      <w:r>
        <w:rPr>
          <w:rFonts w:asciiTheme="minorEastAsia" w:eastAsiaTheme="minorEastAsia" w:hAnsiTheme="minorEastAsia"/>
          <w:sz w:val="22"/>
          <w:szCs w:val="21"/>
        </w:rPr>
        <w:t>了解相关事宜。</w:t>
      </w:r>
    </w:p>
    <w:p w:rsidR="005D77AF" w:rsidRDefault="002E51FD">
      <w:pPr>
        <w:pStyle w:val="Default"/>
        <w:spacing w:before="100" w:after="100" w:line="360" w:lineRule="auto"/>
        <w:ind w:firstLine="465"/>
        <w:rPr>
          <w:rFonts w:asciiTheme="minorEastAsia" w:eastAsiaTheme="minorEastAsia" w:hAnsiTheme="minorEastAsia"/>
          <w:sz w:val="22"/>
          <w:szCs w:val="21"/>
        </w:rPr>
      </w:pPr>
      <w:r>
        <w:rPr>
          <w:rFonts w:asciiTheme="minorEastAsia" w:eastAsiaTheme="minorEastAsia" w:hAnsiTheme="minorEastAsia"/>
          <w:sz w:val="22"/>
          <w:szCs w:val="21"/>
        </w:rPr>
        <w:t>特此公告</w:t>
      </w:r>
      <w:r>
        <w:rPr>
          <w:rFonts w:asciiTheme="minorEastAsia" w:eastAsiaTheme="minorEastAsia" w:hAnsiTheme="minorEastAsia" w:hint="eastAsia"/>
          <w:sz w:val="22"/>
          <w:szCs w:val="21"/>
        </w:rPr>
        <w:t>。</w:t>
      </w:r>
    </w:p>
    <w:p w:rsidR="005D77AF" w:rsidRDefault="002E51FD">
      <w:pPr>
        <w:pStyle w:val="Default"/>
        <w:spacing w:before="100" w:after="100" w:line="360" w:lineRule="auto"/>
        <w:ind w:firstLine="465"/>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富国</w:t>
      </w:r>
      <w:r>
        <w:rPr>
          <w:rFonts w:asciiTheme="minorEastAsia" w:eastAsiaTheme="minorEastAsia" w:hAnsiTheme="minorEastAsia"/>
          <w:sz w:val="22"/>
          <w:szCs w:val="21"/>
        </w:rPr>
        <w:t>基金管理有限公司</w:t>
      </w:r>
    </w:p>
    <w:p w:rsidR="005D77AF" w:rsidRDefault="002E51FD">
      <w:pPr>
        <w:pStyle w:val="Default"/>
        <w:spacing w:before="100" w:after="100" w:line="360" w:lineRule="auto"/>
        <w:ind w:firstLine="465"/>
        <w:jc w:val="right"/>
        <w:rPr>
          <w:rFonts w:asciiTheme="minorEastAsia" w:eastAsiaTheme="minorEastAsia" w:hAnsiTheme="minorEastAsia"/>
          <w:sz w:val="22"/>
          <w:szCs w:val="21"/>
        </w:rPr>
      </w:pPr>
      <w:r>
        <w:rPr>
          <w:rFonts w:asciiTheme="minorEastAsia" w:eastAsiaTheme="minorEastAsia" w:hAnsiTheme="minorEastAsia" w:hint="eastAsia"/>
          <w:sz w:val="22"/>
          <w:szCs w:val="21"/>
        </w:rPr>
        <w:t>2025</w:t>
      </w:r>
      <w:r>
        <w:rPr>
          <w:rFonts w:asciiTheme="minorEastAsia" w:eastAsiaTheme="minorEastAsia" w:hAnsiTheme="minorEastAsia"/>
          <w:sz w:val="22"/>
          <w:szCs w:val="21"/>
        </w:rPr>
        <w:t>年</w:t>
      </w:r>
      <w:r>
        <w:rPr>
          <w:rFonts w:asciiTheme="minorEastAsia" w:eastAsiaTheme="minorEastAsia" w:hAnsiTheme="minorEastAsia" w:hint="eastAsia"/>
          <w:sz w:val="22"/>
          <w:szCs w:val="21"/>
        </w:rPr>
        <w:t>4</w:t>
      </w:r>
      <w:r>
        <w:rPr>
          <w:rFonts w:asciiTheme="minorEastAsia" w:eastAsiaTheme="minorEastAsia" w:hAnsiTheme="minorEastAsia"/>
          <w:sz w:val="22"/>
          <w:szCs w:val="21"/>
        </w:rPr>
        <w:t>月</w:t>
      </w:r>
      <w:r>
        <w:rPr>
          <w:rFonts w:asciiTheme="minorEastAsia" w:eastAsiaTheme="minorEastAsia" w:hAnsiTheme="minorEastAsia" w:hint="eastAsia"/>
          <w:sz w:val="22"/>
          <w:szCs w:val="21"/>
        </w:rPr>
        <w:t>18</w:t>
      </w:r>
      <w:r>
        <w:rPr>
          <w:rFonts w:asciiTheme="minorEastAsia" w:eastAsiaTheme="minorEastAsia" w:hAnsiTheme="minorEastAsia"/>
          <w:sz w:val="22"/>
          <w:szCs w:val="21"/>
        </w:rPr>
        <w:t>日</w:t>
      </w:r>
    </w:p>
    <w:p w:rsidR="005D77AF" w:rsidRDefault="005D77AF">
      <w:pPr>
        <w:pStyle w:val="Default"/>
        <w:spacing w:before="100" w:after="100" w:line="360" w:lineRule="auto"/>
        <w:ind w:firstLine="465"/>
        <w:rPr>
          <w:rFonts w:asciiTheme="minorEastAsia" w:eastAsiaTheme="minorEastAsia" w:hAnsiTheme="minorEastAsia"/>
          <w:sz w:val="22"/>
          <w:szCs w:val="21"/>
        </w:rPr>
      </w:pPr>
    </w:p>
    <w:sectPr w:rsidR="005D77AF" w:rsidSect="005D77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嘃....">
    <w:altName w:val="宋体"/>
    <w:charset w:val="86"/>
    <w:family w:val="roman"/>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D6A9D"/>
    <w:rsid w:val="00070DC9"/>
    <w:rsid w:val="00072654"/>
    <w:rsid w:val="00184F74"/>
    <w:rsid w:val="001A7D5D"/>
    <w:rsid w:val="0024024E"/>
    <w:rsid w:val="002876A9"/>
    <w:rsid w:val="002B09D0"/>
    <w:rsid w:val="002D58EB"/>
    <w:rsid w:val="002E51FD"/>
    <w:rsid w:val="002F0222"/>
    <w:rsid w:val="003C0931"/>
    <w:rsid w:val="00446007"/>
    <w:rsid w:val="00461A40"/>
    <w:rsid w:val="0047215E"/>
    <w:rsid w:val="00495707"/>
    <w:rsid w:val="005159FE"/>
    <w:rsid w:val="00547266"/>
    <w:rsid w:val="005575ED"/>
    <w:rsid w:val="00581627"/>
    <w:rsid w:val="00595E8F"/>
    <w:rsid w:val="005C6D23"/>
    <w:rsid w:val="005D77AF"/>
    <w:rsid w:val="005E427F"/>
    <w:rsid w:val="00672F82"/>
    <w:rsid w:val="006C4FAB"/>
    <w:rsid w:val="007C50C0"/>
    <w:rsid w:val="007F29BD"/>
    <w:rsid w:val="00901FED"/>
    <w:rsid w:val="0098377E"/>
    <w:rsid w:val="009F3AF4"/>
    <w:rsid w:val="00AD2343"/>
    <w:rsid w:val="00AE28AE"/>
    <w:rsid w:val="00AF2FDF"/>
    <w:rsid w:val="00B468DD"/>
    <w:rsid w:val="00B6452F"/>
    <w:rsid w:val="00C37E2C"/>
    <w:rsid w:val="00C4684E"/>
    <w:rsid w:val="00C5072C"/>
    <w:rsid w:val="00C7491C"/>
    <w:rsid w:val="00CB74D8"/>
    <w:rsid w:val="00D31CC3"/>
    <w:rsid w:val="00D81C36"/>
    <w:rsid w:val="00E21CBF"/>
    <w:rsid w:val="00E60537"/>
    <w:rsid w:val="00EA58B1"/>
    <w:rsid w:val="00ED6A9D"/>
    <w:rsid w:val="00F02737"/>
    <w:rsid w:val="00F5275B"/>
    <w:rsid w:val="00F74235"/>
    <w:rsid w:val="07967044"/>
    <w:rsid w:val="27A46314"/>
    <w:rsid w:val="39227F79"/>
    <w:rsid w:val="3A865DC1"/>
    <w:rsid w:val="3CE9694E"/>
    <w:rsid w:val="41003564"/>
    <w:rsid w:val="49B52937"/>
    <w:rsid w:val="52565341"/>
    <w:rsid w:val="606647BC"/>
    <w:rsid w:val="66416322"/>
    <w:rsid w:val="78FB4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7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D77AF"/>
    <w:pPr>
      <w:jc w:val="left"/>
    </w:pPr>
  </w:style>
  <w:style w:type="paragraph" w:styleId="a4">
    <w:name w:val="Balloon Text"/>
    <w:basedOn w:val="a"/>
    <w:link w:val="Char0"/>
    <w:uiPriority w:val="99"/>
    <w:semiHidden/>
    <w:unhideWhenUsed/>
    <w:rsid w:val="005D77AF"/>
    <w:rPr>
      <w:sz w:val="18"/>
      <w:szCs w:val="18"/>
    </w:rPr>
  </w:style>
  <w:style w:type="paragraph" w:styleId="a5">
    <w:name w:val="footer"/>
    <w:basedOn w:val="a"/>
    <w:link w:val="Char1"/>
    <w:uiPriority w:val="99"/>
    <w:unhideWhenUsed/>
    <w:qFormat/>
    <w:rsid w:val="005D77A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D77A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5D77AF"/>
    <w:rPr>
      <w:b/>
      <w:bCs/>
    </w:rPr>
  </w:style>
  <w:style w:type="character" w:styleId="a8">
    <w:name w:val="annotation reference"/>
    <w:basedOn w:val="a0"/>
    <w:uiPriority w:val="99"/>
    <w:semiHidden/>
    <w:unhideWhenUsed/>
    <w:qFormat/>
    <w:rsid w:val="005D77AF"/>
    <w:rPr>
      <w:sz w:val="21"/>
      <w:szCs w:val="21"/>
    </w:rPr>
  </w:style>
  <w:style w:type="paragraph" w:customStyle="1" w:styleId="Default">
    <w:name w:val="Default"/>
    <w:qFormat/>
    <w:rsid w:val="005D77AF"/>
    <w:pPr>
      <w:widowControl w:val="0"/>
      <w:autoSpaceDE w:val="0"/>
      <w:autoSpaceDN w:val="0"/>
      <w:adjustRightInd w:val="0"/>
    </w:pPr>
    <w:rPr>
      <w:rFonts w:ascii="宋体嘃...." w:eastAsia="宋体嘃...." w:cs="宋体嘃...."/>
      <w:color w:val="000000"/>
      <w:sz w:val="24"/>
      <w:szCs w:val="24"/>
    </w:rPr>
  </w:style>
  <w:style w:type="character" w:customStyle="1" w:styleId="Char2">
    <w:name w:val="页眉 Char"/>
    <w:basedOn w:val="a0"/>
    <w:link w:val="a6"/>
    <w:uiPriority w:val="99"/>
    <w:qFormat/>
    <w:rsid w:val="005D77AF"/>
    <w:rPr>
      <w:sz w:val="18"/>
      <w:szCs w:val="18"/>
    </w:rPr>
  </w:style>
  <w:style w:type="character" w:customStyle="1" w:styleId="Char1">
    <w:name w:val="页脚 Char"/>
    <w:basedOn w:val="a0"/>
    <w:link w:val="a5"/>
    <w:uiPriority w:val="99"/>
    <w:qFormat/>
    <w:rsid w:val="005D77AF"/>
    <w:rPr>
      <w:sz w:val="18"/>
      <w:szCs w:val="18"/>
    </w:rPr>
  </w:style>
  <w:style w:type="character" w:customStyle="1" w:styleId="Char0">
    <w:name w:val="批注框文本 Char"/>
    <w:basedOn w:val="a0"/>
    <w:link w:val="a4"/>
    <w:uiPriority w:val="99"/>
    <w:semiHidden/>
    <w:qFormat/>
    <w:rsid w:val="005D77AF"/>
    <w:rPr>
      <w:sz w:val="18"/>
      <w:szCs w:val="18"/>
    </w:rPr>
  </w:style>
  <w:style w:type="character" w:customStyle="1" w:styleId="Char">
    <w:name w:val="批注文字 Char"/>
    <w:basedOn w:val="a0"/>
    <w:link w:val="a3"/>
    <w:uiPriority w:val="99"/>
    <w:semiHidden/>
    <w:qFormat/>
    <w:rsid w:val="005D77AF"/>
  </w:style>
  <w:style w:type="character" w:customStyle="1" w:styleId="Char3">
    <w:name w:val="批注主题 Char"/>
    <w:basedOn w:val="Char"/>
    <w:link w:val="a7"/>
    <w:uiPriority w:val="99"/>
    <w:semiHidden/>
    <w:qFormat/>
    <w:rsid w:val="005D77A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4</DocSecurity>
  <Lines>5</Lines>
  <Paragraphs>1</Paragraphs>
  <ScaleCrop>false</ScaleCrop>
  <Company>Microsoft</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樊帆</dc:creator>
  <cp:lastModifiedBy>ZHONGM</cp:lastModifiedBy>
  <cp:revision>2</cp:revision>
  <dcterms:created xsi:type="dcterms:W3CDTF">2025-04-17T16:03:00Z</dcterms:created>
  <dcterms:modified xsi:type="dcterms:W3CDTF">2025-04-17T16:03:00Z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6B9439FDB27241B2B4A62353B8176104</vt:lpwstr>
  </property>
</Properties>
</file>