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7D4" w:rsidRDefault="00752E91">
      <w:pPr>
        <w:spacing w:line="360" w:lineRule="auto"/>
        <w:jc w:val="center"/>
        <w:rPr>
          <w:rFonts w:asciiTheme="minorEastAsia" w:hAnsiTheme="minorEastAsia" w:cs="Times New Roman"/>
          <w:b/>
          <w:bCs/>
          <w:sz w:val="28"/>
          <w:szCs w:val="28"/>
        </w:rPr>
      </w:pPr>
      <w:r w:rsidRPr="00752E91">
        <w:rPr>
          <w:rFonts w:asciiTheme="minorEastAsia" w:hAnsiTheme="minorEastAsia" w:cs="Times New Roman" w:hint="eastAsia"/>
          <w:b/>
          <w:bCs/>
          <w:sz w:val="28"/>
          <w:szCs w:val="28"/>
        </w:rPr>
        <w:t>关于南方标普中国A股大盘红利低波50交易型开放式指数证券投资基金及其联接基金调整收益分配原则并修订相关法律文件的公告</w:t>
      </w:r>
    </w:p>
    <w:p w:rsidR="00541FD1" w:rsidRDefault="00EA4415">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根据《中</w:t>
      </w:r>
      <w:r>
        <w:rPr>
          <w:rFonts w:ascii="Times New Roman" w:eastAsia="宋体" w:hAnsi="Times New Roman" w:cs="Times New Roman" w:hint="eastAsia"/>
          <w:bCs/>
          <w:szCs w:val="21"/>
        </w:rPr>
        <w:t>华</w:t>
      </w:r>
      <w:r>
        <w:rPr>
          <w:rFonts w:ascii="Times New Roman" w:eastAsia="宋体" w:hAnsi="Times New Roman" w:cs="Times New Roman"/>
          <w:bCs/>
          <w:szCs w:val="21"/>
        </w:rPr>
        <w:t>人民共和国证券投资基金法》、《公开募集证券投资基金运作管理办法》等相关法律法规</w:t>
      </w:r>
      <w:r>
        <w:rPr>
          <w:rFonts w:ascii="Times New Roman" w:eastAsia="宋体" w:hAnsi="Times New Roman" w:cs="Times New Roman" w:hint="eastAsia"/>
          <w:bCs/>
          <w:szCs w:val="21"/>
        </w:rPr>
        <w:t>的规定</w:t>
      </w:r>
      <w:r>
        <w:rPr>
          <w:rFonts w:ascii="Times New Roman" w:eastAsia="宋体" w:hAnsi="Times New Roman" w:cs="Times New Roman"/>
          <w:bCs/>
          <w:szCs w:val="21"/>
        </w:rPr>
        <w:t>及《</w:t>
      </w:r>
      <w:r w:rsidR="00752E91" w:rsidRPr="00752E91">
        <w:rPr>
          <w:rFonts w:ascii="Times New Roman" w:eastAsia="宋体" w:hAnsi="Times New Roman" w:cs="Times New Roman" w:hint="eastAsia"/>
          <w:bCs/>
          <w:szCs w:val="21"/>
        </w:rPr>
        <w:t>南方标普中国</w:t>
      </w:r>
      <w:r w:rsidR="00752E91" w:rsidRPr="00752E91">
        <w:rPr>
          <w:rFonts w:ascii="Times New Roman" w:eastAsia="宋体" w:hAnsi="Times New Roman" w:cs="Times New Roman" w:hint="eastAsia"/>
          <w:bCs/>
          <w:szCs w:val="21"/>
        </w:rPr>
        <w:t>A</w:t>
      </w:r>
      <w:r w:rsidR="00752E91" w:rsidRPr="00752E91">
        <w:rPr>
          <w:rFonts w:ascii="Times New Roman" w:eastAsia="宋体" w:hAnsi="Times New Roman" w:cs="Times New Roman" w:hint="eastAsia"/>
          <w:bCs/>
          <w:szCs w:val="21"/>
        </w:rPr>
        <w:t>股大盘红利低波</w:t>
      </w:r>
      <w:r w:rsidR="00752E91" w:rsidRPr="00752E91">
        <w:rPr>
          <w:rFonts w:ascii="Times New Roman" w:eastAsia="宋体" w:hAnsi="Times New Roman" w:cs="Times New Roman" w:hint="eastAsia"/>
          <w:bCs/>
          <w:szCs w:val="21"/>
        </w:rPr>
        <w:t>50</w:t>
      </w:r>
      <w:r w:rsidR="00752E91" w:rsidRPr="00752E91">
        <w:rPr>
          <w:rFonts w:ascii="Times New Roman" w:eastAsia="宋体" w:hAnsi="Times New Roman" w:cs="Times New Roman" w:hint="eastAsia"/>
          <w:bCs/>
          <w:szCs w:val="21"/>
        </w:rPr>
        <w:t>交易型开放式指数证券投资基金</w:t>
      </w:r>
      <w:r>
        <w:rPr>
          <w:rFonts w:ascii="Times New Roman" w:eastAsia="宋体" w:hAnsi="Times New Roman" w:cs="Times New Roman"/>
          <w:bCs/>
          <w:szCs w:val="21"/>
        </w:rPr>
        <w:t>基金合同》</w:t>
      </w:r>
      <w:r w:rsidR="00752E91">
        <w:rPr>
          <w:rFonts w:ascii="Times New Roman" w:eastAsia="宋体" w:hAnsi="Times New Roman" w:cs="Times New Roman" w:hint="eastAsia"/>
          <w:bCs/>
          <w:szCs w:val="21"/>
        </w:rPr>
        <w:t>、《</w:t>
      </w:r>
      <w:r w:rsidR="00752E91" w:rsidRPr="00752E91">
        <w:rPr>
          <w:rFonts w:ascii="Times New Roman" w:eastAsia="宋体" w:hAnsi="Times New Roman" w:cs="Times New Roman" w:hint="eastAsia"/>
          <w:bCs/>
          <w:szCs w:val="21"/>
        </w:rPr>
        <w:t>南方标普中国</w:t>
      </w:r>
      <w:r w:rsidR="00752E91" w:rsidRPr="00752E91">
        <w:rPr>
          <w:rFonts w:ascii="Times New Roman" w:eastAsia="宋体" w:hAnsi="Times New Roman" w:cs="Times New Roman" w:hint="eastAsia"/>
          <w:bCs/>
          <w:szCs w:val="21"/>
        </w:rPr>
        <w:t>A</w:t>
      </w:r>
      <w:r w:rsidR="00752E91" w:rsidRPr="00752E91">
        <w:rPr>
          <w:rFonts w:ascii="Times New Roman" w:eastAsia="宋体" w:hAnsi="Times New Roman" w:cs="Times New Roman" w:hint="eastAsia"/>
          <w:bCs/>
          <w:szCs w:val="21"/>
        </w:rPr>
        <w:t>股大盘红利低波</w:t>
      </w:r>
      <w:r w:rsidR="00752E91" w:rsidRPr="00752E91">
        <w:rPr>
          <w:rFonts w:ascii="Times New Roman" w:eastAsia="宋体" w:hAnsi="Times New Roman" w:cs="Times New Roman" w:hint="eastAsia"/>
          <w:bCs/>
          <w:szCs w:val="21"/>
        </w:rPr>
        <w:t>50</w:t>
      </w:r>
      <w:r w:rsidR="00752E91" w:rsidRPr="00752E91">
        <w:rPr>
          <w:rFonts w:ascii="Times New Roman" w:eastAsia="宋体" w:hAnsi="Times New Roman" w:cs="Times New Roman" w:hint="eastAsia"/>
          <w:bCs/>
          <w:szCs w:val="21"/>
        </w:rPr>
        <w:t>交易型开放式指数证券投资基金</w:t>
      </w:r>
      <w:r w:rsidR="00752E91">
        <w:rPr>
          <w:rFonts w:ascii="Times New Roman" w:eastAsia="宋体" w:hAnsi="Times New Roman" w:cs="Times New Roman" w:hint="eastAsia"/>
          <w:bCs/>
          <w:szCs w:val="21"/>
        </w:rPr>
        <w:t>联接基金</w:t>
      </w:r>
      <w:r w:rsidR="00752E91" w:rsidRPr="00752E91">
        <w:rPr>
          <w:rFonts w:ascii="Times New Roman" w:eastAsia="宋体" w:hAnsi="Times New Roman" w:cs="Times New Roman" w:hint="eastAsia"/>
          <w:bCs/>
          <w:szCs w:val="21"/>
        </w:rPr>
        <w:t>基金合同</w:t>
      </w:r>
      <w:r w:rsidR="00752E91">
        <w:rPr>
          <w:rFonts w:ascii="Times New Roman" w:eastAsia="宋体" w:hAnsi="Times New Roman" w:cs="Times New Roman" w:hint="eastAsia"/>
          <w:bCs/>
          <w:szCs w:val="21"/>
        </w:rPr>
        <w:t>》</w:t>
      </w:r>
      <w:r>
        <w:rPr>
          <w:rFonts w:ascii="Times New Roman" w:eastAsia="宋体" w:hAnsi="Times New Roman" w:cs="Times New Roman"/>
          <w:bCs/>
          <w:szCs w:val="21"/>
        </w:rPr>
        <w:t>的约定，</w:t>
      </w:r>
      <w:r>
        <w:rPr>
          <w:rFonts w:ascii="Times New Roman" w:eastAsia="宋体" w:hAnsi="Times New Roman" w:cs="Times New Roman" w:hint="eastAsia"/>
          <w:bCs/>
          <w:szCs w:val="21"/>
        </w:rPr>
        <w:t>为更好地满足广大投资人的</w:t>
      </w:r>
      <w:r w:rsidR="004C2941">
        <w:rPr>
          <w:rFonts w:ascii="Times New Roman" w:eastAsia="宋体" w:hAnsi="Times New Roman" w:cs="Times New Roman" w:hint="eastAsia"/>
          <w:bCs/>
          <w:szCs w:val="21"/>
        </w:rPr>
        <w:t>投资</w:t>
      </w:r>
      <w:bookmarkStart w:id="0" w:name="_GoBack"/>
      <w:bookmarkEnd w:id="0"/>
      <w:r>
        <w:rPr>
          <w:rFonts w:ascii="Times New Roman" w:eastAsia="宋体" w:hAnsi="Times New Roman" w:cs="Times New Roman" w:hint="eastAsia"/>
          <w:bCs/>
          <w:szCs w:val="21"/>
        </w:rPr>
        <w:t>需求，南方基金管理股份有限公司（以下简称“本公司”）经与基金托管人中国</w:t>
      </w:r>
      <w:r w:rsidR="00541FD1">
        <w:rPr>
          <w:rFonts w:ascii="Times New Roman" w:eastAsia="宋体" w:hAnsi="Times New Roman" w:cs="Times New Roman" w:hint="eastAsia"/>
          <w:bCs/>
          <w:szCs w:val="21"/>
        </w:rPr>
        <w:t>农业</w:t>
      </w:r>
      <w:r>
        <w:rPr>
          <w:rFonts w:ascii="Times New Roman" w:eastAsia="宋体" w:hAnsi="Times New Roman" w:cs="Times New Roman" w:hint="eastAsia"/>
          <w:bCs/>
          <w:szCs w:val="21"/>
        </w:rPr>
        <w:t>银行股份有限公司（以下简称“基金托管人”）协商一致，决定</w:t>
      </w:r>
      <w:r w:rsidR="00541FD1">
        <w:rPr>
          <w:rFonts w:ascii="Times New Roman" w:eastAsia="宋体" w:hAnsi="Times New Roman" w:cs="Times New Roman" w:hint="eastAsia"/>
          <w:bCs/>
          <w:szCs w:val="21"/>
        </w:rPr>
        <w:t>调整</w:t>
      </w:r>
      <w:r w:rsidR="00541FD1" w:rsidRPr="00541FD1">
        <w:rPr>
          <w:rFonts w:ascii="Times New Roman" w:eastAsia="宋体" w:hAnsi="Times New Roman" w:cs="Times New Roman" w:hint="eastAsia"/>
          <w:bCs/>
          <w:szCs w:val="21"/>
        </w:rPr>
        <w:t>南方标普中国</w:t>
      </w:r>
      <w:r w:rsidR="00541FD1" w:rsidRPr="00541FD1">
        <w:rPr>
          <w:rFonts w:ascii="Times New Roman" w:eastAsia="宋体" w:hAnsi="Times New Roman" w:cs="Times New Roman" w:hint="eastAsia"/>
          <w:bCs/>
          <w:szCs w:val="21"/>
        </w:rPr>
        <w:t>A</w:t>
      </w:r>
      <w:r w:rsidR="00541FD1" w:rsidRPr="00541FD1">
        <w:rPr>
          <w:rFonts w:ascii="Times New Roman" w:eastAsia="宋体" w:hAnsi="Times New Roman" w:cs="Times New Roman" w:hint="eastAsia"/>
          <w:bCs/>
          <w:szCs w:val="21"/>
        </w:rPr>
        <w:t>股大盘红利低波</w:t>
      </w:r>
      <w:r w:rsidR="00541FD1" w:rsidRPr="00541FD1">
        <w:rPr>
          <w:rFonts w:ascii="Times New Roman" w:eastAsia="宋体" w:hAnsi="Times New Roman" w:cs="Times New Roman" w:hint="eastAsia"/>
          <w:bCs/>
          <w:szCs w:val="21"/>
        </w:rPr>
        <w:t>50</w:t>
      </w:r>
      <w:r w:rsidR="00541FD1" w:rsidRPr="00541FD1">
        <w:rPr>
          <w:rFonts w:ascii="Times New Roman" w:eastAsia="宋体" w:hAnsi="Times New Roman" w:cs="Times New Roman" w:hint="eastAsia"/>
          <w:bCs/>
          <w:szCs w:val="21"/>
        </w:rPr>
        <w:t>交易型开放式指数证券投资基金</w:t>
      </w:r>
      <w:r w:rsidR="00541FD1">
        <w:rPr>
          <w:rFonts w:ascii="Times New Roman" w:eastAsia="宋体" w:hAnsi="Times New Roman" w:cs="Times New Roman" w:hint="eastAsia"/>
          <w:bCs/>
          <w:szCs w:val="21"/>
        </w:rPr>
        <w:t>及其联接基金的收益分配原则，并相应修改基金合同等法律文件</w:t>
      </w:r>
      <w:r>
        <w:rPr>
          <w:rFonts w:ascii="Times New Roman" w:eastAsia="宋体" w:hAnsi="Times New Roman" w:cs="Times New Roman" w:hint="eastAsia"/>
          <w:bCs/>
          <w:szCs w:val="21"/>
        </w:rPr>
        <w:t>。</w:t>
      </w:r>
    </w:p>
    <w:p w:rsidR="004C27D4" w:rsidRDefault="00541FD1">
      <w:pPr>
        <w:spacing w:line="360" w:lineRule="auto"/>
        <w:ind w:firstLineChars="200" w:firstLine="420"/>
        <w:rPr>
          <w:rFonts w:ascii="Times New Roman" w:eastAsia="宋体" w:hAnsi="Times New Roman" w:cs="Times New Roman"/>
          <w:bCs/>
          <w:szCs w:val="21"/>
        </w:rPr>
      </w:pPr>
      <w:r w:rsidRPr="00541FD1">
        <w:rPr>
          <w:rFonts w:ascii="Times New Roman" w:eastAsia="宋体" w:hAnsi="Times New Roman" w:cs="Times New Roman" w:hint="eastAsia"/>
          <w:bCs/>
          <w:szCs w:val="21"/>
        </w:rPr>
        <w:t>本次因调整收益分配原则而对基金合同进行的修订对基金份额持有人利益无实质性不利影响，属于基金合同约定的不需召开基金份额持有人大会的情形，修改后的基金合同将自</w:t>
      </w:r>
      <w:r w:rsidRPr="00541FD1">
        <w:rPr>
          <w:rFonts w:ascii="Times New Roman" w:eastAsia="宋体" w:hAnsi="Times New Roman" w:cs="Times New Roman" w:hint="eastAsia"/>
          <w:bCs/>
          <w:szCs w:val="21"/>
        </w:rPr>
        <w:t xml:space="preserve"> </w:t>
      </w:r>
      <w:r>
        <w:rPr>
          <w:rFonts w:ascii="Times New Roman" w:eastAsia="宋体" w:hAnsi="Times New Roman" w:cs="Times New Roman"/>
          <w:bCs/>
          <w:szCs w:val="21"/>
        </w:rPr>
        <w:t>2025</w:t>
      </w:r>
      <w:r w:rsidRPr="00541FD1">
        <w:rPr>
          <w:rFonts w:ascii="Times New Roman" w:eastAsia="宋体" w:hAnsi="Times New Roman" w:cs="Times New Roman" w:hint="eastAsia"/>
          <w:bCs/>
          <w:szCs w:val="21"/>
        </w:rPr>
        <w:t>年</w:t>
      </w:r>
      <w:r w:rsidR="000B339D">
        <w:rPr>
          <w:rFonts w:ascii="Times New Roman" w:eastAsia="宋体" w:hAnsi="Times New Roman" w:cs="Times New Roman" w:hint="eastAsia"/>
          <w:bCs/>
          <w:szCs w:val="21"/>
        </w:rPr>
        <w:t>4</w:t>
      </w:r>
      <w:r w:rsidRPr="00541FD1">
        <w:rPr>
          <w:rFonts w:ascii="Times New Roman" w:eastAsia="宋体" w:hAnsi="Times New Roman" w:cs="Times New Roman" w:hint="eastAsia"/>
          <w:bCs/>
          <w:szCs w:val="21"/>
        </w:rPr>
        <w:t>月</w:t>
      </w:r>
      <w:r w:rsidR="000B339D">
        <w:rPr>
          <w:rFonts w:ascii="Times New Roman" w:eastAsia="宋体" w:hAnsi="Times New Roman" w:cs="Times New Roman" w:hint="eastAsia"/>
          <w:bCs/>
          <w:szCs w:val="21"/>
        </w:rPr>
        <w:t>17</w:t>
      </w:r>
      <w:r w:rsidRPr="00541FD1">
        <w:rPr>
          <w:rFonts w:ascii="Times New Roman" w:eastAsia="宋体" w:hAnsi="Times New Roman" w:cs="Times New Roman" w:hint="eastAsia"/>
          <w:bCs/>
          <w:szCs w:val="21"/>
        </w:rPr>
        <w:t>日起正式生效。</w:t>
      </w:r>
      <w:r w:rsidR="00EA4415">
        <w:rPr>
          <w:rFonts w:ascii="Times New Roman" w:eastAsia="宋体" w:hAnsi="Times New Roman" w:cs="Times New Roman" w:hint="eastAsia"/>
          <w:bCs/>
          <w:szCs w:val="21"/>
        </w:rPr>
        <w:t>现将具体事宜公告如下：</w:t>
      </w:r>
      <w:r w:rsidR="00EA4415">
        <w:rPr>
          <w:rFonts w:ascii="Times New Roman" w:eastAsia="宋体" w:hAnsi="Times New Roman" w:cs="Times New Roman" w:hint="eastAsia"/>
          <w:bCs/>
          <w:szCs w:val="21"/>
        </w:rPr>
        <w:t xml:space="preserve"> </w:t>
      </w:r>
    </w:p>
    <w:p w:rsidR="00541FD1" w:rsidRPr="00541FD1" w:rsidRDefault="00541FD1" w:rsidP="001A1134">
      <w:pPr>
        <w:spacing w:beforeLines="50" w:line="360" w:lineRule="auto"/>
        <w:ind w:firstLine="420"/>
        <w:rPr>
          <w:rFonts w:ascii="Times New Roman" w:eastAsia="宋体" w:hAnsi="Times New Roman" w:cs="Times New Roman"/>
          <w:b/>
          <w:bCs/>
          <w:szCs w:val="21"/>
        </w:rPr>
      </w:pPr>
      <w:r w:rsidRPr="00541FD1">
        <w:rPr>
          <w:rFonts w:ascii="Times New Roman" w:eastAsia="宋体" w:hAnsi="Times New Roman" w:cs="Times New Roman" w:hint="eastAsia"/>
          <w:b/>
          <w:bCs/>
          <w:szCs w:val="21"/>
        </w:rPr>
        <w:t>一、基金合同修改内容</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1"/>
        <w:gridCol w:w="2758"/>
        <w:gridCol w:w="2855"/>
      </w:tblGrid>
      <w:tr w:rsidR="00541FD1" w:rsidRPr="00541FD1" w:rsidTr="000B339D">
        <w:trPr>
          <w:trHeight w:val="212"/>
          <w:tblHeader/>
          <w:jc w:val="center"/>
        </w:trPr>
        <w:tc>
          <w:tcPr>
            <w:tcW w:w="2711" w:type="dxa"/>
            <w:tcBorders>
              <w:top w:val="single" w:sz="4" w:space="0" w:color="auto"/>
              <w:left w:val="single" w:sz="4" w:space="0" w:color="auto"/>
              <w:bottom w:val="single" w:sz="4" w:space="0" w:color="auto"/>
              <w:right w:val="single" w:sz="4" w:space="0" w:color="auto"/>
            </w:tcBorders>
            <w:vAlign w:val="center"/>
          </w:tcPr>
          <w:p w:rsidR="00541FD1" w:rsidRPr="00541FD1" w:rsidRDefault="000B339D" w:rsidP="00541FD1">
            <w:pPr>
              <w:widowControl/>
              <w:adjustRightInd w:val="0"/>
              <w:snapToGrid w:val="0"/>
              <w:jc w:val="center"/>
              <w:rPr>
                <w:rFonts w:ascii="Times New Roman" w:eastAsia="仿宋_GB2312" w:hAnsi="Times New Roman" w:cs="Times New Roman"/>
                <w:b/>
                <w:sz w:val="24"/>
                <w:szCs w:val="24"/>
              </w:rPr>
            </w:pPr>
            <w:r w:rsidRPr="000B339D">
              <w:rPr>
                <w:rFonts w:ascii="Times New Roman" w:eastAsia="宋体" w:hAnsi="Times New Roman" w:cs="Times New Roman" w:hint="eastAsia"/>
                <w:b/>
                <w:bCs/>
                <w:szCs w:val="21"/>
              </w:rPr>
              <w:t>基金名称</w:t>
            </w:r>
          </w:p>
        </w:tc>
        <w:tc>
          <w:tcPr>
            <w:tcW w:w="2758" w:type="dxa"/>
            <w:tcBorders>
              <w:top w:val="single" w:sz="4" w:space="0" w:color="auto"/>
              <w:left w:val="single" w:sz="4" w:space="0" w:color="auto"/>
              <w:bottom w:val="single" w:sz="4" w:space="0" w:color="auto"/>
              <w:right w:val="single" w:sz="4" w:space="0" w:color="auto"/>
            </w:tcBorders>
            <w:vAlign w:val="center"/>
          </w:tcPr>
          <w:p w:rsidR="00541FD1" w:rsidRPr="00541FD1" w:rsidRDefault="00541FD1" w:rsidP="00541FD1">
            <w:pPr>
              <w:widowControl/>
              <w:adjustRightInd w:val="0"/>
              <w:snapToGrid w:val="0"/>
              <w:jc w:val="center"/>
              <w:rPr>
                <w:rFonts w:ascii="Times New Roman" w:eastAsia="宋体" w:hAnsi="Times New Roman" w:cs="Times New Roman"/>
                <w:b/>
                <w:bCs/>
                <w:szCs w:val="21"/>
              </w:rPr>
            </w:pPr>
            <w:r w:rsidRPr="00541FD1">
              <w:rPr>
                <w:rFonts w:ascii="Times New Roman" w:eastAsia="宋体" w:hAnsi="Times New Roman" w:cs="Times New Roman" w:hint="eastAsia"/>
                <w:b/>
                <w:bCs/>
                <w:szCs w:val="21"/>
              </w:rPr>
              <w:t>调整前</w:t>
            </w:r>
          </w:p>
        </w:tc>
        <w:tc>
          <w:tcPr>
            <w:tcW w:w="2855" w:type="dxa"/>
            <w:tcBorders>
              <w:top w:val="single" w:sz="4" w:space="0" w:color="auto"/>
              <w:left w:val="single" w:sz="4" w:space="0" w:color="auto"/>
              <w:bottom w:val="single" w:sz="4" w:space="0" w:color="auto"/>
              <w:right w:val="single" w:sz="4" w:space="0" w:color="auto"/>
            </w:tcBorders>
            <w:vAlign w:val="center"/>
          </w:tcPr>
          <w:p w:rsidR="00541FD1" w:rsidRPr="00541FD1" w:rsidRDefault="00541FD1" w:rsidP="00541FD1">
            <w:pPr>
              <w:widowControl/>
              <w:adjustRightInd w:val="0"/>
              <w:snapToGrid w:val="0"/>
              <w:jc w:val="center"/>
              <w:rPr>
                <w:rFonts w:ascii="Times New Roman" w:eastAsia="宋体" w:hAnsi="Times New Roman" w:cs="Times New Roman"/>
                <w:b/>
                <w:bCs/>
                <w:szCs w:val="21"/>
              </w:rPr>
            </w:pPr>
            <w:r w:rsidRPr="00541FD1">
              <w:rPr>
                <w:rFonts w:ascii="Times New Roman" w:eastAsia="宋体" w:hAnsi="Times New Roman" w:cs="Times New Roman" w:hint="eastAsia"/>
                <w:b/>
                <w:bCs/>
                <w:szCs w:val="21"/>
              </w:rPr>
              <w:t>调整后</w:t>
            </w:r>
          </w:p>
        </w:tc>
      </w:tr>
      <w:tr w:rsidR="00541FD1" w:rsidRPr="00541FD1" w:rsidTr="000B339D">
        <w:trPr>
          <w:trHeight w:val="212"/>
          <w:jc w:val="center"/>
        </w:trPr>
        <w:tc>
          <w:tcPr>
            <w:tcW w:w="2711" w:type="dxa"/>
            <w:tcBorders>
              <w:top w:val="single" w:sz="4" w:space="0" w:color="auto"/>
              <w:left w:val="single" w:sz="4" w:space="0" w:color="auto"/>
              <w:bottom w:val="single" w:sz="4" w:space="0" w:color="auto"/>
              <w:right w:val="single" w:sz="4" w:space="0" w:color="auto"/>
            </w:tcBorders>
            <w:vAlign w:val="center"/>
          </w:tcPr>
          <w:p w:rsidR="00541FD1" w:rsidRPr="00541FD1" w:rsidRDefault="00541FD1" w:rsidP="00541FD1">
            <w:pPr>
              <w:widowControl/>
              <w:adjustRightInd w:val="0"/>
              <w:snapToGrid w:val="0"/>
              <w:jc w:val="center"/>
              <w:rPr>
                <w:rFonts w:ascii="Times New Roman" w:eastAsia="宋体" w:hAnsi="Times New Roman" w:cs="Times New Roman"/>
                <w:bCs/>
                <w:szCs w:val="21"/>
              </w:rPr>
            </w:pPr>
            <w:r w:rsidRPr="00541FD1">
              <w:rPr>
                <w:rFonts w:ascii="Times New Roman" w:eastAsia="宋体" w:hAnsi="Times New Roman" w:cs="Times New Roman" w:hint="eastAsia"/>
                <w:bCs/>
                <w:szCs w:val="21"/>
              </w:rPr>
              <w:t>南方标普中国</w:t>
            </w:r>
            <w:r w:rsidRPr="00541FD1">
              <w:rPr>
                <w:rFonts w:ascii="Times New Roman" w:eastAsia="宋体" w:hAnsi="Times New Roman" w:cs="Times New Roman" w:hint="eastAsia"/>
                <w:bCs/>
                <w:szCs w:val="21"/>
              </w:rPr>
              <w:t>A</w:t>
            </w:r>
            <w:r w:rsidRPr="00541FD1">
              <w:rPr>
                <w:rFonts w:ascii="Times New Roman" w:eastAsia="宋体" w:hAnsi="Times New Roman" w:cs="Times New Roman" w:hint="eastAsia"/>
                <w:bCs/>
                <w:szCs w:val="21"/>
              </w:rPr>
              <w:t>股大盘红利低波</w:t>
            </w:r>
            <w:r w:rsidRPr="00541FD1">
              <w:rPr>
                <w:rFonts w:ascii="Times New Roman" w:eastAsia="宋体" w:hAnsi="Times New Roman" w:cs="Times New Roman" w:hint="eastAsia"/>
                <w:bCs/>
                <w:szCs w:val="21"/>
              </w:rPr>
              <w:t>50</w:t>
            </w:r>
            <w:r w:rsidRPr="00541FD1">
              <w:rPr>
                <w:rFonts w:ascii="Times New Roman" w:eastAsia="宋体" w:hAnsi="Times New Roman" w:cs="Times New Roman" w:hint="eastAsia"/>
                <w:bCs/>
                <w:szCs w:val="21"/>
              </w:rPr>
              <w:t>交易型开放式指数证券投资基金</w:t>
            </w:r>
          </w:p>
        </w:tc>
        <w:tc>
          <w:tcPr>
            <w:tcW w:w="2758" w:type="dxa"/>
            <w:tcBorders>
              <w:top w:val="single" w:sz="4" w:space="0" w:color="auto"/>
              <w:left w:val="single" w:sz="4" w:space="0" w:color="auto"/>
              <w:bottom w:val="single" w:sz="4" w:space="0" w:color="auto"/>
              <w:right w:val="single" w:sz="4" w:space="0" w:color="auto"/>
            </w:tcBorders>
            <w:vAlign w:val="center"/>
          </w:tcPr>
          <w:p w:rsidR="00541FD1" w:rsidRPr="00541FD1" w:rsidRDefault="00541FD1"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第十八部分</w:t>
            </w:r>
            <w:r w:rsidRPr="00541FD1">
              <w:rPr>
                <w:rFonts w:ascii="Times New Roman" w:eastAsia="宋体" w:hAnsi="Times New Roman" w:cs="Times New Roman" w:hint="eastAsia"/>
                <w:bCs/>
                <w:szCs w:val="21"/>
              </w:rPr>
              <w:t xml:space="preserve">  </w:t>
            </w:r>
            <w:r w:rsidRPr="00541FD1">
              <w:rPr>
                <w:rFonts w:ascii="Times New Roman" w:eastAsia="宋体" w:hAnsi="Times New Roman" w:cs="Times New Roman" w:hint="eastAsia"/>
                <w:bCs/>
                <w:szCs w:val="21"/>
              </w:rPr>
              <w:t>基金的收益与分配</w:t>
            </w:r>
          </w:p>
          <w:p w:rsidR="00541FD1" w:rsidRPr="00541FD1" w:rsidRDefault="00541FD1"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bCs/>
                <w:szCs w:val="21"/>
              </w:rPr>
              <w:t>…</w:t>
            </w:r>
          </w:p>
          <w:p w:rsidR="00541FD1" w:rsidRPr="00541FD1" w:rsidRDefault="00541FD1"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三、基金收益分配原则</w:t>
            </w:r>
          </w:p>
          <w:p w:rsidR="00541FD1" w:rsidRPr="00541FD1" w:rsidRDefault="00541FD1"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1</w:t>
            </w:r>
            <w:r w:rsidRPr="00541FD1">
              <w:rPr>
                <w:rFonts w:ascii="Times New Roman" w:eastAsia="宋体" w:hAnsi="Times New Roman" w:cs="Times New Roman" w:hint="eastAsia"/>
                <w:bCs/>
                <w:szCs w:val="21"/>
              </w:rPr>
              <w:t>、基金管理人每</w:t>
            </w:r>
            <w:r w:rsidRPr="000B339D">
              <w:rPr>
                <w:rFonts w:ascii="Times New Roman" w:eastAsia="宋体" w:hAnsi="Times New Roman" w:cs="Times New Roman" w:hint="eastAsia"/>
                <w:bCs/>
                <w:strike/>
                <w:szCs w:val="21"/>
              </w:rPr>
              <w:t>季度</w:t>
            </w:r>
            <w:r w:rsidRPr="00541FD1">
              <w:rPr>
                <w:rFonts w:ascii="Times New Roman" w:eastAsia="宋体" w:hAnsi="Times New Roman" w:cs="Times New Roman" w:hint="eastAsia"/>
                <w:bCs/>
                <w:szCs w:val="21"/>
              </w:rPr>
              <w:t>定期对基金相对标的指数的超额收益率进行</w:t>
            </w:r>
            <w:r w:rsidRPr="000B339D">
              <w:rPr>
                <w:rFonts w:ascii="Times New Roman" w:eastAsia="宋体" w:hAnsi="Times New Roman" w:cs="Times New Roman" w:hint="eastAsia"/>
                <w:bCs/>
                <w:strike/>
                <w:szCs w:val="21"/>
              </w:rPr>
              <w:t>一次</w:t>
            </w:r>
            <w:r w:rsidRPr="00541FD1">
              <w:rPr>
                <w:rFonts w:ascii="Times New Roman" w:eastAsia="宋体" w:hAnsi="Times New Roman" w:cs="Times New Roman" w:hint="eastAsia"/>
                <w:bCs/>
                <w:szCs w:val="21"/>
              </w:rPr>
              <w:t>评估</w:t>
            </w:r>
            <w:r w:rsidRPr="00541FD1">
              <w:rPr>
                <w:rFonts w:ascii="Times New Roman" w:eastAsia="宋体" w:hAnsi="Times New Roman" w:cs="Times New Roman"/>
                <w:bCs/>
                <w:szCs w:val="21"/>
              </w:rPr>
              <w:t>…</w:t>
            </w:r>
          </w:p>
          <w:p w:rsidR="00541FD1" w:rsidRPr="00541FD1" w:rsidRDefault="00541FD1" w:rsidP="00541FD1">
            <w:pPr>
              <w:widowControl/>
              <w:adjustRightInd w:val="0"/>
              <w:snapToGrid w:val="0"/>
              <w:rPr>
                <w:rFonts w:ascii="Times New Roman" w:eastAsia="宋体" w:hAnsi="Times New Roman" w:cs="Times New Roman"/>
                <w:bCs/>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541FD1" w:rsidRPr="00541FD1" w:rsidRDefault="00541FD1"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第十八部分</w:t>
            </w:r>
            <w:r w:rsidRPr="00541FD1">
              <w:rPr>
                <w:rFonts w:ascii="Times New Roman" w:eastAsia="宋体" w:hAnsi="Times New Roman" w:cs="Times New Roman" w:hint="eastAsia"/>
                <w:bCs/>
                <w:szCs w:val="21"/>
              </w:rPr>
              <w:t xml:space="preserve">  </w:t>
            </w:r>
            <w:r w:rsidRPr="00541FD1">
              <w:rPr>
                <w:rFonts w:ascii="Times New Roman" w:eastAsia="宋体" w:hAnsi="Times New Roman" w:cs="Times New Roman" w:hint="eastAsia"/>
                <w:bCs/>
                <w:szCs w:val="21"/>
              </w:rPr>
              <w:t>基金的收益与分配</w:t>
            </w:r>
          </w:p>
          <w:p w:rsidR="00541FD1" w:rsidRPr="00541FD1" w:rsidRDefault="00541FD1"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w:t>
            </w:r>
          </w:p>
          <w:p w:rsidR="00541FD1" w:rsidRPr="00541FD1" w:rsidRDefault="00541FD1"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三、基金收益分配原则</w:t>
            </w:r>
          </w:p>
          <w:p w:rsidR="00541FD1" w:rsidRPr="00541FD1" w:rsidRDefault="00541FD1"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1</w:t>
            </w:r>
            <w:r w:rsidR="004B70FD">
              <w:rPr>
                <w:rFonts w:ascii="Times New Roman" w:eastAsia="宋体" w:hAnsi="Times New Roman" w:cs="Times New Roman" w:hint="eastAsia"/>
                <w:bCs/>
                <w:szCs w:val="21"/>
              </w:rPr>
              <w:t>、基金管理人</w:t>
            </w:r>
            <w:r w:rsidRPr="000B339D">
              <w:rPr>
                <w:rFonts w:ascii="Times New Roman" w:eastAsia="宋体" w:hAnsi="Times New Roman" w:cs="Times New Roman" w:hint="eastAsia"/>
                <w:b/>
                <w:bCs/>
                <w:szCs w:val="21"/>
              </w:rPr>
              <w:t>每月</w:t>
            </w:r>
            <w:r w:rsidR="004B70FD">
              <w:rPr>
                <w:rFonts w:ascii="Times New Roman" w:eastAsia="宋体" w:hAnsi="Times New Roman" w:cs="Times New Roman" w:hint="eastAsia"/>
                <w:bCs/>
                <w:szCs w:val="21"/>
              </w:rPr>
              <w:t>定期</w:t>
            </w:r>
            <w:r w:rsidRPr="00541FD1">
              <w:rPr>
                <w:rFonts w:ascii="Times New Roman" w:eastAsia="宋体" w:hAnsi="Times New Roman" w:cs="Times New Roman" w:hint="eastAsia"/>
                <w:bCs/>
                <w:szCs w:val="21"/>
              </w:rPr>
              <w:t>对基金相对标的指数的超额收益率进行评估</w:t>
            </w:r>
            <w:r w:rsidRPr="00541FD1">
              <w:rPr>
                <w:rFonts w:ascii="Times New Roman" w:eastAsia="宋体" w:hAnsi="Times New Roman" w:cs="Times New Roman"/>
                <w:bCs/>
                <w:szCs w:val="21"/>
              </w:rPr>
              <w:t>…</w:t>
            </w:r>
          </w:p>
        </w:tc>
      </w:tr>
      <w:tr w:rsidR="000B339D" w:rsidRPr="00541FD1" w:rsidTr="000B339D">
        <w:trPr>
          <w:trHeight w:val="212"/>
          <w:jc w:val="center"/>
        </w:trPr>
        <w:tc>
          <w:tcPr>
            <w:tcW w:w="2711" w:type="dxa"/>
            <w:vMerge w:val="restart"/>
            <w:tcBorders>
              <w:top w:val="single" w:sz="4" w:space="0" w:color="auto"/>
              <w:left w:val="single" w:sz="4" w:space="0" w:color="auto"/>
              <w:right w:val="single" w:sz="4" w:space="0" w:color="auto"/>
            </w:tcBorders>
            <w:vAlign w:val="center"/>
          </w:tcPr>
          <w:p w:rsidR="000B339D" w:rsidRPr="00541FD1" w:rsidRDefault="000B339D" w:rsidP="000B339D">
            <w:pPr>
              <w:widowControl/>
              <w:adjustRightInd w:val="0"/>
              <w:snapToGrid w:val="0"/>
              <w:jc w:val="center"/>
              <w:rPr>
                <w:rFonts w:ascii="Times New Roman" w:eastAsia="宋体" w:hAnsi="Times New Roman" w:cs="Times New Roman"/>
                <w:bCs/>
                <w:szCs w:val="21"/>
              </w:rPr>
            </w:pPr>
            <w:r w:rsidRPr="00541FD1">
              <w:rPr>
                <w:rFonts w:ascii="Times New Roman" w:eastAsia="宋体" w:hAnsi="Times New Roman" w:cs="Times New Roman" w:hint="eastAsia"/>
                <w:bCs/>
                <w:szCs w:val="21"/>
              </w:rPr>
              <w:t>南方标普中国</w:t>
            </w:r>
            <w:r w:rsidRPr="00541FD1">
              <w:rPr>
                <w:rFonts w:ascii="Times New Roman" w:eastAsia="宋体" w:hAnsi="Times New Roman" w:cs="Times New Roman" w:hint="eastAsia"/>
                <w:bCs/>
                <w:szCs w:val="21"/>
              </w:rPr>
              <w:t>A</w:t>
            </w:r>
            <w:r w:rsidRPr="00541FD1">
              <w:rPr>
                <w:rFonts w:ascii="Times New Roman" w:eastAsia="宋体" w:hAnsi="Times New Roman" w:cs="Times New Roman" w:hint="eastAsia"/>
                <w:bCs/>
                <w:szCs w:val="21"/>
              </w:rPr>
              <w:t>股大盘红利低波</w:t>
            </w:r>
            <w:r w:rsidRPr="00541FD1">
              <w:rPr>
                <w:rFonts w:ascii="Times New Roman" w:eastAsia="宋体" w:hAnsi="Times New Roman" w:cs="Times New Roman" w:hint="eastAsia"/>
                <w:bCs/>
                <w:szCs w:val="21"/>
              </w:rPr>
              <w:t>50</w:t>
            </w:r>
            <w:r w:rsidRPr="00541FD1">
              <w:rPr>
                <w:rFonts w:ascii="Times New Roman" w:eastAsia="宋体" w:hAnsi="Times New Roman" w:cs="Times New Roman" w:hint="eastAsia"/>
                <w:bCs/>
                <w:szCs w:val="21"/>
              </w:rPr>
              <w:t>交易型开放式指数证券投资基金联接基金</w:t>
            </w:r>
          </w:p>
        </w:tc>
        <w:tc>
          <w:tcPr>
            <w:tcW w:w="2758" w:type="dxa"/>
            <w:tcBorders>
              <w:top w:val="single" w:sz="4" w:space="0" w:color="auto"/>
              <w:left w:val="single" w:sz="4" w:space="0" w:color="auto"/>
              <w:bottom w:val="single" w:sz="4" w:space="0" w:color="auto"/>
              <w:right w:val="single" w:sz="4" w:space="0" w:color="auto"/>
            </w:tcBorders>
            <w:vAlign w:val="center"/>
          </w:tcPr>
          <w:p w:rsidR="000B339D" w:rsidRPr="00541FD1" w:rsidRDefault="000B339D"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第十六部分</w:t>
            </w:r>
            <w:r w:rsidRPr="00541FD1">
              <w:rPr>
                <w:rFonts w:ascii="Times New Roman" w:eastAsia="宋体" w:hAnsi="Times New Roman" w:cs="Times New Roman" w:hint="eastAsia"/>
                <w:bCs/>
                <w:szCs w:val="21"/>
              </w:rPr>
              <w:t xml:space="preserve">  </w:t>
            </w:r>
            <w:r w:rsidRPr="00541FD1">
              <w:rPr>
                <w:rFonts w:ascii="Times New Roman" w:eastAsia="宋体" w:hAnsi="Times New Roman" w:cs="Times New Roman" w:hint="eastAsia"/>
                <w:bCs/>
                <w:szCs w:val="21"/>
              </w:rPr>
              <w:t>基金的收益与分配</w:t>
            </w:r>
          </w:p>
          <w:p w:rsidR="000B339D" w:rsidRPr="00541FD1" w:rsidRDefault="000B339D"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bCs/>
                <w:szCs w:val="21"/>
              </w:rPr>
              <w:t>…</w:t>
            </w:r>
          </w:p>
          <w:p w:rsidR="000B339D" w:rsidRPr="00541FD1" w:rsidRDefault="000B339D"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三、基金收益分配原则</w:t>
            </w:r>
          </w:p>
          <w:p w:rsidR="000B339D" w:rsidRPr="00541FD1" w:rsidRDefault="000B339D"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1</w:t>
            </w:r>
            <w:r w:rsidRPr="00541FD1">
              <w:rPr>
                <w:rFonts w:ascii="Times New Roman" w:eastAsia="宋体" w:hAnsi="Times New Roman" w:cs="Times New Roman" w:hint="eastAsia"/>
                <w:bCs/>
                <w:szCs w:val="21"/>
              </w:rPr>
              <w:t>、在符合有关基金分红条件的前提下，本基金每年收益分配次数最多为</w:t>
            </w:r>
            <w:r w:rsidRPr="00541FD1">
              <w:rPr>
                <w:rFonts w:ascii="Times New Roman" w:eastAsia="宋体" w:hAnsi="Times New Roman" w:cs="Times New Roman" w:hint="eastAsia"/>
                <w:bCs/>
                <w:szCs w:val="21"/>
              </w:rPr>
              <w:t>12</w:t>
            </w:r>
            <w:r w:rsidRPr="00541FD1">
              <w:rPr>
                <w:rFonts w:ascii="Times New Roman" w:eastAsia="宋体" w:hAnsi="Times New Roman" w:cs="Times New Roman" w:hint="eastAsia"/>
                <w:bCs/>
                <w:szCs w:val="21"/>
              </w:rPr>
              <w:t>次</w:t>
            </w:r>
            <w:r w:rsidRPr="00541FD1">
              <w:rPr>
                <w:rFonts w:ascii="Times New Roman" w:eastAsia="宋体" w:hAnsi="Times New Roman" w:cs="Times New Roman"/>
                <w:bCs/>
                <w:szCs w:val="21"/>
              </w:rPr>
              <w:t>…</w:t>
            </w:r>
          </w:p>
        </w:tc>
        <w:tc>
          <w:tcPr>
            <w:tcW w:w="2855" w:type="dxa"/>
            <w:tcBorders>
              <w:top w:val="single" w:sz="4" w:space="0" w:color="auto"/>
              <w:left w:val="single" w:sz="4" w:space="0" w:color="auto"/>
              <w:bottom w:val="single" w:sz="4" w:space="0" w:color="auto"/>
              <w:right w:val="single" w:sz="4" w:space="0" w:color="auto"/>
            </w:tcBorders>
            <w:vAlign w:val="center"/>
          </w:tcPr>
          <w:p w:rsidR="000B339D" w:rsidRPr="00541FD1" w:rsidRDefault="000B339D"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第十六部分</w:t>
            </w:r>
            <w:r w:rsidRPr="00541FD1">
              <w:rPr>
                <w:rFonts w:ascii="Times New Roman" w:eastAsia="宋体" w:hAnsi="Times New Roman" w:cs="Times New Roman" w:hint="eastAsia"/>
                <w:bCs/>
                <w:szCs w:val="21"/>
              </w:rPr>
              <w:t xml:space="preserve">  </w:t>
            </w:r>
            <w:r w:rsidRPr="00541FD1">
              <w:rPr>
                <w:rFonts w:ascii="Times New Roman" w:eastAsia="宋体" w:hAnsi="Times New Roman" w:cs="Times New Roman" w:hint="eastAsia"/>
                <w:bCs/>
                <w:szCs w:val="21"/>
              </w:rPr>
              <w:t>基金的收益与分配</w:t>
            </w:r>
          </w:p>
          <w:p w:rsidR="000B339D" w:rsidRPr="00541FD1" w:rsidRDefault="000B339D"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w:t>
            </w:r>
          </w:p>
          <w:p w:rsidR="000B339D" w:rsidRPr="00541FD1" w:rsidRDefault="000B339D"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三、基金收益分配原则</w:t>
            </w:r>
          </w:p>
          <w:p w:rsidR="000B339D" w:rsidRPr="00541FD1" w:rsidRDefault="000B339D" w:rsidP="00541FD1">
            <w:pPr>
              <w:widowControl/>
              <w:adjustRightInd w:val="0"/>
              <w:snapToGrid w:val="0"/>
              <w:rPr>
                <w:rFonts w:ascii="Times New Roman" w:eastAsia="宋体" w:hAnsi="Times New Roman" w:cs="Times New Roman"/>
                <w:bCs/>
                <w:szCs w:val="21"/>
              </w:rPr>
            </w:pPr>
            <w:r w:rsidRPr="00541FD1">
              <w:rPr>
                <w:rFonts w:ascii="Times New Roman" w:eastAsia="宋体" w:hAnsi="Times New Roman" w:cs="Times New Roman" w:hint="eastAsia"/>
                <w:bCs/>
                <w:szCs w:val="21"/>
              </w:rPr>
              <w:t>1</w:t>
            </w:r>
            <w:r w:rsidRPr="00541FD1">
              <w:rPr>
                <w:rFonts w:ascii="Times New Roman" w:eastAsia="宋体" w:hAnsi="Times New Roman" w:cs="Times New Roman" w:hint="eastAsia"/>
                <w:bCs/>
                <w:szCs w:val="21"/>
              </w:rPr>
              <w:t>、</w:t>
            </w:r>
            <w:r w:rsidRPr="000B339D">
              <w:rPr>
                <w:rFonts w:ascii="Times New Roman" w:eastAsia="宋体" w:hAnsi="Times New Roman" w:cs="Times New Roman" w:hint="eastAsia"/>
                <w:b/>
                <w:bCs/>
                <w:szCs w:val="21"/>
              </w:rPr>
              <w:t>基金管理人可每月对基金可供分配利润进行评估</w:t>
            </w:r>
            <w:r w:rsidRPr="00541FD1">
              <w:rPr>
                <w:rFonts w:ascii="Times New Roman" w:eastAsia="宋体" w:hAnsi="Times New Roman" w:cs="Times New Roman" w:hint="eastAsia"/>
                <w:bCs/>
                <w:szCs w:val="21"/>
              </w:rPr>
              <w:t>，在符合有关基金分红条件的前提下，本基金每年收益分配次数最多为</w:t>
            </w:r>
            <w:r w:rsidRPr="00541FD1">
              <w:rPr>
                <w:rFonts w:ascii="Times New Roman" w:eastAsia="宋体" w:hAnsi="Times New Roman" w:cs="Times New Roman" w:hint="eastAsia"/>
                <w:bCs/>
                <w:szCs w:val="21"/>
              </w:rPr>
              <w:t>12</w:t>
            </w:r>
            <w:r w:rsidRPr="00541FD1">
              <w:rPr>
                <w:rFonts w:ascii="Times New Roman" w:eastAsia="宋体" w:hAnsi="Times New Roman" w:cs="Times New Roman" w:hint="eastAsia"/>
                <w:bCs/>
                <w:szCs w:val="21"/>
              </w:rPr>
              <w:t>次</w:t>
            </w:r>
            <w:r w:rsidRPr="00541FD1">
              <w:rPr>
                <w:rFonts w:ascii="Times New Roman" w:eastAsia="宋体" w:hAnsi="Times New Roman" w:cs="Times New Roman"/>
                <w:bCs/>
                <w:szCs w:val="21"/>
              </w:rPr>
              <w:t>…</w:t>
            </w:r>
          </w:p>
        </w:tc>
      </w:tr>
      <w:tr w:rsidR="000B339D" w:rsidRPr="00541FD1" w:rsidTr="00BE2151">
        <w:trPr>
          <w:trHeight w:val="5239"/>
          <w:jc w:val="center"/>
        </w:trPr>
        <w:tc>
          <w:tcPr>
            <w:tcW w:w="2711" w:type="dxa"/>
            <w:vMerge/>
            <w:tcBorders>
              <w:left w:val="single" w:sz="4" w:space="0" w:color="auto"/>
              <w:bottom w:val="single" w:sz="4" w:space="0" w:color="auto"/>
              <w:right w:val="single" w:sz="4" w:space="0" w:color="auto"/>
            </w:tcBorders>
            <w:vAlign w:val="center"/>
          </w:tcPr>
          <w:p w:rsidR="000B339D" w:rsidRPr="00541FD1" w:rsidRDefault="000B339D" w:rsidP="00541FD1">
            <w:pPr>
              <w:widowControl/>
              <w:adjustRightInd w:val="0"/>
              <w:snapToGrid w:val="0"/>
              <w:jc w:val="center"/>
              <w:rPr>
                <w:rFonts w:ascii="Times New Roman" w:eastAsia="宋体" w:hAnsi="Times New Roman" w:cs="Times New Roman"/>
                <w:bCs/>
                <w:szCs w:val="21"/>
              </w:rPr>
            </w:pPr>
          </w:p>
        </w:tc>
        <w:tc>
          <w:tcPr>
            <w:tcW w:w="2758" w:type="dxa"/>
            <w:tcBorders>
              <w:top w:val="single" w:sz="4" w:space="0" w:color="auto"/>
              <w:left w:val="single" w:sz="4" w:space="0" w:color="auto"/>
              <w:bottom w:val="single" w:sz="4" w:space="0" w:color="auto"/>
              <w:right w:val="single" w:sz="4" w:space="0" w:color="auto"/>
            </w:tcBorders>
            <w:vAlign w:val="center"/>
          </w:tcPr>
          <w:p w:rsidR="000B339D" w:rsidRDefault="000B339D" w:rsidP="00541FD1">
            <w:pPr>
              <w:widowControl/>
              <w:adjustRightInd w:val="0"/>
              <w:snapToGrid w:val="0"/>
              <w:rPr>
                <w:rFonts w:ascii="Times New Roman" w:eastAsia="宋体" w:hAnsi="Times New Roman" w:cs="Times New Roman"/>
                <w:bCs/>
                <w:szCs w:val="21"/>
              </w:rPr>
            </w:pPr>
            <w:r w:rsidRPr="000B339D">
              <w:rPr>
                <w:rFonts w:ascii="Times New Roman" w:eastAsia="宋体" w:hAnsi="Times New Roman" w:cs="Times New Roman" w:hint="eastAsia"/>
                <w:bCs/>
                <w:szCs w:val="21"/>
              </w:rPr>
              <w:t>第十九部分</w:t>
            </w:r>
            <w:r w:rsidRPr="000B339D">
              <w:rPr>
                <w:rFonts w:ascii="Times New Roman" w:eastAsia="宋体" w:hAnsi="Times New Roman" w:cs="Times New Roman" w:hint="eastAsia"/>
                <w:bCs/>
                <w:szCs w:val="21"/>
              </w:rPr>
              <w:t xml:space="preserve">  </w:t>
            </w:r>
            <w:r w:rsidRPr="000B339D">
              <w:rPr>
                <w:rFonts w:ascii="Times New Roman" w:eastAsia="宋体" w:hAnsi="Times New Roman" w:cs="Times New Roman" w:hint="eastAsia"/>
                <w:bCs/>
                <w:szCs w:val="21"/>
              </w:rPr>
              <w:t>基金合同的变更、终止与基金财产的清算</w:t>
            </w:r>
          </w:p>
          <w:p w:rsidR="000B339D" w:rsidRDefault="000B339D" w:rsidP="00541FD1">
            <w:pPr>
              <w:widowControl/>
              <w:adjustRightInd w:val="0"/>
              <w:snapToGrid w:val="0"/>
              <w:rPr>
                <w:rFonts w:ascii="Times New Roman" w:eastAsia="宋体" w:hAnsi="Times New Roman" w:cs="Times New Roman"/>
                <w:bCs/>
                <w:szCs w:val="21"/>
              </w:rPr>
            </w:pPr>
          </w:p>
          <w:p w:rsidR="000B339D" w:rsidRPr="000B339D" w:rsidRDefault="000B339D" w:rsidP="000B339D">
            <w:pPr>
              <w:widowControl/>
              <w:adjustRightInd w:val="0"/>
              <w:snapToGrid w:val="0"/>
              <w:rPr>
                <w:rFonts w:ascii="Times New Roman" w:eastAsia="宋体" w:hAnsi="Times New Roman" w:cs="Times New Roman"/>
                <w:bCs/>
                <w:szCs w:val="21"/>
              </w:rPr>
            </w:pPr>
            <w:r w:rsidRPr="000B339D">
              <w:rPr>
                <w:rFonts w:ascii="Times New Roman" w:eastAsia="宋体" w:hAnsi="Times New Roman" w:cs="Times New Roman" w:hint="eastAsia"/>
                <w:bCs/>
                <w:szCs w:val="21"/>
              </w:rPr>
              <w:t>一、《基金合同》的变更</w:t>
            </w:r>
          </w:p>
          <w:p w:rsidR="000B339D" w:rsidRPr="000B339D" w:rsidRDefault="000B339D" w:rsidP="000B339D">
            <w:pPr>
              <w:widowControl/>
              <w:adjustRightInd w:val="0"/>
              <w:snapToGrid w:val="0"/>
              <w:rPr>
                <w:rFonts w:ascii="Times New Roman" w:eastAsia="宋体" w:hAnsi="Times New Roman" w:cs="Times New Roman"/>
                <w:bCs/>
                <w:szCs w:val="21"/>
              </w:rPr>
            </w:pPr>
            <w:r w:rsidRPr="000B339D">
              <w:rPr>
                <w:rFonts w:ascii="Times New Roman" w:eastAsia="宋体" w:hAnsi="Times New Roman" w:cs="Times New Roman" w:hint="eastAsia"/>
                <w:bCs/>
                <w:szCs w:val="21"/>
              </w:rPr>
              <w:t>1</w:t>
            </w:r>
            <w:r w:rsidRPr="000B339D">
              <w:rPr>
                <w:rFonts w:ascii="Times New Roman" w:eastAsia="宋体" w:hAnsi="Times New Roman" w:cs="Times New Roman"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r w:rsidRPr="000B339D">
              <w:rPr>
                <w:rFonts w:ascii="Times New Roman" w:eastAsia="宋体" w:hAnsi="Times New Roman" w:cs="Times New Roman" w:hint="eastAsia"/>
                <w:bCs/>
                <w:strike/>
                <w:szCs w:val="21"/>
              </w:rPr>
              <w:t>，并报中国证监会备案</w:t>
            </w:r>
            <w:r w:rsidRPr="000B339D">
              <w:rPr>
                <w:rFonts w:ascii="Times New Roman" w:eastAsia="宋体" w:hAnsi="Times New Roman" w:cs="Times New Roman" w:hint="eastAsia"/>
                <w:bCs/>
                <w:szCs w:val="21"/>
              </w:rPr>
              <w:t>。</w:t>
            </w:r>
          </w:p>
        </w:tc>
        <w:tc>
          <w:tcPr>
            <w:tcW w:w="2855" w:type="dxa"/>
            <w:tcBorders>
              <w:top w:val="single" w:sz="4" w:space="0" w:color="auto"/>
              <w:left w:val="single" w:sz="4" w:space="0" w:color="auto"/>
              <w:bottom w:val="single" w:sz="4" w:space="0" w:color="auto"/>
              <w:right w:val="single" w:sz="4" w:space="0" w:color="auto"/>
            </w:tcBorders>
            <w:vAlign w:val="center"/>
          </w:tcPr>
          <w:p w:rsidR="000B339D" w:rsidRPr="000B339D" w:rsidRDefault="000B339D" w:rsidP="000B339D">
            <w:pPr>
              <w:widowControl/>
              <w:adjustRightInd w:val="0"/>
              <w:snapToGrid w:val="0"/>
              <w:rPr>
                <w:rFonts w:ascii="Times New Roman" w:eastAsia="宋体" w:hAnsi="Times New Roman" w:cs="Times New Roman"/>
                <w:bCs/>
                <w:szCs w:val="21"/>
              </w:rPr>
            </w:pPr>
            <w:r w:rsidRPr="000B339D">
              <w:rPr>
                <w:rFonts w:ascii="Times New Roman" w:eastAsia="宋体" w:hAnsi="Times New Roman" w:cs="Times New Roman" w:hint="eastAsia"/>
                <w:bCs/>
                <w:szCs w:val="21"/>
              </w:rPr>
              <w:t>第十九部分</w:t>
            </w:r>
            <w:r w:rsidRPr="000B339D">
              <w:rPr>
                <w:rFonts w:ascii="Times New Roman" w:eastAsia="宋体" w:hAnsi="Times New Roman" w:cs="Times New Roman" w:hint="eastAsia"/>
                <w:bCs/>
                <w:szCs w:val="21"/>
              </w:rPr>
              <w:t xml:space="preserve">  </w:t>
            </w:r>
            <w:r w:rsidRPr="000B339D">
              <w:rPr>
                <w:rFonts w:ascii="Times New Roman" w:eastAsia="宋体" w:hAnsi="Times New Roman" w:cs="Times New Roman" w:hint="eastAsia"/>
                <w:bCs/>
                <w:szCs w:val="21"/>
              </w:rPr>
              <w:t>基金合同的变更、终止与基金财产的清算</w:t>
            </w:r>
          </w:p>
          <w:p w:rsidR="000B339D" w:rsidRPr="000B339D" w:rsidRDefault="000B339D" w:rsidP="000B339D">
            <w:pPr>
              <w:widowControl/>
              <w:adjustRightInd w:val="0"/>
              <w:snapToGrid w:val="0"/>
              <w:rPr>
                <w:rFonts w:ascii="Times New Roman" w:eastAsia="宋体" w:hAnsi="Times New Roman" w:cs="Times New Roman"/>
                <w:bCs/>
                <w:szCs w:val="21"/>
              </w:rPr>
            </w:pPr>
          </w:p>
          <w:p w:rsidR="000B339D" w:rsidRPr="000B339D" w:rsidRDefault="000B339D" w:rsidP="000B339D">
            <w:pPr>
              <w:widowControl/>
              <w:adjustRightInd w:val="0"/>
              <w:snapToGrid w:val="0"/>
              <w:rPr>
                <w:rFonts w:ascii="Times New Roman" w:eastAsia="宋体" w:hAnsi="Times New Roman" w:cs="Times New Roman"/>
                <w:bCs/>
                <w:szCs w:val="21"/>
              </w:rPr>
            </w:pPr>
            <w:r w:rsidRPr="000B339D">
              <w:rPr>
                <w:rFonts w:ascii="Times New Roman" w:eastAsia="宋体" w:hAnsi="Times New Roman" w:cs="Times New Roman" w:hint="eastAsia"/>
                <w:bCs/>
                <w:szCs w:val="21"/>
              </w:rPr>
              <w:t>一、《基金合同》的变更</w:t>
            </w:r>
          </w:p>
          <w:p w:rsidR="000B339D" w:rsidRPr="00541FD1" w:rsidRDefault="000B339D" w:rsidP="000B339D">
            <w:pPr>
              <w:widowControl/>
              <w:adjustRightInd w:val="0"/>
              <w:snapToGrid w:val="0"/>
              <w:rPr>
                <w:rFonts w:ascii="Times New Roman" w:eastAsia="宋体" w:hAnsi="Times New Roman" w:cs="Times New Roman"/>
                <w:bCs/>
                <w:szCs w:val="21"/>
              </w:rPr>
            </w:pPr>
            <w:r w:rsidRPr="000B339D">
              <w:rPr>
                <w:rFonts w:ascii="Times New Roman" w:eastAsia="宋体" w:hAnsi="Times New Roman" w:cs="Times New Roman" w:hint="eastAsia"/>
                <w:bCs/>
                <w:szCs w:val="21"/>
              </w:rPr>
              <w:t>1</w:t>
            </w:r>
            <w:r w:rsidRPr="000B339D">
              <w:rPr>
                <w:rFonts w:ascii="Times New Roman" w:eastAsia="宋体" w:hAnsi="Times New Roman" w:cs="Times New Roman"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r>
              <w:rPr>
                <w:rFonts w:ascii="Times New Roman" w:eastAsia="宋体" w:hAnsi="Times New Roman" w:cs="Times New Roman" w:hint="eastAsia"/>
                <w:bCs/>
                <w:szCs w:val="21"/>
              </w:rPr>
              <w:t>。</w:t>
            </w:r>
          </w:p>
        </w:tc>
      </w:tr>
    </w:tbl>
    <w:p w:rsidR="00541FD1" w:rsidRPr="00541FD1" w:rsidRDefault="00541FD1" w:rsidP="00541FD1">
      <w:pPr>
        <w:ind w:firstLine="420"/>
      </w:pPr>
    </w:p>
    <w:p w:rsidR="004C27D4" w:rsidRPr="00541FD1" w:rsidRDefault="00541FD1" w:rsidP="001A1134">
      <w:pPr>
        <w:spacing w:beforeLines="50" w:line="360" w:lineRule="auto"/>
        <w:ind w:firstLineChars="200" w:firstLine="422"/>
        <w:rPr>
          <w:rFonts w:ascii="Times New Roman" w:eastAsia="宋体" w:hAnsi="Times New Roman" w:cs="Times New Roman"/>
          <w:b/>
          <w:bCs/>
          <w:szCs w:val="21"/>
        </w:rPr>
      </w:pPr>
      <w:r w:rsidRPr="00541FD1">
        <w:rPr>
          <w:rFonts w:ascii="Times New Roman" w:eastAsia="宋体" w:hAnsi="Times New Roman" w:cs="Times New Roman" w:hint="eastAsia"/>
          <w:b/>
          <w:bCs/>
          <w:szCs w:val="21"/>
        </w:rPr>
        <w:t>二、</w:t>
      </w:r>
      <w:r w:rsidR="00EA4415" w:rsidRPr="00541FD1">
        <w:rPr>
          <w:rFonts w:ascii="Times New Roman" w:eastAsia="宋体" w:hAnsi="Times New Roman" w:cs="Times New Roman"/>
          <w:b/>
          <w:bCs/>
          <w:szCs w:val="21"/>
        </w:rPr>
        <w:t>重要提示：</w:t>
      </w:r>
    </w:p>
    <w:p w:rsidR="004C27D4" w:rsidRDefault="00311969" w:rsidP="00311969">
      <w:pPr>
        <w:spacing w:line="360" w:lineRule="auto"/>
        <w:ind w:firstLineChars="200" w:firstLine="420"/>
        <w:rPr>
          <w:rFonts w:ascii="Times New Roman" w:eastAsia="宋体" w:hAnsi="Times New Roman" w:cs="Times New Roman"/>
          <w:bCs/>
          <w:szCs w:val="21"/>
        </w:rPr>
      </w:pPr>
      <w:r w:rsidRPr="00311969">
        <w:rPr>
          <w:rFonts w:ascii="Times New Roman" w:eastAsia="宋体" w:hAnsi="Times New Roman" w:cs="Times New Roman" w:hint="eastAsia"/>
          <w:bCs/>
          <w:szCs w:val="21"/>
        </w:rPr>
        <w:t>基金管理人将根据上述调整情况修订各基金基金合同“基金的收益与分配”等章节中的有关内容，并将根据修订的基金合同相应修订各基金的托管协议、招募说明书等法律文件。本次修订已履行规定的程序，符合法律法规及各基金基金合同的规定，修订内容自</w:t>
      </w:r>
      <w:r w:rsidRPr="00311969">
        <w:rPr>
          <w:rFonts w:ascii="Times New Roman" w:eastAsia="宋体" w:hAnsi="Times New Roman" w:cs="Times New Roman" w:hint="eastAsia"/>
          <w:bCs/>
          <w:szCs w:val="21"/>
        </w:rPr>
        <w:t>2025</w:t>
      </w:r>
      <w:r w:rsidRPr="00311969">
        <w:rPr>
          <w:rFonts w:ascii="Times New Roman" w:eastAsia="宋体" w:hAnsi="Times New Roman" w:cs="Times New Roman" w:hint="eastAsia"/>
          <w:bCs/>
          <w:szCs w:val="21"/>
        </w:rPr>
        <w:t>年</w:t>
      </w:r>
      <w:r w:rsidR="000B339D">
        <w:rPr>
          <w:rFonts w:ascii="Times New Roman" w:eastAsia="宋体" w:hAnsi="Times New Roman" w:cs="Times New Roman" w:hint="eastAsia"/>
          <w:bCs/>
          <w:szCs w:val="21"/>
        </w:rPr>
        <w:t>4</w:t>
      </w:r>
      <w:r w:rsidRPr="00311969">
        <w:rPr>
          <w:rFonts w:ascii="Times New Roman" w:eastAsia="宋体" w:hAnsi="Times New Roman" w:cs="Times New Roman" w:hint="eastAsia"/>
          <w:bCs/>
          <w:szCs w:val="21"/>
        </w:rPr>
        <w:t>月</w:t>
      </w:r>
      <w:r w:rsidR="000B339D">
        <w:rPr>
          <w:rFonts w:ascii="Times New Roman" w:eastAsia="宋体" w:hAnsi="Times New Roman" w:cs="Times New Roman" w:hint="eastAsia"/>
          <w:bCs/>
          <w:szCs w:val="21"/>
        </w:rPr>
        <w:t>17</w:t>
      </w:r>
      <w:r w:rsidRPr="00311969">
        <w:rPr>
          <w:rFonts w:ascii="Times New Roman" w:eastAsia="宋体" w:hAnsi="Times New Roman" w:cs="Times New Roman" w:hint="eastAsia"/>
          <w:bCs/>
          <w:szCs w:val="21"/>
        </w:rPr>
        <w:t>日起生效，修订后的法律文件将依照《信息披露办法》的有关规定在基金管理人网站（</w:t>
      </w:r>
      <w:r w:rsidRPr="00311969">
        <w:rPr>
          <w:rFonts w:ascii="Times New Roman" w:eastAsia="宋体" w:hAnsi="Times New Roman" w:cs="Times New Roman" w:hint="eastAsia"/>
          <w:bCs/>
          <w:szCs w:val="21"/>
        </w:rPr>
        <w:t>www.nffund.com</w:t>
      </w:r>
      <w:r w:rsidRPr="00311969">
        <w:rPr>
          <w:rFonts w:ascii="Times New Roman" w:eastAsia="宋体" w:hAnsi="Times New Roman" w:cs="Times New Roman" w:hint="eastAsia"/>
          <w:bCs/>
          <w:szCs w:val="21"/>
        </w:rPr>
        <w:t>）和中国证监会基金电子披露网站（</w:t>
      </w:r>
      <w:r w:rsidRPr="00311969">
        <w:rPr>
          <w:rFonts w:ascii="Times New Roman" w:eastAsia="宋体" w:hAnsi="Times New Roman" w:cs="Times New Roman" w:hint="eastAsia"/>
          <w:bCs/>
          <w:szCs w:val="21"/>
        </w:rPr>
        <w:t>http://eid.csrc.gov.cn/fund</w:t>
      </w:r>
      <w:r w:rsidRPr="00311969">
        <w:rPr>
          <w:rFonts w:ascii="Times New Roman" w:eastAsia="宋体" w:hAnsi="Times New Roman" w:cs="Times New Roman" w:hint="eastAsia"/>
          <w:bCs/>
          <w:szCs w:val="21"/>
        </w:rPr>
        <w:t>）发布，投资者可登录查阅。</w:t>
      </w:r>
    </w:p>
    <w:p w:rsidR="00311969" w:rsidRPr="00311969" w:rsidRDefault="00311969" w:rsidP="00311969">
      <w:pPr>
        <w:spacing w:line="360" w:lineRule="auto"/>
        <w:ind w:firstLineChars="200" w:firstLine="420"/>
        <w:rPr>
          <w:rFonts w:ascii="Times New Roman" w:eastAsia="宋体" w:hAnsi="Times New Roman" w:cs="Times New Roman"/>
          <w:bCs/>
          <w:szCs w:val="21"/>
        </w:rPr>
      </w:pPr>
      <w:r w:rsidRPr="00311969">
        <w:rPr>
          <w:rFonts w:ascii="Times New Roman" w:eastAsia="宋体" w:hAnsi="Times New Roman" w:cs="Times New Roman" w:hint="eastAsia"/>
          <w:bCs/>
          <w:szCs w:val="21"/>
        </w:rPr>
        <w:t>如有疑问，投资者可访问本公司网站</w:t>
      </w:r>
      <w:r w:rsidRPr="00311969">
        <w:rPr>
          <w:rFonts w:ascii="Times New Roman" w:eastAsia="宋体" w:hAnsi="Times New Roman" w:cs="Times New Roman" w:hint="eastAsia"/>
          <w:bCs/>
          <w:szCs w:val="21"/>
        </w:rPr>
        <w:t>(www.nffund.com)</w:t>
      </w:r>
      <w:r w:rsidRPr="00311969">
        <w:rPr>
          <w:rFonts w:ascii="Times New Roman" w:eastAsia="宋体" w:hAnsi="Times New Roman" w:cs="Times New Roman" w:hint="eastAsia"/>
          <w:bCs/>
          <w:szCs w:val="21"/>
        </w:rPr>
        <w:t>或拨打客户服务电话（</w:t>
      </w:r>
      <w:r w:rsidRPr="00311969">
        <w:rPr>
          <w:rFonts w:ascii="Times New Roman" w:eastAsia="宋体" w:hAnsi="Times New Roman" w:cs="Times New Roman" w:hint="eastAsia"/>
          <w:bCs/>
          <w:szCs w:val="21"/>
        </w:rPr>
        <w:t>400</w:t>
      </w:r>
      <w:r w:rsidRPr="00311969">
        <w:rPr>
          <w:rFonts w:ascii="Times New Roman" w:eastAsia="宋体" w:hAnsi="Times New Roman" w:cs="Times New Roman" w:hint="eastAsia"/>
          <w:bCs/>
          <w:szCs w:val="21"/>
        </w:rPr>
        <w:t>－</w:t>
      </w:r>
      <w:r w:rsidRPr="00311969">
        <w:rPr>
          <w:rFonts w:ascii="Times New Roman" w:eastAsia="宋体" w:hAnsi="Times New Roman" w:cs="Times New Roman" w:hint="eastAsia"/>
          <w:bCs/>
          <w:szCs w:val="21"/>
        </w:rPr>
        <w:t>889</w:t>
      </w:r>
      <w:r w:rsidRPr="00311969">
        <w:rPr>
          <w:rFonts w:ascii="Times New Roman" w:eastAsia="宋体" w:hAnsi="Times New Roman" w:cs="Times New Roman" w:hint="eastAsia"/>
          <w:bCs/>
          <w:szCs w:val="21"/>
        </w:rPr>
        <w:t>－</w:t>
      </w:r>
      <w:r w:rsidRPr="00311969">
        <w:rPr>
          <w:rFonts w:ascii="Times New Roman" w:eastAsia="宋体" w:hAnsi="Times New Roman" w:cs="Times New Roman" w:hint="eastAsia"/>
          <w:bCs/>
          <w:szCs w:val="21"/>
        </w:rPr>
        <w:t>8899</w:t>
      </w:r>
      <w:r w:rsidRPr="00311969">
        <w:rPr>
          <w:rFonts w:ascii="Times New Roman" w:eastAsia="宋体" w:hAnsi="Times New Roman" w:cs="Times New Roman" w:hint="eastAsia"/>
          <w:bCs/>
          <w:szCs w:val="21"/>
        </w:rPr>
        <w:t>）咨询相关事宜。</w:t>
      </w:r>
    </w:p>
    <w:p w:rsidR="004C27D4" w:rsidRDefault="00311969" w:rsidP="00311969">
      <w:pPr>
        <w:spacing w:line="360" w:lineRule="auto"/>
        <w:ind w:firstLineChars="200" w:firstLine="420"/>
        <w:rPr>
          <w:rFonts w:ascii="Times New Roman" w:eastAsia="宋体" w:hAnsi="Times New Roman" w:cs="Times New Roman"/>
          <w:bCs/>
          <w:szCs w:val="21"/>
        </w:rPr>
      </w:pPr>
      <w:r w:rsidRPr="00311969">
        <w:rPr>
          <w:rFonts w:ascii="Times New Roman" w:eastAsia="宋体" w:hAnsi="Times New Roman" w:cs="Times New Roman" w:hint="eastAsia"/>
          <w:bCs/>
          <w:szCs w:val="21"/>
        </w:rPr>
        <w:t>风险提示：基金管理人依照恪尽职守、诚实信用、谨慎勤勉的原则管理和运用基金财产，但不保证基金一定盈利，也不保证最低收益。基金的过往业绩及其净值高低并不预示其未来业绩表现。基金管理人提醒投资人基金投资的“买者自负”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4C27D4" w:rsidRDefault="00EA4415">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lastRenderedPageBreak/>
        <w:t>特此公告。</w:t>
      </w:r>
    </w:p>
    <w:p w:rsidR="004C27D4" w:rsidRDefault="00EA4415">
      <w:pPr>
        <w:spacing w:line="360" w:lineRule="auto"/>
        <w:ind w:firstLineChars="200" w:firstLine="420"/>
        <w:jc w:val="right"/>
        <w:rPr>
          <w:rFonts w:ascii="Times New Roman" w:eastAsia="宋体" w:hAnsi="Times New Roman" w:cs="Times New Roman"/>
          <w:bCs/>
          <w:szCs w:val="21"/>
        </w:rPr>
      </w:pPr>
      <w:r>
        <w:rPr>
          <w:rFonts w:ascii="Times New Roman" w:eastAsia="宋体" w:hAnsi="Times New Roman" w:cs="Times New Roman" w:hint="eastAsia"/>
          <w:bCs/>
          <w:szCs w:val="21"/>
        </w:rPr>
        <w:t>南方基金管理股份有限公司</w:t>
      </w:r>
    </w:p>
    <w:p w:rsidR="004C27D4" w:rsidRDefault="00541FD1">
      <w:pPr>
        <w:spacing w:line="360" w:lineRule="auto"/>
        <w:ind w:firstLineChars="200" w:firstLine="420"/>
        <w:jc w:val="right"/>
        <w:rPr>
          <w:rFonts w:ascii="Times New Roman" w:eastAsia="宋体" w:hAnsi="Times New Roman" w:cs="Times New Roman"/>
          <w:bCs/>
          <w:szCs w:val="21"/>
        </w:rPr>
      </w:pPr>
      <w:r>
        <w:rPr>
          <w:rFonts w:ascii="Times New Roman" w:eastAsia="宋体" w:hAnsi="Times New Roman" w:cs="Times New Roman" w:hint="eastAsia"/>
          <w:bCs/>
          <w:szCs w:val="21"/>
        </w:rPr>
        <w:t>20</w:t>
      </w:r>
      <w:r>
        <w:rPr>
          <w:rFonts w:ascii="Times New Roman" w:eastAsia="宋体" w:hAnsi="Times New Roman" w:cs="Times New Roman"/>
          <w:bCs/>
          <w:szCs w:val="21"/>
        </w:rPr>
        <w:t>25</w:t>
      </w:r>
      <w:r w:rsidR="00EA4415">
        <w:rPr>
          <w:rFonts w:ascii="Times New Roman" w:eastAsia="宋体" w:hAnsi="Times New Roman" w:cs="Times New Roman" w:hint="eastAsia"/>
          <w:bCs/>
          <w:szCs w:val="21"/>
        </w:rPr>
        <w:t>年</w:t>
      </w:r>
      <w:r w:rsidR="000B339D">
        <w:rPr>
          <w:rFonts w:ascii="Times New Roman" w:eastAsia="宋体" w:hAnsi="Times New Roman" w:cs="Times New Roman" w:hint="eastAsia"/>
          <w:bCs/>
          <w:szCs w:val="21"/>
        </w:rPr>
        <w:t>4</w:t>
      </w:r>
      <w:r w:rsidR="00EA4415">
        <w:rPr>
          <w:rFonts w:ascii="Times New Roman" w:eastAsia="宋体" w:hAnsi="Times New Roman" w:cs="Times New Roman" w:hint="eastAsia"/>
          <w:bCs/>
          <w:szCs w:val="21"/>
        </w:rPr>
        <w:t>月</w:t>
      </w:r>
      <w:r w:rsidR="000B339D">
        <w:rPr>
          <w:rFonts w:ascii="Times New Roman" w:eastAsia="宋体" w:hAnsi="Times New Roman" w:cs="Times New Roman" w:hint="eastAsia"/>
          <w:bCs/>
          <w:szCs w:val="21"/>
        </w:rPr>
        <w:t>17</w:t>
      </w:r>
      <w:r w:rsidR="00EA4415">
        <w:rPr>
          <w:rFonts w:ascii="Times New Roman" w:eastAsia="宋体" w:hAnsi="Times New Roman" w:cs="Times New Roman" w:hint="eastAsia"/>
          <w:bCs/>
          <w:szCs w:val="21"/>
        </w:rPr>
        <w:t>日</w:t>
      </w:r>
    </w:p>
    <w:sectPr w:rsidR="004C27D4" w:rsidSect="004F674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199" w:rsidRDefault="00102199">
      <w:r>
        <w:separator/>
      </w:r>
    </w:p>
  </w:endnote>
  <w:endnote w:type="continuationSeparator" w:id="0">
    <w:p w:rsidR="00102199" w:rsidRDefault="00102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984419"/>
    </w:sdtPr>
    <w:sdtContent>
      <w:p w:rsidR="004C27D4" w:rsidRDefault="004F674F">
        <w:pPr>
          <w:pStyle w:val="a6"/>
          <w:jc w:val="center"/>
        </w:pPr>
        <w:r>
          <w:fldChar w:fldCharType="begin"/>
        </w:r>
        <w:r w:rsidR="00EA4415">
          <w:instrText>PAGE   \* MERGEFORMAT</w:instrText>
        </w:r>
        <w:r>
          <w:fldChar w:fldCharType="separate"/>
        </w:r>
        <w:r w:rsidR="001A1134" w:rsidRPr="001A1134">
          <w:rPr>
            <w:noProof/>
            <w:lang w:val="zh-CN"/>
          </w:rPr>
          <w:t>1</w:t>
        </w:r>
        <w:r>
          <w:fldChar w:fldCharType="end"/>
        </w:r>
      </w:p>
    </w:sdtContent>
  </w:sdt>
  <w:p w:rsidR="004C27D4" w:rsidRDefault="004C27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199" w:rsidRDefault="00102199">
      <w:r>
        <w:separator/>
      </w:r>
    </w:p>
  </w:footnote>
  <w:footnote w:type="continuationSeparator" w:id="0">
    <w:p w:rsidR="00102199" w:rsidRDefault="00102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3554A"/>
    <w:multiLevelType w:val="hybridMultilevel"/>
    <w:tmpl w:val="429EFCAC"/>
    <w:lvl w:ilvl="0" w:tplc="6AF21FE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E83"/>
    <w:rsid w:val="00004E97"/>
    <w:rsid w:val="0000683C"/>
    <w:rsid w:val="00006F50"/>
    <w:rsid w:val="000101C3"/>
    <w:rsid w:val="00010B40"/>
    <w:rsid w:val="0001147B"/>
    <w:rsid w:val="00011FC8"/>
    <w:rsid w:val="00012DAA"/>
    <w:rsid w:val="00021160"/>
    <w:rsid w:val="00021A00"/>
    <w:rsid w:val="00022381"/>
    <w:rsid w:val="00023103"/>
    <w:rsid w:val="00023D62"/>
    <w:rsid w:val="00024B44"/>
    <w:rsid w:val="0002677E"/>
    <w:rsid w:val="0002767C"/>
    <w:rsid w:val="00030A6F"/>
    <w:rsid w:val="000332FC"/>
    <w:rsid w:val="00033391"/>
    <w:rsid w:val="00033E7D"/>
    <w:rsid w:val="00044C88"/>
    <w:rsid w:val="00045F34"/>
    <w:rsid w:val="00055586"/>
    <w:rsid w:val="00057285"/>
    <w:rsid w:val="00061724"/>
    <w:rsid w:val="00066C55"/>
    <w:rsid w:val="00074AE5"/>
    <w:rsid w:val="00076B7E"/>
    <w:rsid w:val="0008308C"/>
    <w:rsid w:val="00087DEC"/>
    <w:rsid w:val="00091955"/>
    <w:rsid w:val="000934E9"/>
    <w:rsid w:val="000942C7"/>
    <w:rsid w:val="00096BD6"/>
    <w:rsid w:val="000A25F3"/>
    <w:rsid w:val="000A2729"/>
    <w:rsid w:val="000A33B7"/>
    <w:rsid w:val="000B314F"/>
    <w:rsid w:val="000B339D"/>
    <w:rsid w:val="000B38E8"/>
    <w:rsid w:val="000B42CF"/>
    <w:rsid w:val="000B6B89"/>
    <w:rsid w:val="000C488A"/>
    <w:rsid w:val="000D25D2"/>
    <w:rsid w:val="000D3083"/>
    <w:rsid w:val="000D4ECF"/>
    <w:rsid w:val="000E004F"/>
    <w:rsid w:val="000E4D0E"/>
    <w:rsid w:val="000F221D"/>
    <w:rsid w:val="000F2D07"/>
    <w:rsid w:val="000F68CE"/>
    <w:rsid w:val="00102199"/>
    <w:rsid w:val="00106FC9"/>
    <w:rsid w:val="00112526"/>
    <w:rsid w:val="00114551"/>
    <w:rsid w:val="001153B7"/>
    <w:rsid w:val="001204BF"/>
    <w:rsid w:val="00122A1B"/>
    <w:rsid w:val="00124B88"/>
    <w:rsid w:val="00124E43"/>
    <w:rsid w:val="0012540C"/>
    <w:rsid w:val="00125B83"/>
    <w:rsid w:val="00126DC3"/>
    <w:rsid w:val="00130CF3"/>
    <w:rsid w:val="00134E9B"/>
    <w:rsid w:val="00140519"/>
    <w:rsid w:val="00144D9D"/>
    <w:rsid w:val="0014712C"/>
    <w:rsid w:val="00147844"/>
    <w:rsid w:val="001515FD"/>
    <w:rsid w:val="001518DA"/>
    <w:rsid w:val="001572C6"/>
    <w:rsid w:val="0016701D"/>
    <w:rsid w:val="001700E1"/>
    <w:rsid w:val="00170CD6"/>
    <w:rsid w:val="00171123"/>
    <w:rsid w:val="0017340D"/>
    <w:rsid w:val="00175CAE"/>
    <w:rsid w:val="00181C44"/>
    <w:rsid w:val="00181F52"/>
    <w:rsid w:val="001831D3"/>
    <w:rsid w:val="00183ACE"/>
    <w:rsid w:val="00186230"/>
    <w:rsid w:val="001958B2"/>
    <w:rsid w:val="001A1134"/>
    <w:rsid w:val="001A45EF"/>
    <w:rsid w:val="001B1153"/>
    <w:rsid w:val="001B3779"/>
    <w:rsid w:val="001C2CF3"/>
    <w:rsid w:val="001C5478"/>
    <w:rsid w:val="001D2670"/>
    <w:rsid w:val="001D2D5E"/>
    <w:rsid w:val="001D31C0"/>
    <w:rsid w:val="001D3CCB"/>
    <w:rsid w:val="001D4B7B"/>
    <w:rsid w:val="001D6AEF"/>
    <w:rsid w:val="001E0180"/>
    <w:rsid w:val="001E0BB4"/>
    <w:rsid w:val="001E257C"/>
    <w:rsid w:val="001E6090"/>
    <w:rsid w:val="001E6819"/>
    <w:rsid w:val="001F1B8C"/>
    <w:rsid w:val="00201FD2"/>
    <w:rsid w:val="002024A2"/>
    <w:rsid w:val="00210582"/>
    <w:rsid w:val="002122BC"/>
    <w:rsid w:val="002217BA"/>
    <w:rsid w:val="00222E99"/>
    <w:rsid w:val="00225338"/>
    <w:rsid w:val="00230ACE"/>
    <w:rsid w:val="00231A14"/>
    <w:rsid w:val="00231C8A"/>
    <w:rsid w:val="00233A17"/>
    <w:rsid w:val="0023627D"/>
    <w:rsid w:val="00241E38"/>
    <w:rsid w:val="0024383D"/>
    <w:rsid w:val="00244930"/>
    <w:rsid w:val="00245EC6"/>
    <w:rsid w:val="0025139F"/>
    <w:rsid w:val="002525E3"/>
    <w:rsid w:val="00255B40"/>
    <w:rsid w:val="002575AD"/>
    <w:rsid w:val="00257C25"/>
    <w:rsid w:val="00260703"/>
    <w:rsid w:val="002701AE"/>
    <w:rsid w:val="00274AF7"/>
    <w:rsid w:val="00277063"/>
    <w:rsid w:val="00277353"/>
    <w:rsid w:val="0027772D"/>
    <w:rsid w:val="00280DBA"/>
    <w:rsid w:val="00284138"/>
    <w:rsid w:val="00284408"/>
    <w:rsid w:val="002857F5"/>
    <w:rsid w:val="00286FEE"/>
    <w:rsid w:val="0028771E"/>
    <w:rsid w:val="00287859"/>
    <w:rsid w:val="00294E7F"/>
    <w:rsid w:val="00295638"/>
    <w:rsid w:val="002A0AD5"/>
    <w:rsid w:val="002A0F9D"/>
    <w:rsid w:val="002A2CF7"/>
    <w:rsid w:val="002A2CF9"/>
    <w:rsid w:val="002A3076"/>
    <w:rsid w:val="002A5451"/>
    <w:rsid w:val="002A6993"/>
    <w:rsid w:val="002A7448"/>
    <w:rsid w:val="002A7BE0"/>
    <w:rsid w:val="002B076C"/>
    <w:rsid w:val="002B0F70"/>
    <w:rsid w:val="002B793C"/>
    <w:rsid w:val="002C1180"/>
    <w:rsid w:val="002D0502"/>
    <w:rsid w:val="002D0588"/>
    <w:rsid w:val="002D4F23"/>
    <w:rsid w:val="002D73B8"/>
    <w:rsid w:val="002E1288"/>
    <w:rsid w:val="002E5BB7"/>
    <w:rsid w:val="002E5E60"/>
    <w:rsid w:val="002F28C1"/>
    <w:rsid w:val="002F4A0E"/>
    <w:rsid w:val="002F4C16"/>
    <w:rsid w:val="002F4F82"/>
    <w:rsid w:val="002F5007"/>
    <w:rsid w:val="002F6232"/>
    <w:rsid w:val="002F6CAB"/>
    <w:rsid w:val="00305C53"/>
    <w:rsid w:val="00306D1A"/>
    <w:rsid w:val="003071DB"/>
    <w:rsid w:val="003111AB"/>
    <w:rsid w:val="00311969"/>
    <w:rsid w:val="003119B8"/>
    <w:rsid w:val="00313435"/>
    <w:rsid w:val="0031415E"/>
    <w:rsid w:val="00315152"/>
    <w:rsid w:val="00315964"/>
    <w:rsid w:val="00316FAF"/>
    <w:rsid w:val="00327D8F"/>
    <w:rsid w:val="003306E3"/>
    <w:rsid w:val="00331B96"/>
    <w:rsid w:val="0033222F"/>
    <w:rsid w:val="003332AC"/>
    <w:rsid w:val="00334BF5"/>
    <w:rsid w:val="00344540"/>
    <w:rsid w:val="0034616F"/>
    <w:rsid w:val="00350B69"/>
    <w:rsid w:val="00353DB6"/>
    <w:rsid w:val="00354119"/>
    <w:rsid w:val="003560BD"/>
    <w:rsid w:val="00357DE3"/>
    <w:rsid w:val="003601BC"/>
    <w:rsid w:val="00360B1E"/>
    <w:rsid w:val="00364E19"/>
    <w:rsid w:val="003671ED"/>
    <w:rsid w:val="00372E48"/>
    <w:rsid w:val="00384B86"/>
    <w:rsid w:val="00386BE3"/>
    <w:rsid w:val="00391D97"/>
    <w:rsid w:val="003951B3"/>
    <w:rsid w:val="003A13AC"/>
    <w:rsid w:val="003A1B9D"/>
    <w:rsid w:val="003A2A32"/>
    <w:rsid w:val="003A4384"/>
    <w:rsid w:val="003A75EC"/>
    <w:rsid w:val="003B13AF"/>
    <w:rsid w:val="003B28BD"/>
    <w:rsid w:val="003B3766"/>
    <w:rsid w:val="003B49F6"/>
    <w:rsid w:val="003B6F79"/>
    <w:rsid w:val="003B74E1"/>
    <w:rsid w:val="003B7820"/>
    <w:rsid w:val="003B7D13"/>
    <w:rsid w:val="003C09C3"/>
    <w:rsid w:val="003C3858"/>
    <w:rsid w:val="003C547A"/>
    <w:rsid w:val="003D15E7"/>
    <w:rsid w:val="003E62A1"/>
    <w:rsid w:val="003E6B87"/>
    <w:rsid w:val="003F5404"/>
    <w:rsid w:val="003F6A9F"/>
    <w:rsid w:val="00415283"/>
    <w:rsid w:val="00417A27"/>
    <w:rsid w:val="0042287C"/>
    <w:rsid w:val="00431961"/>
    <w:rsid w:val="00434F6D"/>
    <w:rsid w:val="00436044"/>
    <w:rsid w:val="0043788E"/>
    <w:rsid w:val="00441799"/>
    <w:rsid w:val="004447E2"/>
    <w:rsid w:val="00445DE0"/>
    <w:rsid w:val="00455BA4"/>
    <w:rsid w:val="00456471"/>
    <w:rsid w:val="00457ED7"/>
    <w:rsid w:val="0046090A"/>
    <w:rsid w:val="004609EE"/>
    <w:rsid w:val="00467318"/>
    <w:rsid w:val="00467879"/>
    <w:rsid w:val="00470403"/>
    <w:rsid w:val="00470DC8"/>
    <w:rsid w:val="00473F3D"/>
    <w:rsid w:val="00474706"/>
    <w:rsid w:val="00476530"/>
    <w:rsid w:val="004821E4"/>
    <w:rsid w:val="004832B0"/>
    <w:rsid w:val="00483BF5"/>
    <w:rsid w:val="00485B0E"/>
    <w:rsid w:val="004945B3"/>
    <w:rsid w:val="00495829"/>
    <w:rsid w:val="00495D18"/>
    <w:rsid w:val="004A3F25"/>
    <w:rsid w:val="004A3FF2"/>
    <w:rsid w:val="004A68D6"/>
    <w:rsid w:val="004A7C25"/>
    <w:rsid w:val="004B35F1"/>
    <w:rsid w:val="004B3C9A"/>
    <w:rsid w:val="004B70FD"/>
    <w:rsid w:val="004C1F5A"/>
    <w:rsid w:val="004C279C"/>
    <w:rsid w:val="004C27D4"/>
    <w:rsid w:val="004C2941"/>
    <w:rsid w:val="004C30EB"/>
    <w:rsid w:val="004C4176"/>
    <w:rsid w:val="004C4666"/>
    <w:rsid w:val="004C66EB"/>
    <w:rsid w:val="004C7128"/>
    <w:rsid w:val="004D0046"/>
    <w:rsid w:val="004D2B68"/>
    <w:rsid w:val="004D3509"/>
    <w:rsid w:val="004E285A"/>
    <w:rsid w:val="004E5081"/>
    <w:rsid w:val="004E5B74"/>
    <w:rsid w:val="004E7E43"/>
    <w:rsid w:val="004F674F"/>
    <w:rsid w:val="0050192F"/>
    <w:rsid w:val="005067AC"/>
    <w:rsid w:val="005113E7"/>
    <w:rsid w:val="00515DAC"/>
    <w:rsid w:val="00516FA0"/>
    <w:rsid w:val="005171A5"/>
    <w:rsid w:val="005216AB"/>
    <w:rsid w:val="005218D3"/>
    <w:rsid w:val="00530B95"/>
    <w:rsid w:val="005310EE"/>
    <w:rsid w:val="00531A75"/>
    <w:rsid w:val="00534270"/>
    <w:rsid w:val="005362D5"/>
    <w:rsid w:val="00537399"/>
    <w:rsid w:val="00541263"/>
    <w:rsid w:val="00541FD1"/>
    <w:rsid w:val="00542899"/>
    <w:rsid w:val="0054376C"/>
    <w:rsid w:val="005449CE"/>
    <w:rsid w:val="00546302"/>
    <w:rsid w:val="005463F5"/>
    <w:rsid w:val="00550FDE"/>
    <w:rsid w:val="00551EFD"/>
    <w:rsid w:val="00552116"/>
    <w:rsid w:val="00552280"/>
    <w:rsid w:val="0056053B"/>
    <w:rsid w:val="00560CDC"/>
    <w:rsid w:val="0056233C"/>
    <w:rsid w:val="005741F5"/>
    <w:rsid w:val="00574A69"/>
    <w:rsid w:val="005772F9"/>
    <w:rsid w:val="00584F82"/>
    <w:rsid w:val="00592A0E"/>
    <w:rsid w:val="00594D58"/>
    <w:rsid w:val="00597E27"/>
    <w:rsid w:val="005A2518"/>
    <w:rsid w:val="005A3A96"/>
    <w:rsid w:val="005A3DF2"/>
    <w:rsid w:val="005B3FC2"/>
    <w:rsid w:val="005B5ABF"/>
    <w:rsid w:val="005B7293"/>
    <w:rsid w:val="005B7EDE"/>
    <w:rsid w:val="005C1F22"/>
    <w:rsid w:val="005C72FD"/>
    <w:rsid w:val="005D00E8"/>
    <w:rsid w:val="005D1B44"/>
    <w:rsid w:val="005D5446"/>
    <w:rsid w:val="005E60BA"/>
    <w:rsid w:val="005F48AA"/>
    <w:rsid w:val="005F5F4F"/>
    <w:rsid w:val="006010B7"/>
    <w:rsid w:val="006048E8"/>
    <w:rsid w:val="00604A81"/>
    <w:rsid w:val="00605628"/>
    <w:rsid w:val="0061290A"/>
    <w:rsid w:val="00621149"/>
    <w:rsid w:val="006227F9"/>
    <w:rsid w:val="00625CD1"/>
    <w:rsid w:val="00625EC1"/>
    <w:rsid w:val="00626DBE"/>
    <w:rsid w:val="00630F6C"/>
    <w:rsid w:val="0063293A"/>
    <w:rsid w:val="006333AE"/>
    <w:rsid w:val="0063493C"/>
    <w:rsid w:val="00635848"/>
    <w:rsid w:val="006400D3"/>
    <w:rsid w:val="00641B31"/>
    <w:rsid w:val="00644DE6"/>
    <w:rsid w:val="00646291"/>
    <w:rsid w:val="0064734A"/>
    <w:rsid w:val="006477FA"/>
    <w:rsid w:val="0064796E"/>
    <w:rsid w:val="00651295"/>
    <w:rsid w:val="00652DD0"/>
    <w:rsid w:val="00654CE7"/>
    <w:rsid w:val="006568F4"/>
    <w:rsid w:val="00664FAB"/>
    <w:rsid w:val="00665117"/>
    <w:rsid w:val="006664EC"/>
    <w:rsid w:val="00666F26"/>
    <w:rsid w:val="006702F5"/>
    <w:rsid w:val="00670A53"/>
    <w:rsid w:val="00673140"/>
    <w:rsid w:val="0067520A"/>
    <w:rsid w:val="00677FCA"/>
    <w:rsid w:val="006809A9"/>
    <w:rsid w:val="00681EB9"/>
    <w:rsid w:val="00683FF5"/>
    <w:rsid w:val="00687098"/>
    <w:rsid w:val="0069164F"/>
    <w:rsid w:val="00692B6F"/>
    <w:rsid w:val="00696474"/>
    <w:rsid w:val="006A7E83"/>
    <w:rsid w:val="006A7FD3"/>
    <w:rsid w:val="006B0669"/>
    <w:rsid w:val="006B071F"/>
    <w:rsid w:val="006C1F80"/>
    <w:rsid w:val="006C57D2"/>
    <w:rsid w:val="006D1544"/>
    <w:rsid w:val="006D76CB"/>
    <w:rsid w:val="006E2088"/>
    <w:rsid w:val="006E4CBC"/>
    <w:rsid w:val="006E7344"/>
    <w:rsid w:val="006F062E"/>
    <w:rsid w:val="006F32AC"/>
    <w:rsid w:val="007000D9"/>
    <w:rsid w:val="00702BA4"/>
    <w:rsid w:val="00704D58"/>
    <w:rsid w:val="00707700"/>
    <w:rsid w:val="00713ECA"/>
    <w:rsid w:val="00716355"/>
    <w:rsid w:val="0072230F"/>
    <w:rsid w:val="007310AC"/>
    <w:rsid w:val="0073229D"/>
    <w:rsid w:val="00732BD8"/>
    <w:rsid w:val="00734C75"/>
    <w:rsid w:val="00742132"/>
    <w:rsid w:val="0074482D"/>
    <w:rsid w:val="007449E0"/>
    <w:rsid w:val="00744EA9"/>
    <w:rsid w:val="00752E91"/>
    <w:rsid w:val="00755FDE"/>
    <w:rsid w:val="00760A9C"/>
    <w:rsid w:val="00760D60"/>
    <w:rsid w:val="00762BE2"/>
    <w:rsid w:val="0076495F"/>
    <w:rsid w:val="00764FEC"/>
    <w:rsid w:val="00766570"/>
    <w:rsid w:val="00772F0E"/>
    <w:rsid w:val="00773B98"/>
    <w:rsid w:val="007740A7"/>
    <w:rsid w:val="007741C9"/>
    <w:rsid w:val="00774498"/>
    <w:rsid w:val="00777201"/>
    <w:rsid w:val="0078282C"/>
    <w:rsid w:val="007831F9"/>
    <w:rsid w:val="0078701C"/>
    <w:rsid w:val="00787A14"/>
    <w:rsid w:val="00792F5A"/>
    <w:rsid w:val="00794450"/>
    <w:rsid w:val="00794F1B"/>
    <w:rsid w:val="0079753D"/>
    <w:rsid w:val="007A0E21"/>
    <w:rsid w:val="007A4EEE"/>
    <w:rsid w:val="007A521F"/>
    <w:rsid w:val="007A7D48"/>
    <w:rsid w:val="007B5AB3"/>
    <w:rsid w:val="007C0123"/>
    <w:rsid w:val="007D1590"/>
    <w:rsid w:val="007D2EE3"/>
    <w:rsid w:val="007D35A3"/>
    <w:rsid w:val="007D62BA"/>
    <w:rsid w:val="007D7678"/>
    <w:rsid w:val="007D7BD3"/>
    <w:rsid w:val="007E0240"/>
    <w:rsid w:val="007E0F8F"/>
    <w:rsid w:val="007E1C43"/>
    <w:rsid w:val="007E285B"/>
    <w:rsid w:val="007E2F9A"/>
    <w:rsid w:val="007E7F32"/>
    <w:rsid w:val="007F130B"/>
    <w:rsid w:val="007F1B76"/>
    <w:rsid w:val="007F3F2F"/>
    <w:rsid w:val="007F668A"/>
    <w:rsid w:val="008022B2"/>
    <w:rsid w:val="0080589D"/>
    <w:rsid w:val="00811A39"/>
    <w:rsid w:val="00813BF5"/>
    <w:rsid w:val="008140D4"/>
    <w:rsid w:val="00814F70"/>
    <w:rsid w:val="00815383"/>
    <w:rsid w:val="00816263"/>
    <w:rsid w:val="00817F65"/>
    <w:rsid w:val="00823282"/>
    <w:rsid w:val="00823634"/>
    <w:rsid w:val="00825F4C"/>
    <w:rsid w:val="008267A8"/>
    <w:rsid w:val="00827D42"/>
    <w:rsid w:val="008322B7"/>
    <w:rsid w:val="0083518F"/>
    <w:rsid w:val="00836200"/>
    <w:rsid w:val="00836420"/>
    <w:rsid w:val="00836669"/>
    <w:rsid w:val="008416F0"/>
    <w:rsid w:val="00843941"/>
    <w:rsid w:val="008515A4"/>
    <w:rsid w:val="008524BE"/>
    <w:rsid w:val="00852E17"/>
    <w:rsid w:val="00854BBE"/>
    <w:rsid w:val="00857B8B"/>
    <w:rsid w:val="00861189"/>
    <w:rsid w:val="008620FF"/>
    <w:rsid w:val="00880DE4"/>
    <w:rsid w:val="008852C4"/>
    <w:rsid w:val="008865E4"/>
    <w:rsid w:val="008920D4"/>
    <w:rsid w:val="00894925"/>
    <w:rsid w:val="00896C2E"/>
    <w:rsid w:val="008977E0"/>
    <w:rsid w:val="008A08F4"/>
    <w:rsid w:val="008A0A07"/>
    <w:rsid w:val="008A131B"/>
    <w:rsid w:val="008A1CE9"/>
    <w:rsid w:val="008A268E"/>
    <w:rsid w:val="008B5C85"/>
    <w:rsid w:val="008B7B58"/>
    <w:rsid w:val="008C114C"/>
    <w:rsid w:val="008C163F"/>
    <w:rsid w:val="008C1EFB"/>
    <w:rsid w:val="008C31E7"/>
    <w:rsid w:val="008D115E"/>
    <w:rsid w:val="008D2B6B"/>
    <w:rsid w:val="008D38B7"/>
    <w:rsid w:val="008E2AE6"/>
    <w:rsid w:val="008E64B0"/>
    <w:rsid w:val="008E670D"/>
    <w:rsid w:val="008E6E08"/>
    <w:rsid w:val="008E7784"/>
    <w:rsid w:val="008F05D4"/>
    <w:rsid w:val="008F1A4C"/>
    <w:rsid w:val="008F1B6D"/>
    <w:rsid w:val="008F2BDB"/>
    <w:rsid w:val="008F4684"/>
    <w:rsid w:val="008F53ED"/>
    <w:rsid w:val="00906034"/>
    <w:rsid w:val="009074EB"/>
    <w:rsid w:val="00912875"/>
    <w:rsid w:val="009138BF"/>
    <w:rsid w:val="00915ABC"/>
    <w:rsid w:val="00915B48"/>
    <w:rsid w:val="00922E03"/>
    <w:rsid w:val="009235EF"/>
    <w:rsid w:val="00930B85"/>
    <w:rsid w:val="00935B6C"/>
    <w:rsid w:val="00936157"/>
    <w:rsid w:val="00940BC9"/>
    <w:rsid w:val="00941722"/>
    <w:rsid w:val="00941F3D"/>
    <w:rsid w:val="00945E39"/>
    <w:rsid w:val="00945FE5"/>
    <w:rsid w:val="00946635"/>
    <w:rsid w:val="0095092F"/>
    <w:rsid w:val="00954322"/>
    <w:rsid w:val="00964296"/>
    <w:rsid w:val="00967717"/>
    <w:rsid w:val="00970D94"/>
    <w:rsid w:val="00972F65"/>
    <w:rsid w:val="00974A38"/>
    <w:rsid w:val="0097556C"/>
    <w:rsid w:val="009906A9"/>
    <w:rsid w:val="009934E2"/>
    <w:rsid w:val="00996DA1"/>
    <w:rsid w:val="009A36EE"/>
    <w:rsid w:val="009A37CA"/>
    <w:rsid w:val="009A49F7"/>
    <w:rsid w:val="009A4F6B"/>
    <w:rsid w:val="009A6863"/>
    <w:rsid w:val="009B09A7"/>
    <w:rsid w:val="009B34DE"/>
    <w:rsid w:val="009B423A"/>
    <w:rsid w:val="009B53BC"/>
    <w:rsid w:val="009B59AC"/>
    <w:rsid w:val="009B784E"/>
    <w:rsid w:val="009B7ECC"/>
    <w:rsid w:val="009C4E47"/>
    <w:rsid w:val="009C7A0C"/>
    <w:rsid w:val="009C7FB7"/>
    <w:rsid w:val="009D3138"/>
    <w:rsid w:val="009D48E3"/>
    <w:rsid w:val="009D4AB0"/>
    <w:rsid w:val="009D4CB5"/>
    <w:rsid w:val="009D4F01"/>
    <w:rsid w:val="009E2504"/>
    <w:rsid w:val="009E2515"/>
    <w:rsid w:val="009F02AA"/>
    <w:rsid w:val="009F0A64"/>
    <w:rsid w:val="009F44A7"/>
    <w:rsid w:val="009F6A3F"/>
    <w:rsid w:val="00A003F8"/>
    <w:rsid w:val="00A02DFF"/>
    <w:rsid w:val="00A03BCE"/>
    <w:rsid w:val="00A05163"/>
    <w:rsid w:val="00A0685E"/>
    <w:rsid w:val="00A06DF2"/>
    <w:rsid w:val="00A10FB4"/>
    <w:rsid w:val="00A1101D"/>
    <w:rsid w:val="00A1306A"/>
    <w:rsid w:val="00A1341F"/>
    <w:rsid w:val="00A14CE0"/>
    <w:rsid w:val="00A17E7F"/>
    <w:rsid w:val="00A26ED4"/>
    <w:rsid w:val="00A3300E"/>
    <w:rsid w:val="00A37B49"/>
    <w:rsid w:val="00A40565"/>
    <w:rsid w:val="00A41281"/>
    <w:rsid w:val="00A41672"/>
    <w:rsid w:val="00A43860"/>
    <w:rsid w:val="00A441A8"/>
    <w:rsid w:val="00A4701A"/>
    <w:rsid w:val="00A47E7A"/>
    <w:rsid w:val="00A555E5"/>
    <w:rsid w:val="00A579E1"/>
    <w:rsid w:val="00A6265F"/>
    <w:rsid w:val="00A628EA"/>
    <w:rsid w:val="00A645D2"/>
    <w:rsid w:val="00A64B62"/>
    <w:rsid w:val="00A67490"/>
    <w:rsid w:val="00A704EF"/>
    <w:rsid w:val="00A719E1"/>
    <w:rsid w:val="00A830D3"/>
    <w:rsid w:val="00A9226C"/>
    <w:rsid w:val="00A97DCC"/>
    <w:rsid w:val="00AA37DD"/>
    <w:rsid w:val="00AB39DE"/>
    <w:rsid w:val="00AB78C0"/>
    <w:rsid w:val="00AC0F75"/>
    <w:rsid w:val="00AC1315"/>
    <w:rsid w:val="00AC1C92"/>
    <w:rsid w:val="00AC3371"/>
    <w:rsid w:val="00AC5537"/>
    <w:rsid w:val="00AC649E"/>
    <w:rsid w:val="00AE59C0"/>
    <w:rsid w:val="00AF2C9D"/>
    <w:rsid w:val="00AF5F90"/>
    <w:rsid w:val="00AF6EDF"/>
    <w:rsid w:val="00AF7BDB"/>
    <w:rsid w:val="00B0060E"/>
    <w:rsid w:val="00B02FD6"/>
    <w:rsid w:val="00B075A2"/>
    <w:rsid w:val="00B07CCC"/>
    <w:rsid w:val="00B20862"/>
    <w:rsid w:val="00B2294E"/>
    <w:rsid w:val="00B23813"/>
    <w:rsid w:val="00B25990"/>
    <w:rsid w:val="00B27562"/>
    <w:rsid w:val="00B27CDB"/>
    <w:rsid w:val="00B302E9"/>
    <w:rsid w:val="00B30799"/>
    <w:rsid w:val="00B31B89"/>
    <w:rsid w:val="00B32F09"/>
    <w:rsid w:val="00B34CE5"/>
    <w:rsid w:val="00B40045"/>
    <w:rsid w:val="00B42045"/>
    <w:rsid w:val="00B42D6D"/>
    <w:rsid w:val="00B439F2"/>
    <w:rsid w:val="00B456EC"/>
    <w:rsid w:val="00B53FDE"/>
    <w:rsid w:val="00B541BD"/>
    <w:rsid w:val="00B54386"/>
    <w:rsid w:val="00B55E34"/>
    <w:rsid w:val="00B60031"/>
    <w:rsid w:val="00B62BDD"/>
    <w:rsid w:val="00B640FA"/>
    <w:rsid w:val="00B664C1"/>
    <w:rsid w:val="00B74C65"/>
    <w:rsid w:val="00B805F2"/>
    <w:rsid w:val="00B87DBD"/>
    <w:rsid w:val="00B91E38"/>
    <w:rsid w:val="00B94BCC"/>
    <w:rsid w:val="00BA3258"/>
    <w:rsid w:val="00BA43C6"/>
    <w:rsid w:val="00BA5219"/>
    <w:rsid w:val="00BA5BD4"/>
    <w:rsid w:val="00BA63E2"/>
    <w:rsid w:val="00BA7045"/>
    <w:rsid w:val="00BB40A6"/>
    <w:rsid w:val="00BC76AC"/>
    <w:rsid w:val="00BD66FE"/>
    <w:rsid w:val="00BE1042"/>
    <w:rsid w:val="00BE3E9D"/>
    <w:rsid w:val="00BE515F"/>
    <w:rsid w:val="00BE75F3"/>
    <w:rsid w:val="00BF1448"/>
    <w:rsid w:val="00BF3D8D"/>
    <w:rsid w:val="00C018D1"/>
    <w:rsid w:val="00C01B3B"/>
    <w:rsid w:val="00C02B95"/>
    <w:rsid w:val="00C07114"/>
    <w:rsid w:val="00C113C7"/>
    <w:rsid w:val="00C12C91"/>
    <w:rsid w:val="00C15962"/>
    <w:rsid w:val="00C15B03"/>
    <w:rsid w:val="00C165F1"/>
    <w:rsid w:val="00C20D8A"/>
    <w:rsid w:val="00C22BDC"/>
    <w:rsid w:val="00C22F29"/>
    <w:rsid w:val="00C242C5"/>
    <w:rsid w:val="00C25E5F"/>
    <w:rsid w:val="00C32D69"/>
    <w:rsid w:val="00C356B9"/>
    <w:rsid w:val="00C36ABC"/>
    <w:rsid w:val="00C36BF4"/>
    <w:rsid w:val="00C52FB7"/>
    <w:rsid w:val="00C53B0A"/>
    <w:rsid w:val="00C61EF8"/>
    <w:rsid w:val="00C6550A"/>
    <w:rsid w:val="00C66D4E"/>
    <w:rsid w:val="00C80445"/>
    <w:rsid w:val="00C812B0"/>
    <w:rsid w:val="00C82530"/>
    <w:rsid w:val="00C85E7C"/>
    <w:rsid w:val="00C901E8"/>
    <w:rsid w:val="00C92FF8"/>
    <w:rsid w:val="00C94C60"/>
    <w:rsid w:val="00CA044E"/>
    <w:rsid w:val="00CA220B"/>
    <w:rsid w:val="00CB51BD"/>
    <w:rsid w:val="00CB61AA"/>
    <w:rsid w:val="00CB771C"/>
    <w:rsid w:val="00CC0B73"/>
    <w:rsid w:val="00CC3BCD"/>
    <w:rsid w:val="00CC4438"/>
    <w:rsid w:val="00CC592C"/>
    <w:rsid w:val="00CC5A1E"/>
    <w:rsid w:val="00CC5B3C"/>
    <w:rsid w:val="00CC7BDD"/>
    <w:rsid w:val="00CC7FF0"/>
    <w:rsid w:val="00CD3428"/>
    <w:rsid w:val="00CD5F5A"/>
    <w:rsid w:val="00CE0E9F"/>
    <w:rsid w:val="00CE3B0D"/>
    <w:rsid w:val="00CE44CD"/>
    <w:rsid w:val="00CE4869"/>
    <w:rsid w:val="00CE749E"/>
    <w:rsid w:val="00CF463D"/>
    <w:rsid w:val="00CF5F54"/>
    <w:rsid w:val="00CF7AC7"/>
    <w:rsid w:val="00D01D61"/>
    <w:rsid w:val="00D06FA8"/>
    <w:rsid w:val="00D10338"/>
    <w:rsid w:val="00D111EF"/>
    <w:rsid w:val="00D13B14"/>
    <w:rsid w:val="00D175D1"/>
    <w:rsid w:val="00D24974"/>
    <w:rsid w:val="00D24A85"/>
    <w:rsid w:val="00D3034D"/>
    <w:rsid w:val="00D33DE1"/>
    <w:rsid w:val="00D3558C"/>
    <w:rsid w:val="00D35DBD"/>
    <w:rsid w:val="00D363C3"/>
    <w:rsid w:val="00D42046"/>
    <w:rsid w:val="00D4484F"/>
    <w:rsid w:val="00D45DC6"/>
    <w:rsid w:val="00D461DB"/>
    <w:rsid w:val="00D505F9"/>
    <w:rsid w:val="00D53072"/>
    <w:rsid w:val="00D567A1"/>
    <w:rsid w:val="00D63F08"/>
    <w:rsid w:val="00D6479B"/>
    <w:rsid w:val="00D658DC"/>
    <w:rsid w:val="00D66002"/>
    <w:rsid w:val="00D70259"/>
    <w:rsid w:val="00D71621"/>
    <w:rsid w:val="00D73F8E"/>
    <w:rsid w:val="00D80498"/>
    <w:rsid w:val="00D82CE4"/>
    <w:rsid w:val="00D84873"/>
    <w:rsid w:val="00D84E81"/>
    <w:rsid w:val="00D85040"/>
    <w:rsid w:val="00D853C1"/>
    <w:rsid w:val="00D86B38"/>
    <w:rsid w:val="00D86D13"/>
    <w:rsid w:val="00D92F67"/>
    <w:rsid w:val="00DA3F6B"/>
    <w:rsid w:val="00DA5544"/>
    <w:rsid w:val="00DB1958"/>
    <w:rsid w:val="00DB21D7"/>
    <w:rsid w:val="00DB3DB3"/>
    <w:rsid w:val="00DB4FC3"/>
    <w:rsid w:val="00DB753C"/>
    <w:rsid w:val="00DC6D2B"/>
    <w:rsid w:val="00DC7A34"/>
    <w:rsid w:val="00DC7D70"/>
    <w:rsid w:val="00DD03D9"/>
    <w:rsid w:val="00DD1BD4"/>
    <w:rsid w:val="00DD246B"/>
    <w:rsid w:val="00DD2C40"/>
    <w:rsid w:val="00DD599C"/>
    <w:rsid w:val="00DF0144"/>
    <w:rsid w:val="00DF0FD7"/>
    <w:rsid w:val="00DF44EC"/>
    <w:rsid w:val="00DF4916"/>
    <w:rsid w:val="00E01FBE"/>
    <w:rsid w:val="00E033E1"/>
    <w:rsid w:val="00E10763"/>
    <w:rsid w:val="00E15558"/>
    <w:rsid w:val="00E15940"/>
    <w:rsid w:val="00E2376E"/>
    <w:rsid w:val="00E30572"/>
    <w:rsid w:val="00E30A96"/>
    <w:rsid w:val="00E313C9"/>
    <w:rsid w:val="00E31833"/>
    <w:rsid w:val="00E33A2E"/>
    <w:rsid w:val="00E355EB"/>
    <w:rsid w:val="00E416A4"/>
    <w:rsid w:val="00E43584"/>
    <w:rsid w:val="00E43886"/>
    <w:rsid w:val="00E46CD0"/>
    <w:rsid w:val="00E47596"/>
    <w:rsid w:val="00E513CF"/>
    <w:rsid w:val="00E51A76"/>
    <w:rsid w:val="00E5337F"/>
    <w:rsid w:val="00E54A40"/>
    <w:rsid w:val="00E562A2"/>
    <w:rsid w:val="00E56A0D"/>
    <w:rsid w:val="00E732B0"/>
    <w:rsid w:val="00E73CF3"/>
    <w:rsid w:val="00E838E8"/>
    <w:rsid w:val="00E867D8"/>
    <w:rsid w:val="00E90409"/>
    <w:rsid w:val="00E917F4"/>
    <w:rsid w:val="00E92F0A"/>
    <w:rsid w:val="00E9645D"/>
    <w:rsid w:val="00EA17E2"/>
    <w:rsid w:val="00EA1F57"/>
    <w:rsid w:val="00EA3094"/>
    <w:rsid w:val="00EA38C3"/>
    <w:rsid w:val="00EA4415"/>
    <w:rsid w:val="00EA5B55"/>
    <w:rsid w:val="00EA6409"/>
    <w:rsid w:val="00EA679A"/>
    <w:rsid w:val="00EB05E5"/>
    <w:rsid w:val="00EB1661"/>
    <w:rsid w:val="00EB3140"/>
    <w:rsid w:val="00EB374A"/>
    <w:rsid w:val="00EB4BBA"/>
    <w:rsid w:val="00EC37CC"/>
    <w:rsid w:val="00EC4A49"/>
    <w:rsid w:val="00EC6F9F"/>
    <w:rsid w:val="00ED00B0"/>
    <w:rsid w:val="00ED23F1"/>
    <w:rsid w:val="00ED2966"/>
    <w:rsid w:val="00ED45D0"/>
    <w:rsid w:val="00ED5B7A"/>
    <w:rsid w:val="00ED67E8"/>
    <w:rsid w:val="00ED6A3E"/>
    <w:rsid w:val="00EE0B33"/>
    <w:rsid w:val="00EE2E24"/>
    <w:rsid w:val="00EE6315"/>
    <w:rsid w:val="00EF27DB"/>
    <w:rsid w:val="00EF29EB"/>
    <w:rsid w:val="00EF67E2"/>
    <w:rsid w:val="00EF7E19"/>
    <w:rsid w:val="00F00ABD"/>
    <w:rsid w:val="00F01A9A"/>
    <w:rsid w:val="00F04C54"/>
    <w:rsid w:val="00F07E38"/>
    <w:rsid w:val="00F1013A"/>
    <w:rsid w:val="00F10FE0"/>
    <w:rsid w:val="00F11CA5"/>
    <w:rsid w:val="00F13755"/>
    <w:rsid w:val="00F1663A"/>
    <w:rsid w:val="00F17C4F"/>
    <w:rsid w:val="00F20087"/>
    <w:rsid w:val="00F22A13"/>
    <w:rsid w:val="00F2606A"/>
    <w:rsid w:val="00F27234"/>
    <w:rsid w:val="00F27FF5"/>
    <w:rsid w:val="00F30B10"/>
    <w:rsid w:val="00F33C3C"/>
    <w:rsid w:val="00F41CD4"/>
    <w:rsid w:val="00F427BC"/>
    <w:rsid w:val="00F43145"/>
    <w:rsid w:val="00F443D5"/>
    <w:rsid w:val="00F46078"/>
    <w:rsid w:val="00F50314"/>
    <w:rsid w:val="00F54078"/>
    <w:rsid w:val="00F55511"/>
    <w:rsid w:val="00F616CD"/>
    <w:rsid w:val="00F61777"/>
    <w:rsid w:val="00F62601"/>
    <w:rsid w:val="00F646BB"/>
    <w:rsid w:val="00F64D89"/>
    <w:rsid w:val="00F65879"/>
    <w:rsid w:val="00F70D5E"/>
    <w:rsid w:val="00F71F76"/>
    <w:rsid w:val="00F72527"/>
    <w:rsid w:val="00F733A3"/>
    <w:rsid w:val="00F800FC"/>
    <w:rsid w:val="00F92BC1"/>
    <w:rsid w:val="00F9302F"/>
    <w:rsid w:val="00F93379"/>
    <w:rsid w:val="00FA2F36"/>
    <w:rsid w:val="00FA574D"/>
    <w:rsid w:val="00FB1482"/>
    <w:rsid w:val="00FB417D"/>
    <w:rsid w:val="00FB5DEF"/>
    <w:rsid w:val="00FC028B"/>
    <w:rsid w:val="00FC7CF0"/>
    <w:rsid w:val="00FD1B36"/>
    <w:rsid w:val="00FD1CB7"/>
    <w:rsid w:val="00FD26D6"/>
    <w:rsid w:val="00FD4121"/>
    <w:rsid w:val="00FD66E7"/>
    <w:rsid w:val="00FE17A4"/>
    <w:rsid w:val="00FE262D"/>
    <w:rsid w:val="00FF0779"/>
    <w:rsid w:val="00FF3DAF"/>
    <w:rsid w:val="00FF784A"/>
    <w:rsid w:val="232C5E24"/>
    <w:rsid w:val="4E1213AC"/>
    <w:rsid w:val="51662929"/>
    <w:rsid w:val="64E447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7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F674F"/>
    <w:rPr>
      <w:rFonts w:ascii="宋体" w:eastAsia="宋体"/>
      <w:sz w:val="18"/>
      <w:szCs w:val="18"/>
    </w:rPr>
  </w:style>
  <w:style w:type="paragraph" w:styleId="a4">
    <w:name w:val="annotation text"/>
    <w:basedOn w:val="a"/>
    <w:link w:val="Char0"/>
    <w:unhideWhenUsed/>
    <w:qFormat/>
    <w:rsid w:val="004F674F"/>
    <w:pPr>
      <w:jc w:val="left"/>
    </w:pPr>
  </w:style>
  <w:style w:type="paragraph" w:styleId="a5">
    <w:name w:val="Balloon Text"/>
    <w:basedOn w:val="a"/>
    <w:link w:val="Char1"/>
    <w:uiPriority w:val="99"/>
    <w:semiHidden/>
    <w:unhideWhenUsed/>
    <w:qFormat/>
    <w:rsid w:val="004F674F"/>
    <w:rPr>
      <w:sz w:val="18"/>
      <w:szCs w:val="18"/>
    </w:rPr>
  </w:style>
  <w:style w:type="paragraph" w:styleId="a6">
    <w:name w:val="footer"/>
    <w:basedOn w:val="a"/>
    <w:link w:val="Char2"/>
    <w:uiPriority w:val="99"/>
    <w:unhideWhenUsed/>
    <w:qFormat/>
    <w:rsid w:val="004F674F"/>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F674F"/>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4F674F"/>
    <w:pPr>
      <w:spacing w:line="400" w:lineRule="atLeast"/>
      <w:ind w:firstLineChars="100" w:firstLine="600"/>
    </w:pPr>
    <w:rPr>
      <w:rFonts w:ascii="宋体" w:eastAsia="仿宋_GB2312" w:hAnsi="Times New Roman" w:cs="Times New Roman" w:hint="eastAsia"/>
      <w:sz w:val="28"/>
      <w:szCs w:val="20"/>
    </w:rPr>
  </w:style>
  <w:style w:type="paragraph" w:styleId="2">
    <w:name w:val="Body Text 2"/>
    <w:basedOn w:val="a"/>
    <w:link w:val="2Char"/>
    <w:uiPriority w:val="99"/>
    <w:unhideWhenUsed/>
    <w:qFormat/>
    <w:rsid w:val="004F674F"/>
    <w:pPr>
      <w:spacing w:after="120" w:line="480" w:lineRule="auto"/>
    </w:pPr>
  </w:style>
  <w:style w:type="paragraph" w:styleId="a8">
    <w:name w:val="Normal (Web)"/>
    <w:basedOn w:val="a"/>
    <w:uiPriority w:val="99"/>
    <w:semiHidden/>
    <w:unhideWhenUsed/>
    <w:qFormat/>
    <w:rsid w:val="004F674F"/>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4"/>
    <w:uiPriority w:val="99"/>
    <w:semiHidden/>
    <w:unhideWhenUsed/>
    <w:qFormat/>
    <w:rsid w:val="004F674F"/>
    <w:rPr>
      <w:b/>
      <w:bCs/>
    </w:rPr>
  </w:style>
  <w:style w:type="table" w:styleId="aa">
    <w:name w:val="Table Grid"/>
    <w:basedOn w:val="a1"/>
    <w:uiPriority w:val="59"/>
    <w:qFormat/>
    <w:rsid w:val="004F67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uiPriority w:val="22"/>
    <w:qFormat/>
    <w:rsid w:val="004F674F"/>
    <w:rPr>
      <w:b/>
      <w:bCs/>
    </w:rPr>
  </w:style>
  <w:style w:type="character" w:styleId="ac">
    <w:name w:val="annotation reference"/>
    <w:basedOn w:val="a0"/>
    <w:unhideWhenUsed/>
    <w:qFormat/>
    <w:rsid w:val="004F674F"/>
    <w:rPr>
      <w:sz w:val="21"/>
      <w:szCs w:val="21"/>
    </w:rPr>
  </w:style>
  <w:style w:type="paragraph" w:customStyle="1" w:styleId="tl1">
    <w:name w:val="tl1"/>
    <w:basedOn w:val="a"/>
    <w:qFormat/>
    <w:rsid w:val="004F674F"/>
    <w:pPr>
      <w:widowControl/>
      <w:jc w:val="center"/>
    </w:pPr>
    <w:rPr>
      <w:rFonts w:ascii="黑体" w:eastAsia="黑体" w:hAnsi="黑体" w:cs="Arial"/>
      <w:color w:val="003F8E"/>
      <w:kern w:val="0"/>
      <w:sz w:val="15"/>
      <w:szCs w:val="15"/>
    </w:rPr>
  </w:style>
  <w:style w:type="paragraph" w:styleId="ad">
    <w:name w:val="List Paragraph"/>
    <w:basedOn w:val="a"/>
    <w:uiPriority w:val="34"/>
    <w:qFormat/>
    <w:rsid w:val="004F674F"/>
    <w:pPr>
      <w:ind w:firstLineChars="200" w:firstLine="420"/>
    </w:pPr>
  </w:style>
  <w:style w:type="character" w:customStyle="1" w:styleId="3Char">
    <w:name w:val="正文文本缩进 3 Char"/>
    <w:basedOn w:val="a0"/>
    <w:link w:val="3"/>
    <w:qFormat/>
    <w:rsid w:val="004F674F"/>
    <w:rPr>
      <w:rFonts w:ascii="宋体" w:eastAsia="仿宋_GB2312" w:hAnsi="Times New Roman" w:cs="Times New Roman"/>
      <w:sz w:val="28"/>
      <w:szCs w:val="20"/>
    </w:rPr>
  </w:style>
  <w:style w:type="character" w:customStyle="1" w:styleId="Char">
    <w:name w:val="文档结构图 Char"/>
    <w:basedOn w:val="a0"/>
    <w:link w:val="a3"/>
    <w:uiPriority w:val="99"/>
    <w:semiHidden/>
    <w:qFormat/>
    <w:rsid w:val="004F674F"/>
    <w:rPr>
      <w:rFonts w:ascii="宋体" w:eastAsia="宋体"/>
      <w:sz w:val="18"/>
      <w:szCs w:val="18"/>
    </w:rPr>
  </w:style>
  <w:style w:type="character" w:customStyle="1" w:styleId="Char3">
    <w:name w:val="页眉 Char"/>
    <w:basedOn w:val="a0"/>
    <w:link w:val="a7"/>
    <w:uiPriority w:val="99"/>
    <w:qFormat/>
    <w:rsid w:val="004F674F"/>
    <w:rPr>
      <w:sz w:val="18"/>
      <w:szCs w:val="18"/>
    </w:rPr>
  </w:style>
  <w:style w:type="character" w:customStyle="1" w:styleId="Char2">
    <w:name w:val="页脚 Char"/>
    <w:basedOn w:val="a0"/>
    <w:link w:val="a6"/>
    <w:uiPriority w:val="99"/>
    <w:qFormat/>
    <w:rsid w:val="004F674F"/>
    <w:rPr>
      <w:sz w:val="18"/>
      <w:szCs w:val="18"/>
    </w:rPr>
  </w:style>
  <w:style w:type="character" w:customStyle="1" w:styleId="Char0">
    <w:name w:val="批注文字 Char"/>
    <w:basedOn w:val="a0"/>
    <w:link w:val="a4"/>
    <w:qFormat/>
    <w:rsid w:val="004F674F"/>
  </w:style>
  <w:style w:type="character" w:customStyle="1" w:styleId="Char4">
    <w:name w:val="批注主题 Char"/>
    <w:basedOn w:val="Char0"/>
    <w:link w:val="a9"/>
    <w:uiPriority w:val="99"/>
    <w:semiHidden/>
    <w:qFormat/>
    <w:rsid w:val="004F674F"/>
    <w:rPr>
      <w:b/>
      <w:bCs/>
    </w:rPr>
  </w:style>
  <w:style w:type="character" w:customStyle="1" w:styleId="Char1">
    <w:name w:val="批注框文本 Char"/>
    <w:basedOn w:val="a0"/>
    <w:link w:val="a5"/>
    <w:uiPriority w:val="99"/>
    <w:semiHidden/>
    <w:qFormat/>
    <w:rsid w:val="004F674F"/>
    <w:rPr>
      <w:sz w:val="18"/>
      <w:szCs w:val="18"/>
    </w:rPr>
  </w:style>
  <w:style w:type="character" w:customStyle="1" w:styleId="2Char">
    <w:name w:val="正文文本 2 Char"/>
    <w:basedOn w:val="a0"/>
    <w:link w:val="2"/>
    <w:uiPriority w:val="99"/>
    <w:qFormat/>
    <w:rsid w:val="004F674F"/>
  </w:style>
  <w:style w:type="paragraph" w:customStyle="1" w:styleId="1">
    <w:name w:val="修订1"/>
    <w:hidden/>
    <w:uiPriority w:val="99"/>
    <w:semiHidden/>
    <w:qFormat/>
    <w:rsid w:val="004F674F"/>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598E0-5C06-4E18-B80F-FF0B5073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1504</Characters>
  <Application>Microsoft Office Word</Application>
  <DocSecurity>4</DocSecurity>
  <Lines>12</Lines>
  <Paragraphs>3</Paragraphs>
  <ScaleCrop>false</ScaleCrop>
  <Company>CNSTOCK</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2025-04-16T16:02:00Z</dcterms:created>
  <dcterms:modified xsi:type="dcterms:W3CDTF">2025-04-16T16:02:00Z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B60DD44C6A764F81913E3B3E666DF6BB</vt:lpwstr>
  </property>
</Properties>
</file>