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1D" w:rsidRDefault="00A0268D">
      <w:pPr>
        <w:spacing w:line="360" w:lineRule="auto"/>
        <w:jc w:val="center"/>
        <w:rPr>
          <w:rFonts w:ascii="Times New Roman"/>
          <w:b/>
          <w:sz w:val="24"/>
          <w:szCs w:val="24"/>
        </w:rPr>
      </w:pPr>
      <w:r>
        <w:rPr>
          <w:rFonts w:ascii="Times New Roman"/>
          <w:b/>
          <w:sz w:val="24"/>
          <w:szCs w:val="24"/>
        </w:rPr>
        <w:t>诺安精选价值混合型证券投资基金</w:t>
      </w:r>
    </w:p>
    <w:p w:rsidR="0086321D" w:rsidRDefault="00A0268D">
      <w:pPr>
        <w:spacing w:line="360" w:lineRule="auto"/>
        <w:jc w:val="center"/>
        <w:rPr>
          <w:rFonts w:ascii="Times New Roman"/>
          <w:b/>
          <w:sz w:val="24"/>
          <w:szCs w:val="24"/>
        </w:rPr>
      </w:pPr>
      <w:bookmarkStart w:id="0" w:name="_GoBack"/>
      <w:bookmarkEnd w:id="0"/>
      <w:r>
        <w:rPr>
          <w:rFonts w:ascii="Times New Roman"/>
          <w:b/>
          <w:sz w:val="24"/>
          <w:szCs w:val="24"/>
        </w:rPr>
        <w:t>因非港股通交易日暂停申购</w:t>
      </w:r>
      <w:r>
        <w:rPr>
          <w:rFonts w:ascii="Times New Roman" w:hint="eastAsia"/>
          <w:b/>
          <w:sz w:val="24"/>
          <w:szCs w:val="24"/>
        </w:rPr>
        <w:t>（含定投）</w:t>
      </w:r>
      <w:r>
        <w:rPr>
          <w:rFonts w:ascii="Times New Roman"/>
          <w:b/>
          <w:sz w:val="24"/>
          <w:szCs w:val="24"/>
        </w:rPr>
        <w:t>、赎回</w:t>
      </w:r>
      <w:r>
        <w:rPr>
          <w:rFonts w:ascii="Times New Roman" w:hint="eastAsia"/>
          <w:b/>
          <w:sz w:val="24"/>
          <w:szCs w:val="24"/>
        </w:rPr>
        <w:t>及</w:t>
      </w:r>
      <w:r>
        <w:rPr>
          <w:rFonts w:ascii="Times New Roman"/>
          <w:b/>
          <w:sz w:val="24"/>
          <w:szCs w:val="24"/>
        </w:rPr>
        <w:t>转换业务的公告</w:t>
      </w:r>
    </w:p>
    <w:p w:rsidR="0086321D" w:rsidRDefault="0086321D">
      <w:pPr>
        <w:jc w:val="center"/>
        <w:rPr>
          <w:rFonts w:ascii="Times New Roman" w:hAnsi="Times New Roman"/>
          <w:b/>
          <w:sz w:val="24"/>
          <w:szCs w:val="24"/>
        </w:rPr>
      </w:pPr>
    </w:p>
    <w:p w:rsidR="0086321D" w:rsidRDefault="00A0268D">
      <w:pPr>
        <w:jc w:val="center"/>
        <w:rPr>
          <w:rFonts w:ascii="Times New Roman" w:hAnsi="Times New Roman"/>
          <w:b/>
          <w:color w:val="000000"/>
          <w:kern w:val="0"/>
          <w:szCs w:val="21"/>
        </w:rPr>
      </w:pPr>
      <w:r>
        <w:rPr>
          <w:rFonts w:ascii="Times New Roman"/>
          <w:b/>
          <w:sz w:val="24"/>
          <w:szCs w:val="24"/>
        </w:rPr>
        <w:t>公告送出日期：</w:t>
      </w:r>
      <w:r>
        <w:rPr>
          <w:rFonts w:ascii="Times New Roman" w:hAnsi="Times New Roman"/>
          <w:b/>
          <w:sz w:val="24"/>
          <w:szCs w:val="24"/>
        </w:rPr>
        <w:t>202</w:t>
      </w:r>
      <w:r>
        <w:rPr>
          <w:rFonts w:ascii="Times New Roman" w:hAnsi="Times New Roman" w:hint="eastAsia"/>
          <w:b/>
          <w:sz w:val="24"/>
          <w:szCs w:val="24"/>
        </w:rPr>
        <w:t>5</w:t>
      </w:r>
      <w:r>
        <w:rPr>
          <w:rFonts w:ascii="Times New Roman"/>
          <w:b/>
          <w:sz w:val="24"/>
          <w:szCs w:val="24"/>
        </w:rPr>
        <w:t>年</w:t>
      </w:r>
      <w:r>
        <w:rPr>
          <w:rFonts w:ascii="Times New Roman" w:hint="eastAsia"/>
          <w:b/>
          <w:sz w:val="24"/>
          <w:szCs w:val="24"/>
        </w:rPr>
        <w:t>4</w:t>
      </w:r>
      <w:r>
        <w:rPr>
          <w:rFonts w:ascii="Times New Roman"/>
          <w:b/>
          <w:sz w:val="24"/>
          <w:szCs w:val="24"/>
        </w:rPr>
        <w:t>月</w:t>
      </w:r>
      <w:r>
        <w:rPr>
          <w:rFonts w:ascii="Times New Roman" w:hint="eastAsia"/>
          <w:b/>
          <w:sz w:val="24"/>
          <w:szCs w:val="24"/>
        </w:rPr>
        <w:t>16</w:t>
      </w:r>
      <w:r>
        <w:rPr>
          <w:rFonts w:ascii="Times New Roman"/>
          <w:b/>
          <w:sz w:val="24"/>
          <w:szCs w:val="24"/>
        </w:rPr>
        <w:t>日</w:t>
      </w:r>
    </w:p>
    <w:p w:rsidR="0086321D" w:rsidRDefault="00A0268D">
      <w:pPr>
        <w:jc w:val="left"/>
        <w:rPr>
          <w:rFonts w:ascii="Times New Roman" w:hAnsi="Times New Roman"/>
          <w:b/>
          <w:color w:val="000000"/>
          <w:kern w:val="0"/>
          <w:szCs w:val="21"/>
        </w:rPr>
      </w:pPr>
      <w:r>
        <w:rPr>
          <w:rFonts w:ascii="Times New Roman" w:hAnsi="Times New Roman"/>
          <w:b/>
          <w:color w:val="000000"/>
          <w:kern w:val="0"/>
          <w:szCs w:val="21"/>
        </w:rPr>
        <w:t>1</w:t>
      </w:r>
      <w:r>
        <w:rPr>
          <w:rFonts w:ascii="Times New Roman" w:hAnsi="Times New Roman" w:hint="eastAsia"/>
          <w:b/>
          <w:color w:val="000000"/>
          <w:kern w:val="0"/>
          <w:szCs w:val="21"/>
        </w:rPr>
        <w:t>、</w:t>
      </w:r>
      <w:r>
        <w:rPr>
          <w:rFonts w:ascii="Times New Roman" w:hAnsi="宋体"/>
          <w:b/>
          <w:color w:val="000000"/>
          <w:kern w:val="0"/>
          <w:szCs w:val="21"/>
        </w:rPr>
        <w:t>公告基本信息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4"/>
        <w:gridCol w:w="975"/>
        <w:gridCol w:w="1417"/>
        <w:gridCol w:w="1160"/>
        <w:gridCol w:w="3030"/>
      </w:tblGrid>
      <w:tr w:rsidR="0086321D">
        <w:tc>
          <w:tcPr>
            <w:tcW w:w="4106" w:type="dxa"/>
            <w:gridSpan w:val="3"/>
            <w:vAlign w:val="center"/>
          </w:tcPr>
          <w:p w:rsidR="0086321D" w:rsidRDefault="00A0268D">
            <w:pPr>
              <w:spacing w:line="276" w:lineRule="auto"/>
              <w:rPr>
                <w:rFonts w:ascii="Times New Roman" w:eastAsia="方正仿宋简体" w:hAnsi="Times New Roman"/>
                <w:color w:val="000000"/>
                <w:szCs w:val="21"/>
                <w:highlight w:val="cyan"/>
              </w:rPr>
            </w:pPr>
            <w:r>
              <w:rPr>
                <w:rFonts w:ascii="Times New Roman"/>
                <w:color w:val="000000"/>
                <w:szCs w:val="21"/>
              </w:rPr>
              <w:t>基金名称</w:t>
            </w:r>
          </w:p>
        </w:tc>
        <w:tc>
          <w:tcPr>
            <w:tcW w:w="4190" w:type="dxa"/>
            <w:gridSpan w:val="2"/>
            <w:vAlign w:val="center"/>
          </w:tcPr>
          <w:p w:rsidR="0086321D" w:rsidRDefault="00A0268D">
            <w:pPr>
              <w:spacing w:line="276" w:lineRule="auto"/>
              <w:rPr>
                <w:rFonts w:ascii="Times New Roman" w:hAnsi="Times New Roman"/>
                <w:szCs w:val="21"/>
              </w:rPr>
            </w:pPr>
            <w:r>
              <w:rPr>
                <w:rFonts w:ascii="Times New Roman" w:hAnsi="宋体"/>
                <w:szCs w:val="21"/>
              </w:rPr>
              <w:t>诺安精选价值混合型证券投资基金</w:t>
            </w:r>
          </w:p>
        </w:tc>
      </w:tr>
      <w:tr w:rsidR="0086321D">
        <w:tc>
          <w:tcPr>
            <w:tcW w:w="4106" w:type="dxa"/>
            <w:gridSpan w:val="3"/>
            <w:vAlign w:val="center"/>
          </w:tcPr>
          <w:p w:rsidR="0086321D" w:rsidRDefault="00A0268D">
            <w:pPr>
              <w:spacing w:line="276" w:lineRule="auto"/>
              <w:rPr>
                <w:rFonts w:ascii="Times New Roman" w:eastAsia="方正仿宋简体" w:hAnsi="Times New Roman"/>
                <w:color w:val="000000"/>
                <w:kern w:val="0"/>
                <w:szCs w:val="21"/>
              </w:rPr>
            </w:pPr>
            <w:r>
              <w:rPr>
                <w:rFonts w:ascii="Times New Roman"/>
                <w:color w:val="000000"/>
                <w:szCs w:val="21"/>
              </w:rPr>
              <w:t>基金简称</w:t>
            </w:r>
          </w:p>
        </w:tc>
        <w:tc>
          <w:tcPr>
            <w:tcW w:w="4190" w:type="dxa"/>
            <w:gridSpan w:val="2"/>
            <w:vAlign w:val="center"/>
          </w:tcPr>
          <w:p w:rsidR="0086321D" w:rsidRDefault="00A0268D">
            <w:pPr>
              <w:spacing w:line="276" w:lineRule="auto"/>
              <w:rPr>
                <w:rFonts w:ascii="Times New Roman" w:hAnsi="Times New Roman"/>
                <w:szCs w:val="21"/>
              </w:rPr>
            </w:pPr>
            <w:r>
              <w:rPr>
                <w:rFonts w:ascii="Times New Roman" w:hAnsi="宋体"/>
                <w:szCs w:val="21"/>
              </w:rPr>
              <w:t>诺安精选价值混合</w:t>
            </w:r>
          </w:p>
        </w:tc>
      </w:tr>
      <w:tr w:rsidR="0086321D">
        <w:tc>
          <w:tcPr>
            <w:tcW w:w="4106" w:type="dxa"/>
            <w:gridSpan w:val="3"/>
            <w:vAlign w:val="center"/>
          </w:tcPr>
          <w:p w:rsidR="0086321D" w:rsidRDefault="00A0268D">
            <w:pPr>
              <w:spacing w:line="276" w:lineRule="auto"/>
              <w:rPr>
                <w:rFonts w:ascii="Times New Roman" w:eastAsia="方正仿宋简体" w:hAnsi="Times New Roman"/>
                <w:color w:val="000000"/>
                <w:kern w:val="0"/>
                <w:szCs w:val="21"/>
              </w:rPr>
            </w:pPr>
            <w:r>
              <w:rPr>
                <w:rFonts w:ascii="Times New Roman"/>
                <w:color w:val="000000"/>
                <w:szCs w:val="21"/>
              </w:rPr>
              <w:t>基金主代码</w:t>
            </w:r>
          </w:p>
        </w:tc>
        <w:tc>
          <w:tcPr>
            <w:tcW w:w="4190" w:type="dxa"/>
            <w:gridSpan w:val="2"/>
            <w:vAlign w:val="center"/>
          </w:tcPr>
          <w:p w:rsidR="0086321D" w:rsidRDefault="00A0268D">
            <w:pPr>
              <w:spacing w:line="276" w:lineRule="auto"/>
              <w:rPr>
                <w:rFonts w:ascii="Times New Roman" w:hAnsi="Times New Roman"/>
                <w:szCs w:val="21"/>
              </w:rPr>
            </w:pPr>
            <w:r>
              <w:rPr>
                <w:rFonts w:ascii="Times New Roman" w:hAnsi="Times New Roman"/>
                <w:szCs w:val="21"/>
              </w:rPr>
              <w:t>001900</w:t>
            </w:r>
          </w:p>
        </w:tc>
      </w:tr>
      <w:tr w:rsidR="0086321D">
        <w:tc>
          <w:tcPr>
            <w:tcW w:w="4106" w:type="dxa"/>
            <w:gridSpan w:val="3"/>
            <w:vAlign w:val="center"/>
          </w:tcPr>
          <w:p w:rsidR="0086321D" w:rsidRDefault="00A0268D">
            <w:pPr>
              <w:spacing w:line="276" w:lineRule="auto"/>
              <w:rPr>
                <w:rFonts w:ascii="Times New Roman" w:eastAsia="方正仿宋简体" w:hAnsi="Times New Roman"/>
                <w:color w:val="000000"/>
                <w:kern w:val="0"/>
                <w:szCs w:val="21"/>
              </w:rPr>
            </w:pPr>
            <w:r>
              <w:rPr>
                <w:rFonts w:ascii="Times New Roman"/>
                <w:color w:val="000000"/>
                <w:szCs w:val="21"/>
              </w:rPr>
              <w:t>基金管理人名称</w:t>
            </w:r>
          </w:p>
        </w:tc>
        <w:tc>
          <w:tcPr>
            <w:tcW w:w="4190" w:type="dxa"/>
            <w:gridSpan w:val="2"/>
            <w:vAlign w:val="center"/>
          </w:tcPr>
          <w:p w:rsidR="0086321D" w:rsidRDefault="00A0268D">
            <w:pPr>
              <w:spacing w:line="276" w:lineRule="auto"/>
              <w:rPr>
                <w:rFonts w:ascii="Times New Roman" w:hAnsi="Times New Roman"/>
                <w:szCs w:val="21"/>
              </w:rPr>
            </w:pPr>
            <w:r>
              <w:rPr>
                <w:rFonts w:ascii="Times New Roman"/>
                <w:szCs w:val="21"/>
              </w:rPr>
              <w:t>诺安基金管理有限公司</w:t>
            </w:r>
          </w:p>
        </w:tc>
      </w:tr>
      <w:tr w:rsidR="0086321D">
        <w:tc>
          <w:tcPr>
            <w:tcW w:w="4106" w:type="dxa"/>
            <w:gridSpan w:val="3"/>
            <w:vAlign w:val="center"/>
          </w:tcPr>
          <w:p w:rsidR="0086321D" w:rsidRDefault="00A0268D">
            <w:pPr>
              <w:spacing w:line="276" w:lineRule="auto"/>
              <w:rPr>
                <w:rFonts w:ascii="Times New Roman" w:eastAsia="方正仿宋简体" w:hAnsi="Times New Roman"/>
                <w:color w:val="000000"/>
                <w:kern w:val="0"/>
                <w:szCs w:val="21"/>
              </w:rPr>
            </w:pPr>
            <w:r>
              <w:rPr>
                <w:rFonts w:ascii="Times New Roman"/>
                <w:color w:val="000000"/>
                <w:szCs w:val="21"/>
              </w:rPr>
              <w:t>公告依据</w:t>
            </w:r>
          </w:p>
        </w:tc>
        <w:tc>
          <w:tcPr>
            <w:tcW w:w="4190" w:type="dxa"/>
            <w:gridSpan w:val="2"/>
            <w:vAlign w:val="center"/>
          </w:tcPr>
          <w:p w:rsidR="0086321D" w:rsidRDefault="00A0268D">
            <w:pPr>
              <w:spacing w:line="276" w:lineRule="auto"/>
              <w:rPr>
                <w:rFonts w:ascii="Times New Roman" w:hAnsi="Times New Roman"/>
                <w:szCs w:val="21"/>
              </w:rPr>
            </w:pPr>
            <w:r>
              <w:rPr>
                <w:rFonts w:ascii="Times New Roman"/>
                <w:szCs w:val="21"/>
              </w:rPr>
              <w:t>《公开募集证券投资基金信息披露管理办法》《</w:t>
            </w:r>
            <w:r>
              <w:rPr>
                <w:rFonts w:ascii="Times New Roman" w:hAnsi="宋体"/>
                <w:szCs w:val="21"/>
              </w:rPr>
              <w:t>诺安精选价值混合型证券投资基金</w:t>
            </w:r>
            <w:r>
              <w:rPr>
                <w:rFonts w:ascii="Times New Roman"/>
                <w:szCs w:val="21"/>
              </w:rPr>
              <w:t>基金合同》《</w:t>
            </w:r>
            <w:r>
              <w:rPr>
                <w:rFonts w:ascii="Times New Roman" w:hAnsi="宋体"/>
                <w:szCs w:val="21"/>
              </w:rPr>
              <w:t>诺安精选价值混合型证券投资基金</w:t>
            </w:r>
            <w:r>
              <w:rPr>
                <w:rFonts w:ascii="Times New Roman"/>
                <w:szCs w:val="21"/>
              </w:rPr>
              <w:t>招募说明书》</w:t>
            </w:r>
            <w:r>
              <w:rPr>
                <w:rFonts w:ascii="Times New Roman" w:hint="eastAsia"/>
                <w:szCs w:val="21"/>
              </w:rPr>
              <w:t>及其更新</w:t>
            </w:r>
            <w:r>
              <w:rPr>
                <w:rFonts w:ascii="Times New Roman"/>
                <w:szCs w:val="21"/>
              </w:rPr>
              <w:t>等相关文件的规定。</w:t>
            </w:r>
          </w:p>
        </w:tc>
      </w:tr>
      <w:tr w:rsidR="0086321D">
        <w:tc>
          <w:tcPr>
            <w:tcW w:w="1714" w:type="dxa"/>
            <w:vMerge w:val="restart"/>
            <w:vAlign w:val="center"/>
          </w:tcPr>
          <w:p w:rsidR="0086321D" w:rsidRDefault="00A0268D">
            <w:pPr>
              <w:spacing w:line="276" w:lineRule="auto"/>
              <w:rPr>
                <w:rFonts w:ascii="Times New Roman" w:hAnsi="Times New Roman"/>
                <w:szCs w:val="21"/>
              </w:rPr>
            </w:pPr>
            <w:r>
              <w:rPr>
                <w:rFonts w:ascii="Times New Roman"/>
                <w:color w:val="000000"/>
                <w:szCs w:val="21"/>
              </w:rPr>
              <w:t>暂停相关业务的起始日及原因说明</w:t>
            </w:r>
          </w:p>
        </w:tc>
        <w:tc>
          <w:tcPr>
            <w:tcW w:w="2392" w:type="dxa"/>
            <w:gridSpan w:val="2"/>
            <w:vAlign w:val="center"/>
          </w:tcPr>
          <w:p w:rsidR="0086321D" w:rsidRDefault="00A0268D">
            <w:pPr>
              <w:spacing w:line="276" w:lineRule="auto"/>
              <w:jc w:val="left"/>
              <w:rPr>
                <w:rFonts w:ascii="Times New Roman" w:hAnsi="Times New Roman"/>
                <w:szCs w:val="21"/>
              </w:rPr>
            </w:pPr>
            <w:r>
              <w:rPr>
                <w:rFonts w:ascii="Times New Roman"/>
                <w:color w:val="000000"/>
                <w:szCs w:val="21"/>
              </w:rPr>
              <w:t>暂停申购起始日</w:t>
            </w:r>
          </w:p>
        </w:tc>
        <w:tc>
          <w:tcPr>
            <w:tcW w:w="4190" w:type="dxa"/>
            <w:gridSpan w:val="2"/>
            <w:vAlign w:val="center"/>
          </w:tcPr>
          <w:p w:rsidR="0086321D" w:rsidRDefault="00A0268D">
            <w:pPr>
              <w:spacing w:line="276" w:lineRule="auto"/>
              <w:rPr>
                <w:rFonts w:ascii="Times New Roman" w:hAnsi="Times New Roman"/>
                <w:szCs w:val="21"/>
              </w:rPr>
            </w:pPr>
            <w:r>
              <w:rPr>
                <w:rFonts w:ascii="Times New Roman" w:hAnsi="Times New Roman"/>
                <w:szCs w:val="21"/>
              </w:rPr>
              <w:t>202</w:t>
            </w:r>
            <w:r>
              <w:rPr>
                <w:rFonts w:ascii="Times New Roman" w:hAnsi="Times New Roman" w:hint="eastAsia"/>
                <w:szCs w:val="21"/>
              </w:rPr>
              <w:t>5</w:t>
            </w:r>
            <w:r>
              <w:rPr>
                <w:rFonts w:ascii="Times New Roman"/>
                <w:szCs w:val="21"/>
              </w:rPr>
              <w:t>年</w:t>
            </w:r>
            <w:r>
              <w:rPr>
                <w:rFonts w:ascii="Times New Roman" w:hAnsi="Times New Roman" w:hint="eastAsia"/>
                <w:szCs w:val="21"/>
              </w:rPr>
              <w:t>4</w:t>
            </w:r>
            <w:r>
              <w:rPr>
                <w:rFonts w:ascii="Times New Roman"/>
                <w:szCs w:val="21"/>
              </w:rPr>
              <w:t>月</w:t>
            </w:r>
            <w:r>
              <w:rPr>
                <w:rFonts w:ascii="Times New Roman" w:hAnsi="Times New Roman" w:hint="eastAsia"/>
                <w:szCs w:val="21"/>
              </w:rPr>
              <w:t>18</w:t>
            </w:r>
            <w:r>
              <w:rPr>
                <w:rFonts w:ascii="Times New Roman"/>
                <w:szCs w:val="21"/>
              </w:rPr>
              <w:t>日</w:t>
            </w:r>
          </w:p>
        </w:tc>
      </w:tr>
      <w:tr w:rsidR="0086321D">
        <w:tc>
          <w:tcPr>
            <w:tcW w:w="1714" w:type="dxa"/>
            <w:vMerge/>
            <w:vAlign w:val="center"/>
          </w:tcPr>
          <w:p w:rsidR="0086321D" w:rsidRDefault="0086321D">
            <w:pPr>
              <w:spacing w:line="276" w:lineRule="auto"/>
              <w:rPr>
                <w:rFonts w:ascii="Times New Roman" w:hAnsi="Times New Roman"/>
                <w:color w:val="000000"/>
                <w:szCs w:val="21"/>
              </w:rPr>
            </w:pPr>
          </w:p>
        </w:tc>
        <w:tc>
          <w:tcPr>
            <w:tcW w:w="2392" w:type="dxa"/>
            <w:gridSpan w:val="2"/>
            <w:vAlign w:val="center"/>
          </w:tcPr>
          <w:p w:rsidR="0086321D" w:rsidRDefault="00A0268D">
            <w:pPr>
              <w:spacing w:line="276" w:lineRule="auto"/>
              <w:jc w:val="left"/>
              <w:rPr>
                <w:rFonts w:ascii="Times New Roman" w:hAnsi="Times New Roman"/>
                <w:color w:val="000000"/>
                <w:szCs w:val="21"/>
              </w:rPr>
            </w:pPr>
            <w:r>
              <w:rPr>
                <w:rFonts w:ascii="Times New Roman"/>
                <w:color w:val="000000"/>
                <w:szCs w:val="21"/>
              </w:rPr>
              <w:t>暂停赎回起始日</w:t>
            </w:r>
          </w:p>
        </w:tc>
        <w:tc>
          <w:tcPr>
            <w:tcW w:w="4190" w:type="dxa"/>
            <w:gridSpan w:val="2"/>
            <w:vAlign w:val="center"/>
          </w:tcPr>
          <w:p w:rsidR="0086321D" w:rsidRDefault="00A0268D">
            <w:pPr>
              <w:spacing w:line="276" w:lineRule="auto"/>
              <w:rPr>
                <w:rFonts w:ascii="Times New Roman" w:hAnsi="Times New Roman"/>
                <w:szCs w:val="21"/>
              </w:rPr>
            </w:pPr>
            <w:r>
              <w:rPr>
                <w:rFonts w:ascii="Times New Roman" w:hAnsi="Times New Roman"/>
                <w:szCs w:val="21"/>
              </w:rPr>
              <w:t>202</w:t>
            </w:r>
            <w:r>
              <w:rPr>
                <w:rFonts w:ascii="Times New Roman" w:hAnsi="Times New Roman" w:hint="eastAsia"/>
                <w:szCs w:val="21"/>
              </w:rPr>
              <w:t>5</w:t>
            </w:r>
            <w:r>
              <w:rPr>
                <w:rFonts w:ascii="Times New Roman"/>
                <w:szCs w:val="21"/>
              </w:rPr>
              <w:t>年</w:t>
            </w:r>
            <w:r>
              <w:rPr>
                <w:rFonts w:ascii="Times New Roman" w:hAnsi="Times New Roman" w:hint="eastAsia"/>
                <w:szCs w:val="21"/>
              </w:rPr>
              <w:t>4</w:t>
            </w:r>
            <w:r>
              <w:rPr>
                <w:rFonts w:ascii="Times New Roman"/>
                <w:szCs w:val="21"/>
              </w:rPr>
              <w:t>月</w:t>
            </w:r>
            <w:r>
              <w:rPr>
                <w:rFonts w:ascii="Times New Roman" w:hAnsi="Times New Roman" w:hint="eastAsia"/>
                <w:szCs w:val="21"/>
              </w:rPr>
              <w:t>18</w:t>
            </w:r>
            <w:r>
              <w:rPr>
                <w:rFonts w:ascii="Times New Roman"/>
                <w:szCs w:val="21"/>
              </w:rPr>
              <w:t>日</w:t>
            </w:r>
          </w:p>
        </w:tc>
      </w:tr>
      <w:tr w:rsidR="0086321D">
        <w:tc>
          <w:tcPr>
            <w:tcW w:w="1714" w:type="dxa"/>
            <w:vMerge/>
            <w:vAlign w:val="center"/>
          </w:tcPr>
          <w:p w:rsidR="0086321D" w:rsidRDefault="0086321D">
            <w:pPr>
              <w:spacing w:line="276" w:lineRule="auto"/>
              <w:rPr>
                <w:rFonts w:ascii="Times New Roman" w:hAnsi="Times New Roman"/>
                <w:color w:val="000000"/>
                <w:szCs w:val="21"/>
              </w:rPr>
            </w:pPr>
          </w:p>
        </w:tc>
        <w:tc>
          <w:tcPr>
            <w:tcW w:w="2392" w:type="dxa"/>
            <w:gridSpan w:val="2"/>
            <w:vAlign w:val="center"/>
          </w:tcPr>
          <w:p w:rsidR="0086321D" w:rsidRDefault="00A0268D">
            <w:pPr>
              <w:spacing w:line="276" w:lineRule="auto"/>
              <w:jc w:val="left"/>
              <w:rPr>
                <w:rFonts w:ascii="Times New Roman" w:hAnsi="Times New Roman"/>
                <w:color w:val="000000"/>
                <w:szCs w:val="21"/>
              </w:rPr>
            </w:pPr>
            <w:r>
              <w:rPr>
                <w:rFonts w:ascii="Times New Roman"/>
                <w:color w:val="000000"/>
                <w:szCs w:val="21"/>
              </w:rPr>
              <w:t>暂停转换起始日</w:t>
            </w:r>
          </w:p>
        </w:tc>
        <w:tc>
          <w:tcPr>
            <w:tcW w:w="4190" w:type="dxa"/>
            <w:gridSpan w:val="2"/>
            <w:vAlign w:val="center"/>
          </w:tcPr>
          <w:p w:rsidR="0086321D" w:rsidRDefault="00A0268D">
            <w:pPr>
              <w:spacing w:line="276" w:lineRule="auto"/>
              <w:rPr>
                <w:rFonts w:ascii="Times New Roman" w:hAnsi="Times New Roman"/>
                <w:szCs w:val="21"/>
              </w:rPr>
            </w:pPr>
            <w:r>
              <w:rPr>
                <w:rFonts w:ascii="Times New Roman" w:hAnsi="Times New Roman"/>
                <w:szCs w:val="21"/>
              </w:rPr>
              <w:t>202</w:t>
            </w:r>
            <w:r>
              <w:rPr>
                <w:rFonts w:ascii="Times New Roman" w:hAnsi="Times New Roman" w:hint="eastAsia"/>
                <w:szCs w:val="21"/>
              </w:rPr>
              <w:t>5</w:t>
            </w:r>
            <w:r>
              <w:rPr>
                <w:rFonts w:ascii="Times New Roman"/>
                <w:szCs w:val="21"/>
              </w:rPr>
              <w:t>年</w:t>
            </w:r>
            <w:r>
              <w:rPr>
                <w:rFonts w:ascii="Times New Roman" w:hAnsi="Times New Roman" w:hint="eastAsia"/>
                <w:szCs w:val="21"/>
              </w:rPr>
              <w:t>4</w:t>
            </w:r>
            <w:r>
              <w:rPr>
                <w:rFonts w:ascii="Times New Roman"/>
                <w:szCs w:val="21"/>
              </w:rPr>
              <w:t>月</w:t>
            </w:r>
            <w:r>
              <w:rPr>
                <w:rFonts w:ascii="Times New Roman" w:hAnsi="Times New Roman" w:hint="eastAsia"/>
                <w:szCs w:val="21"/>
              </w:rPr>
              <w:t>18</w:t>
            </w:r>
            <w:r>
              <w:rPr>
                <w:rFonts w:ascii="Times New Roman"/>
                <w:szCs w:val="21"/>
              </w:rPr>
              <w:t>日</w:t>
            </w:r>
          </w:p>
        </w:tc>
      </w:tr>
      <w:tr w:rsidR="0086321D">
        <w:tc>
          <w:tcPr>
            <w:tcW w:w="1714" w:type="dxa"/>
            <w:vMerge/>
            <w:vAlign w:val="center"/>
          </w:tcPr>
          <w:p w:rsidR="0086321D" w:rsidRDefault="0086321D">
            <w:pPr>
              <w:spacing w:line="276" w:lineRule="auto"/>
              <w:rPr>
                <w:rFonts w:ascii="Times New Roman" w:hAnsi="Times New Roman"/>
                <w:szCs w:val="21"/>
              </w:rPr>
            </w:pPr>
          </w:p>
        </w:tc>
        <w:tc>
          <w:tcPr>
            <w:tcW w:w="2392" w:type="dxa"/>
            <w:gridSpan w:val="2"/>
            <w:vAlign w:val="center"/>
          </w:tcPr>
          <w:p w:rsidR="0086321D" w:rsidRDefault="00A0268D">
            <w:pPr>
              <w:spacing w:line="276" w:lineRule="auto"/>
              <w:rPr>
                <w:rFonts w:ascii="Times New Roman" w:hAnsi="Times New Roman"/>
                <w:szCs w:val="21"/>
              </w:rPr>
            </w:pPr>
            <w:r>
              <w:rPr>
                <w:rFonts w:ascii="Times New Roman"/>
                <w:color w:val="000000"/>
                <w:szCs w:val="21"/>
              </w:rPr>
              <w:t>暂停相关业务的原因说明</w:t>
            </w:r>
          </w:p>
        </w:tc>
        <w:tc>
          <w:tcPr>
            <w:tcW w:w="4190" w:type="dxa"/>
            <w:gridSpan w:val="2"/>
            <w:vAlign w:val="center"/>
          </w:tcPr>
          <w:p w:rsidR="0086321D" w:rsidRDefault="00A0268D">
            <w:pPr>
              <w:spacing w:line="276" w:lineRule="auto"/>
              <w:rPr>
                <w:rFonts w:ascii="Times New Roman" w:hAnsi="Times New Roman"/>
                <w:szCs w:val="21"/>
              </w:rPr>
            </w:pPr>
            <w:r>
              <w:rPr>
                <w:rFonts w:ascii="Times New Roman" w:hAnsi="Times New Roman" w:hint="eastAsia"/>
                <w:szCs w:val="21"/>
              </w:rPr>
              <w:t>根据基金合同的规定以及中投信《关于</w:t>
            </w:r>
            <w:r>
              <w:rPr>
                <w:rFonts w:ascii="Times New Roman" w:hAnsi="Times New Roman" w:hint="eastAsia"/>
                <w:szCs w:val="21"/>
              </w:rPr>
              <w:t>202</w:t>
            </w:r>
            <w:r>
              <w:rPr>
                <w:rFonts w:ascii="Times New Roman" w:hAnsi="Times New Roman" w:hint="eastAsia"/>
                <w:szCs w:val="21"/>
              </w:rPr>
              <w:t>4</w:t>
            </w:r>
            <w:r>
              <w:rPr>
                <w:rFonts w:ascii="Times New Roman" w:hAnsi="Times New Roman" w:hint="eastAsia"/>
                <w:szCs w:val="21"/>
              </w:rPr>
              <w:t>年岁末及</w:t>
            </w:r>
            <w:r>
              <w:rPr>
                <w:rFonts w:ascii="Times New Roman" w:hAnsi="Times New Roman" w:hint="eastAsia"/>
                <w:szCs w:val="21"/>
              </w:rPr>
              <w:t>202</w:t>
            </w:r>
            <w:r>
              <w:rPr>
                <w:rFonts w:ascii="Times New Roman" w:hAnsi="Times New Roman" w:hint="eastAsia"/>
                <w:szCs w:val="21"/>
              </w:rPr>
              <w:t>5</w:t>
            </w:r>
            <w:r>
              <w:rPr>
                <w:rFonts w:ascii="Times New Roman" w:hAnsi="Times New Roman" w:hint="eastAsia"/>
                <w:szCs w:val="21"/>
              </w:rPr>
              <w:t>年沪港通下港股通交易日安排的通知》、中国创盈《关于</w:t>
            </w:r>
            <w:r>
              <w:rPr>
                <w:rFonts w:ascii="Times New Roman" w:hAnsi="Times New Roman" w:hint="eastAsia"/>
                <w:szCs w:val="21"/>
              </w:rPr>
              <w:t>202</w:t>
            </w:r>
            <w:r>
              <w:rPr>
                <w:rFonts w:ascii="Times New Roman" w:hAnsi="Times New Roman" w:hint="eastAsia"/>
                <w:szCs w:val="21"/>
              </w:rPr>
              <w:t>4</w:t>
            </w:r>
            <w:r>
              <w:rPr>
                <w:rFonts w:ascii="Times New Roman" w:hAnsi="Times New Roman" w:hint="eastAsia"/>
                <w:szCs w:val="21"/>
              </w:rPr>
              <w:t>年底及</w:t>
            </w:r>
            <w:r>
              <w:rPr>
                <w:rFonts w:ascii="Times New Roman" w:hAnsi="Times New Roman" w:hint="eastAsia"/>
                <w:szCs w:val="21"/>
              </w:rPr>
              <w:t>202</w:t>
            </w:r>
            <w:r>
              <w:rPr>
                <w:rFonts w:ascii="Times New Roman" w:hAnsi="Times New Roman" w:hint="eastAsia"/>
                <w:szCs w:val="21"/>
              </w:rPr>
              <w:t>5</w:t>
            </w:r>
            <w:r>
              <w:rPr>
                <w:rFonts w:ascii="Times New Roman" w:hAnsi="Times New Roman" w:hint="eastAsia"/>
                <w:szCs w:val="21"/>
              </w:rPr>
              <w:t>年深港通下的港股通交易日有关安排的通知》等通知安排，</w:t>
            </w:r>
            <w:r>
              <w:rPr>
                <w:rFonts w:ascii="Times New Roman" w:hAnsi="Times New Roman"/>
                <w:szCs w:val="21"/>
              </w:rPr>
              <w:t>202</w:t>
            </w:r>
            <w:r>
              <w:rPr>
                <w:rFonts w:ascii="Times New Roman" w:hAnsi="Times New Roman" w:hint="eastAsia"/>
                <w:szCs w:val="21"/>
              </w:rPr>
              <w:t>5</w:t>
            </w:r>
            <w:r>
              <w:rPr>
                <w:rFonts w:ascii="Times New Roman"/>
                <w:szCs w:val="21"/>
              </w:rPr>
              <w:t>年</w:t>
            </w:r>
            <w:r>
              <w:rPr>
                <w:rFonts w:ascii="Times New Roman" w:hAnsi="Times New Roman" w:hint="eastAsia"/>
                <w:szCs w:val="21"/>
              </w:rPr>
              <w:t>4</w:t>
            </w:r>
            <w:r>
              <w:rPr>
                <w:rFonts w:ascii="Times New Roman"/>
                <w:szCs w:val="21"/>
              </w:rPr>
              <w:t>月</w:t>
            </w:r>
            <w:r>
              <w:rPr>
                <w:rFonts w:ascii="Times New Roman" w:hAnsi="Times New Roman" w:hint="eastAsia"/>
                <w:szCs w:val="21"/>
              </w:rPr>
              <w:t>18</w:t>
            </w:r>
            <w:r>
              <w:rPr>
                <w:rFonts w:ascii="Times New Roman"/>
                <w:szCs w:val="21"/>
              </w:rPr>
              <w:t>日</w:t>
            </w:r>
            <w:r>
              <w:rPr>
                <w:rFonts w:ascii="Times New Roman" w:hint="eastAsia"/>
                <w:szCs w:val="21"/>
              </w:rPr>
              <w:t>至</w:t>
            </w:r>
            <w:r>
              <w:rPr>
                <w:rFonts w:ascii="Times New Roman" w:hint="eastAsia"/>
                <w:szCs w:val="21"/>
              </w:rPr>
              <w:t>2025</w:t>
            </w:r>
            <w:r>
              <w:rPr>
                <w:rFonts w:ascii="Times New Roman" w:hint="eastAsia"/>
                <w:szCs w:val="21"/>
              </w:rPr>
              <w:t>年</w:t>
            </w:r>
            <w:r>
              <w:rPr>
                <w:rFonts w:ascii="Times New Roman" w:hint="eastAsia"/>
                <w:szCs w:val="21"/>
              </w:rPr>
              <w:t>4</w:t>
            </w:r>
            <w:r>
              <w:rPr>
                <w:rFonts w:ascii="Times New Roman" w:hint="eastAsia"/>
                <w:szCs w:val="21"/>
              </w:rPr>
              <w:t>月</w:t>
            </w:r>
            <w:r>
              <w:rPr>
                <w:rFonts w:ascii="Times New Roman" w:hint="eastAsia"/>
                <w:szCs w:val="21"/>
              </w:rPr>
              <w:t>21</w:t>
            </w:r>
            <w:r>
              <w:rPr>
                <w:rFonts w:ascii="Times New Roman" w:hint="eastAsia"/>
                <w:szCs w:val="21"/>
              </w:rPr>
              <w:t>日</w:t>
            </w:r>
            <w:r>
              <w:rPr>
                <w:rFonts w:ascii="Times New Roman"/>
                <w:szCs w:val="21"/>
              </w:rPr>
              <w:t>为非港股通交易日，保障基金平稳运作，保护基金持有人利益</w:t>
            </w:r>
            <w:r>
              <w:rPr>
                <w:rFonts w:ascii="Times New Roman"/>
                <w:color w:val="000000"/>
                <w:szCs w:val="21"/>
              </w:rPr>
              <w:t>。</w:t>
            </w:r>
          </w:p>
        </w:tc>
      </w:tr>
      <w:tr w:rsidR="0086321D">
        <w:tc>
          <w:tcPr>
            <w:tcW w:w="2689" w:type="dxa"/>
            <w:gridSpan w:val="2"/>
            <w:vAlign w:val="center"/>
          </w:tcPr>
          <w:p w:rsidR="0086321D" w:rsidRDefault="00A0268D">
            <w:pPr>
              <w:rPr>
                <w:rFonts w:ascii="宋体" w:hAnsi="宋体"/>
                <w:color w:val="000000"/>
                <w:szCs w:val="21"/>
              </w:rPr>
            </w:pPr>
            <w:r>
              <w:rPr>
                <w:rFonts w:ascii="宋体" w:hAnsi="宋体" w:hint="eastAsia"/>
                <w:color w:val="000000"/>
                <w:szCs w:val="21"/>
              </w:rPr>
              <w:t>下属分级基金的基金简称</w:t>
            </w:r>
          </w:p>
        </w:tc>
        <w:tc>
          <w:tcPr>
            <w:tcW w:w="2577" w:type="dxa"/>
            <w:gridSpan w:val="2"/>
            <w:vAlign w:val="center"/>
          </w:tcPr>
          <w:p w:rsidR="0086321D" w:rsidRDefault="00A0268D">
            <w:pPr>
              <w:jc w:val="left"/>
              <w:rPr>
                <w:rFonts w:ascii="宋体" w:hAnsi="宋体"/>
                <w:color w:val="000000"/>
                <w:szCs w:val="21"/>
              </w:rPr>
            </w:pPr>
            <w:r>
              <w:rPr>
                <w:rFonts w:ascii="宋体" w:hAnsi="宋体" w:hint="eastAsia"/>
                <w:color w:val="000000"/>
                <w:szCs w:val="21"/>
              </w:rPr>
              <w:t>诺安精选价值混合</w:t>
            </w:r>
            <w:r>
              <w:rPr>
                <w:rFonts w:ascii="宋体" w:hAnsi="宋体" w:hint="eastAsia"/>
                <w:color w:val="000000"/>
                <w:szCs w:val="21"/>
              </w:rPr>
              <w:t>A</w:t>
            </w:r>
          </w:p>
        </w:tc>
        <w:tc>
          <w:tcPr>
            <w:tcW w:w="3030" w:type="dxa"/>
            <w:vAlign w:val="center"/>
          </w:tcPr>
          <w:p w:rsidR="0086321D" w:rsidRDefault="00A0268D">
            <w:pPr>
              <w:jc w:val="left"/>
              <w:rPr>
                <w:rFonts w:ascii="宋体" w:hAnsi="宋体"/>
                <w:color w:val="000000"/>
                <w:szCs w:val="21"/>
              </w:rPr>
            </w:pPr>
            <w:r>
              <w:rPr>
                <w:rFonts w:ascii="宋体" w:hAnsi="宋体" w:hint="eastAsia"/>
                <w:color w:val="000000"/>
                <w:szCs w:val="21"/>
              </w:rPr>
              <w:t>诺安精选价值混合</w:t>
            </w:r>
            <w:r>
              <w:rPr>
                <w:rFonts w:ascii="宋体" w:hAnsi="宋体" w:hint="eastAsia"/>
                <w:color w:val="000000"/>
                <w:szCs w:val="21"/>
              </w:rPr>
              <w:t>C</w:t>
            </w:r>
          </w:p>
        </w:tc>
      </w:tr>
      <w:tr w:rsidR="0086321D">
        <w:tc>
          <w:tcPr>
            <w:tcW w:w="2689" w:type="dxa"/>
            <w:gridSpan w:val="2"/>
            <w:vAlign w:val="center"/>
          </w:tcPr>
          <w:p w:rsidR="0086321D" w:rsidRDefault="00A0268D">
            <w:pPr>
              <w:rPr>
                <w:rFonts w:ascii="宋体" w:hAnsi="宋体"/>
                <w:color w:val="000000"/>
                <w:szCs w:val="21"/>
              </w:rPr>
            </w:pPr>
            <w:r>
              <w:rPr>
                <w:rFonts w:ascii="宋体" w:hAnsi="宋体" w:hint="eastAsia"/>
                <w:color w:val="000000"/>
                <w:szCs w:val="21"/>
              </w:rPr>
              <w:t>下属分级基金的交易代码</w:t>
            </w:r>
          </w:p>
        </w:tc>
        <w:tc>
          <w:tcPr>
            <w:tcW w:w="2577" w:type="dxa"/>
            <w:gridSpan w:val="2"/>
            <w:vAlign w:val="center"/>
          </w:tcPr>
          <w:p w:rsidR="0086321D" w:rsidRDefault="00A0268D">
            <w:pPr>
              <w:jc w:val="left"/>
              <w:rPr>
                <w:rFonts w:ascii="宋体" w:hAnsi="宋体"/>
                <w:color w:val="000000"/>
                <w:szCs w:val="21"/>
              </w:rPr>
            </w:pPr>
            <w:r>
              <w:rPr>
                <w:rFonts w:ascii="宋体" w:hAnsi="宋体" w:hint="eastAsia"/>
                <w:color w:val="000000"/>
                <w:szCs w:val="21"/>
              </w:rPr>
              <w:t>001900</w:t>
            </w:r>
          </w:p>
        </w:tc>
        <w:tc>
          <w:tcPr>
            <w:tcW w:w="3030" w:type="dxa"/>
            <w:vAlign w:val="center"/>
          </w:tcPr>
          <w:p w:rsidR="0086321D" w:rsidRDefault="00A0268D">
            <w:pPr>
              <w:jc w:val="left"/>
              <w:rPr>
                <w:rFonts w:ascii="宋体" w:hAnsi="宋体"/>
                <w:color w:val="000000"/>
                <w:szCs w:val="21"/>
              </w:rPr>
            </w:pPr>
            <w:r>
              <w:rPr>
                <w:rFonts w:ascii="宋体" w:hAnsi="宋体" w:hint="eastAsia"/>
                <w:color w:val="000000"/>
                <w:szCs w:val="21"/>
              </w:rPr>
              <w:t>022150</w:t>
            </w:r>
          </w:p>
        </w:tc>
      </w:tr>
      <w:tr w:rsidR="0086321D">
        <w:tc>
          <w:tcPr>
            <w:tcW w:w="2689" w:type="dxa"/>
            <w:gridSpan w:val="2"/>
            <w:vAlign w:val="center"/>
          </w:tcPr>
          <w:p w:rsidR="0086321D" w:rsidRDefault="00A0268D">
            <w:pPr>
              <w:rPr>
                <w:rFonts w:ascii="宋体" w:hAnsi="宋体"/>
                <w:color w:val="000000"/>
                <w:szCs w:val="21"/>
              </w:rPr>
            </w:pPr>
            <w:r>
              <w:rPr>
                <w:rFonts w:ascii="宋体" w:hAnsi="宋体" w:hint="eastAsia"/>
                <w:color w:val="000000"/>
                <w:szCs w:val="21"/>
              </w:rPr>
              <w:t>该分级基金是否暂停申购、转换、赎回</w:t>
            </w:r>
          </w:p>
        </w:tc>
        <w:tc>
          <w:tcPr>
            <w:tcW w:w="2577" w:type="dxa"/>
            <w:gridSpan w:val="2"/>
            <w:vAlign w:val="center"/>
          </w:tcPr>
          <w:p w:rsidR="0086321D" w:rsidRDefault="00A0268D">
            <w:pPr>
              <w:jc w:val="left"/>
              <w:rPr>
                <w:rFonts w:ascii="宋体" w:hAnsi="宋体"/>
                <w:color w:val="000000"/>
                <w:szCs w:val="21"/>
              </w:rPr>
            </w:pPr>
            <w:r>
              <w:rPr>
                <w:rFonts w:ascii="宋体" w:hAnsi="宋体" w:hint="eastAsia"/>
                <w:color w:val="000000"/>
                <w:szCs w:val="21"/>
              </w:rPr>
              <w:t>是</w:t>
            </w:r>
          </w:p>
        </w:tc>
        <w:tc>
          <w:tcPr>
            <w:tcW w:w="3030" w:type="dxa"/>
            <w:vAlign w:val="center"/>
          </w:tcPr>
          <w:p w:rsidR="0086321D" w:rsidRDefault="00A0268D">
            <w:pPr>
              <w:jc w:val="left"/>
              <w:rPr>
                <w:rFonts w:ascii="宋体" w:hAnsi="宋体"/>
                <w:color w:val="000000"/>
                <w:szCs w:val="21"/>
              </w:rPr>
            </w:pPr>
            <w:r>
              <w:rPr>
                <w:rFonts w:ascii="宋体" w:hAnsi="宋体" w:hint="eastAsia"/>
                <w:color w:val="000000"/>
                <w:szCs w:val="21"/>
              </w:rPr>
              <w:t>是</w:t>
            </w:r>
          </w:p>
        </w:tc>
      </w:tr>
    </w:tbl>
    <w:p w:rsidR="0086321D" w:rsidRDefault="00A0268D">
      <w:pPr>
        <w:spacing w:line="360" w:lineRule="auto"/>
        <w:jc w:val="left"/>
        <w:rPr>
          <w:rFonts w:ascii="Times New Roman" w:hAnsi="Times New Roman"/>
        </w:rPr>
      </w:pPr>
      <w:r>
        <w:rPr>
          <w:rFonts w:ascii="Times New Roman" w:hAnsi="Times New Roman" w:hint="eastAsia"/>
        </w:rPr>
        <w:t>注：本公告所称申购含定投。</w:t>
      </w:r>
    </w:p>
    <w:p w:rsidR="0086321D" w:rsidRDefault="00A0268D">
      <w:pPr>
        <w:spacing w:line="360" w:lineRule="auto"/>
        <w:jc w:val="left"/>
        <w:rPr>
          <w:rFonts w:ascii="Times New Roman" w:hAnsi="Times New Roman"/>
          <w:b/>
          <w:color w:val="000000"/>
          <w:kern w:val="0"/>
          <w:szCs w:val="21"/>
        </w:rPr>
      </w:pPr>
      <w:r>
        <w:rPr>
          <w:rFonts w:ascii="Times New Roman" w:hAnsi="Times New Roman"/>
          <w:b/>
          <w:color w:val="000000"/>
          <w:kern w:val="0"/>
          <w:szCs w:val="21"/>
        </w:rPr>
        <w:t>2</w:t>
      </w:r>
      <w:r>
        <w:rPr>
          <w:rFonts w:ascii="Times New Roman" w:hAnsi="Times New Roman" w:hint="eastAsia"/>
          <w:b/>
          <w:color w:val="000000"/>
          <w:kern w:val="0"/>
          <w:szCs w:val="21"/>
        </w:rPr>
        <w:t>、</w:t>
      </w:r>
      <w:r>
        <w:rPr>
          <w:rFonts w:ascii="Times New Roman" w:hAnsi="宋体"/>
          <w:b/>
          <w:color w:val="000000"/>
          <w:kern w:val="0"/>
          <w:szCs w:val="21"/>
        </w:rPr>
        <w:t>其他需要提示的事项</w:t>
      </w:r>
    </w:p>
    <w:p w:rsidR="0086321D" w:rsidRDefault="00A0268D">
      <w:pPr>
        <w:spacing w:line="360" w:lineRule="auto"/>
        <w:ind w:firstLine="420"/>
        <w:jc w:val="left"/>
        <w:rPr>
          <w:rFonts w:ascii="Times New Roman" w:hAnsi="宋体"/>
          <w:szCs w:val="21"/>
        </w:rPr>
      </w:pPr>
      <w:r>
        <w:rPr>
          <w:rFonts w:ascii="Times New Roman" w:hAnsi="宋体"/>
          <w:szCs w:val="21"/>
        </w:rPr>
        <w:t>本基金将于</w:t>
      </w:r>
      <w:r>
        <w:rPr>
          <w:rFonts w:ascii="Times New Roman" w:hAnsi="宋体"/>
          <w:szCs w:val="21"/>
        </w:rPr>
        <w:t>202</w:t>
      </w:r>
      <w:r>
        <w:rPr>
          <w:rFonts w:ascii="Times New Roman" w:hAnsi="宋体" w:hint="eastAsia"/>
          <w:szCs w:val="21"/>
        </w:rPr>
        <w:t>5</w:t>
      </w:r>
      <w:r>
        <w:rPr>
          <w:rFonts w:ascii="Times New Roman" w:hAnsi="宋体"/>
          <w:szCs w:val="21"/>
        </w:rPr>
        <w:t>年</w:t>
      </w:r>
      <w:r>
        <w:rPr>
          <w:rFonts w:ascii="Times New Roman" w:hAnsi="宋体" w:hint="eastAsia"/>
          <w:szCs w:val="21"/>
        </w:rPr>
        <w:t>4</w:t>
      </w:r>
      <w:r>
        <w:rPr>
          <w:rFonts w:ascii="Times New Roman" w:hAnsi="宋体"/>
          <w:szCs w:val="21"/>
        </w:rPr>
        <w:t>月</w:t>
      </w:r>
      <w:r>
        <w:rPr>
          <w:rFonts w:ascii="Times New Roman" w:hAnsi="宋体" w:hint="eastAsia"/>
          <w:szCs w:val="21"/>
        </w:rPr>
        <w:t>18</w:t>
      </w:r>
      <w:r>
        <w:rPr>
          <w:rFonts w:ascii="Times New Roman" w:hAnsi="宋体"/>
          <w:szCs w:val="21"/>
        </w:rPr>
        <w:t>日</w:t>
      </w:r>
      <w:r>
        <w:rPr>
          <w:rFonts w:ascii="Times New Roman" w:hAnsi="宋体" w:hint="eastAsia"/>
          <w:szCs w:val="21"/>
        </w:rPr>
        <w:t>至</w:t>
      </w:r>
      <w:r>
        <w:rPr>
          <w:rFonts w:ascii="Times New Roman" w:hAnsi="宋体" w:hint="eastAsia"/>
          <w:szCs w:val="21"/>
        </w:rPr>
        <w:t>2025</w:t>
      </w:r>
      <w:r>
        <w:rPr>
          <w:rFonts w:ascii="Times New Roman" w:hAnsi="宋体" w:hint="eastAsia"/>
          <w:szCs w:val="21"/>
        </w:rPr>
        <w:t>年</w:t>
      </w:r>
      <w:r>
        <w:rPr>
          <w:rFonts w:ascii="Times New Roman" w:hAnsi="宋体" w:hint="eastAsia"/>
          <w:szCs w:val="21"/>
        </w:rPr>
        <w:t>4</w:t>
      </w:r>
      <w:r>
        <w:rPr>
          <w:rFonts w:ascii="Times New Roman" w:hAnsi="宋体" w:hint="eastAsia"/>
          <w:szCs w:val="21"/>
        </w:rPr>
        <w:t>月</w:t>
      </w:r>
      <w:r>
        <w:rPr>
          <w:rFonts w:ascii="Times New Roman" w:hAnsi="宋体" w:hint="eastAsia"/>
          <w:szCs w:val="21"/>
        </w:rPr>
        <w:t>21</w:t>
      </w:r>
      <w:r>
        <w:rPr>
          <w:rFonts w:ascii="Times New Roman" w:hAnsi="宋体" w:hint="eastAsia"/>
          <w:szCs w:val="21"/>
        </w:rPr>
        <w:t>日</w:t>
      </w:r>
      <w:r>
        <w:rPr>
          <w:rFonts w:ascii="Times New Roman" w:hAnsi="宋体"/>
          <w:szCs w:val="21"/>
        </w:rPr>
        <w:t>暂停办理申购、赎回</w:t>
      </w:r>
      <w:r>
        <w:rPr>
          <w:rFonts w:ascii="Times New Roman" w:hAnsi="宋体" w:hint="eastAsia"/>
          <w:szCs w:val="21"/>
        </w:rPr>
        <w:t>、</w:t>
      </w:r>
      <w:r>
        <w:rPr>
          <w:rFonts w:ascii="Times New Roman" w:hAnsi="宋体"/>
          <w:szCs w:val="21"/>
        </w:rPr>
        <w:t>转换业务。投资者在</w:t>
      </w:r>
      <w:r>
        <w:rPr>
          <w:rFonts w:ascii="Times New Roman" w:hAnsi="宋体"/>
          <w:szCs w:val="21"/>
        </w:rPr>
        <w:t>202</w:t>
      </w:r>
      <w:r>
        <w:rPr>
          <w:rFonts w:ascii="Times New Roman" w:hAnsi="宋体" w:hint="eastAsia"/>
          <w:szCs w:val="21"/>
        </w:rPr>
        <w:t>5</w:t>
      </w:r>
      <w:r>
        <w:rPr>
          <w:rFonts w:ascii="Times New Roman" w:hAnsi="宋体"/>
          <w:szCs w:val="21"/>
        </w:rPr>
        <w:t>年</w:t>
      </w:r>
      <w:r>
        <w:rPr>
          <w:rFonts w:ascii="Times New Roman" w:hAnsi="宋体" w:hint="eastAsia"/>
          <w:szCs w:val="21"/>
        </w:rPr>
        <w:t>4</w:t>
      </w:r>
      <w:r>
        <w:rPr>
          <w:rFonts w:ascii="Times New Roman" w:hAnsi="宋体"/>
          <w:szCs w:val="21"/>
        </w:rPr>
        <w:t>月</w:t>
      </w:r>
      <w:r>
        <w:rPr>
          <w:rFonts w:ascii="Times New Roman" w:hAnsi="宋体" w:hint="eastAsia"/>
          <w:szCs w:val="21"/>
        </w:rPr>
        <w:t>17</w:t>
      </w:r>
      <w:r>
        <w:rPr>
          <w:rFonts w:ascii="Times New Roman" w:hAnsi="宋体"/>
          <w:szCs w:val="21"/>
        </w:rPr>
        <w:t>日</w:t>
      </w:r>
      <w:r>
        <w:rPr>
          <w:rFonts w:ascii="Times New Roman" w:hAnsi="宋体"/>
          <w:szCs w:val="21"/>
        </w:rPr>
        <w:t>15:00</w:t>
      </w:r>
      <w:r>
        <w:rPr>
          <w:rFonts w:ascii="Times New Roman" w:hAnsi="宋体"/>
          <w:szCs w:val="21"/>
        </w:rPr>
        <w:t>以后的申购、赎回</w:t>
      </w:r>
      <w:r>
        <w:rPr>
          <w:rFonts w:ascii="Times New Roman" w:hAnsi="宋体" w:hint="eastAsia"/>
          <w:szCs w:val="21"/>
        </w:rPr>
        <w:t>、</w:t>
      </w:r>
      <w:r>
        <w:rPr>
          <w:rFonts w:ascii="Times New Roman" w:hAnsi="宋体"/>
          <w:szCs w:val="21"/>
        </w:rPr>
        <w:t>转换业务的申请，视为下一开放日提交的申请。自</w:t>
      </w:r>
      <w:r>
        <w:rPr>
          <w:rFonts w:ascii="Times New Roman" w:hAnsi="宋体"/>
          <w:szCs w:val="21"/>
        </w:rPr>
        <w:t>202</w:t>
      </w:r>
      <w:r>
        <w:rPr>
          <w:rFonts w:ascii="Times New Roman" w:hAnsi="宋体" w:hint="eastAsia"/>
          <w:szCs w:val="21"/>
        </w:rPr>
        <w:t>5</w:t>
      </w:r>
      <w:r>
        <w:rPr>
          <w:rFonts w:ascii="Times New Roman" w:hAnsi="宋体"/>
          <w:szCs w:val="21"/>
        </w:rPr>
        <w:t>年</w:t>
      </w:r>
      <w:r>
        <w:rPr>
          <w:rFonts w:ascii="Times New Roman" w:hAnsi="宋体" w:hint="eastAsia"/>
          <w:szCs w:val="21"/>
        </w:rPr>
        <w:t>4</w:t>
      </w:r>
      <w:r>
        <w:rPr>
          <w:rFonts w:ascii="Times New Roman" w:hAnsi="宋体"/>
          <w:szCs w:val="21"/>
        </w:rPr>
        <w:t>月</w:t>
      </w:r>
      <w:r>
        <w:rPr>
          <w:rFonts w:ascii="Times New Roman" w:hAnsi="宋体" w:hint="eastAsia"/>
          <w:szCs w:val="21"/>
        </w:rPr>
        <w:t>22</w:t>
      </w:r>
      <w:r>
        <w:rPr>
          <w:rFonts w:ascii="Times New Roman" w:hAnsi="宋体"/>
          <w:szCs w:val="21"/>
        </w:rPr>
        <w:t>日起，本基金恢复办理基金的申购、赎回、转换业务，届时将不再另行公告。敬请投资者及早做好交易安排。</w:t>
      </w:r>
    </w:p>
    <w:p w:rsidR="0086321D" w:rsidRDefault="00A0268D">
      <w:pPr>
        <w:spacing w:line="360" w:lineRule="auto"/>
        <w:ind w:firstLine="420"/>
        <w:jc w:val="left"/>
        <w:rPr>
          <w:rFonts w:ascii="Times New Roman" w:hAnsi="Times New Roman"/>
          <w:szCs w:val="21"/>
        </w:rPr>
      </w:pPr>
      <w:r>
        <w:rPr>
          <w:rFonts w:ascii="Times New Roman" w:hAnsi="宋体"/>
          <w:szCs w:val="21"/>
        </w:rPr>
        <w:t>若非港股通交易日及交易时间安排发生变化，或市场状况发生变化，或将来根据法律法规和基金合同的约定需要调整上述安排的，本公司将另行调整并公告。</w:t>
      </w:r>
    </w:p>
    <w:p w:rsidR="0086321D" w:rsidRDefault="00A0268D">
      <w:pPr>
        <w:spacing w:line="360" w:lineRule="auto"/>
        <w:ind w:firstLine="420"/>
        <w:jc w:val="left"/>
        <w:rPr>
          <w:rFonts w:ascii="Times New Roman" w:hAnsi="Times New Roman"/>
          <w:color w:val="000000"/>
          <w:kern w:val="0"/>
          <w:szCs w:val="21"/>
        </w:rPr>
      </w:pPr>
      <w:r>
        <w:rPr>
          <w:rFonts w:ascii="Times New Roman" w:hAnsi="宋体"/>
          <w:szCs w:val="21"/>
        </w:rPr>
        <w:lastRenderedPageBreak/>
        <w:t>投资者可以通过拨打诺安基金管理有限公司客户服务电话</w:t>
      </w:r>
      <w:r>
        <w:rPr>
          <w:rFonts w:ascii="Times New Roman" w:hAnsi="Times New Roman"/>
          <w:szCs w:val="21"/>
        </w:rPr>
        <w:t>400-888-8998</w:t>
      </w:r>
      <w:r>
        <w:rPr>
          <w:rFonts w:ascii="Times New Roman" w:hAnsi="宋体"/>
          <w:szCs w:val="21"/>
        </w:rPr>
        <w:t>（免长途费）进行咨询；也可</w:t>
      </w:r>
      <w:r>
        <w:rPr>
          <w:rFonts w:ascii="Times New Roman" w:hAnsi="宋体" w:hint="eastAsia"/>
          <w:szCs w:val="21"/>
        </w:rPr>
        <w:t>通过</w:t>
      </w:r>
      <w:r>
        <w:rPr>
          <w:rFonts w:ascii="Times New Roman" w:hAnsi="宋体"/>
          <w:szCs w:val="21"/>
        </w:rPr>
        <w:t>诺安基金管理有限公司网站（</w:t>
      </w:r>
      <w:hyperlink r:id="rId6" w:history="1">
        <w:r>
          <w:rPr>
            <w:rStyle w:val="a8"/>
            <w:rFonts w:ascii="Times New Roman" w:hAnsi="Times New Roman" w:hint="eastAsia"/>
            <w:color w:val="auto"/>
            <w:szCs w:val="21"/>
            <w:u w:val="none"/>
          </w:rPr>
          <w:t>www.lionfund.com.cn</w:t>
        </w:r>
      </w:hyperlink>
      <w:r>
        <w:rPr>
          <w:rFonts w:ascii="Times New Roman" w:hAnsi="Times New Roman"/>
          <w:szCs w:val="21"/>
        </w:rPr>
        <w:t>）</w:t>
      </w:r>
      <w:r>
        <w:rPr>
          <w:rFonts w:ascii="Times New Roman" w:hAnsi="宋体"/>
          <w:szCs w:val="21"/>
        </w:rPr>
        <w:t>了解相关情况。</w:t>
      </w:r>
    </w:p>
    <w:p w:rsidR="0086321D" w:rsidRDefault="0086321D">
      <w:pPr>
        <w:spacing w:line="360" w:lineRule="auto"/>
        <w:ind w:firstLine="420"/>
        <w:jc w:val="left"/>
        <w:rPr>
          <w:rFonts w:ascii="Times New Roman" w:hAnsi="Times New Roman"/>
          <w:color w:val="000000"/>
          <w:kern w:val="0"/>
          <w:szCs w:val="21"/>
        </w:rPr>
      </w:pPr>
    </w:p>
    <w:p w:rsidR="0086321D" w:rsidRDefault="00A0268D">
      <w:pPr>
        <w:spacing w:line="360" w:lineRule="auto"/>
        <w:ind w:firstLine="420"/>
        <w:jc w:val="left"/>
        <w:rPr>
          <w:rFonts w:ascii="Times New Roman" w:hAnsi="Times New Roman"/>
          <w:b/>
          <w:color w:val="000000"/>
          <w:kern w:val="0"/>
          <w:szCs w:val="21"/>
        </w:rPr>
      </w:pPr>
      <w:r>
        <w:rPr>
          <w:rFonts w:ascii="Times New Roman" w:hAnsi="宋体"/>
          <w:b/>
          <w:color w:val="000000"/>
          <w:kern w:val="0"/>
          <w:szCs w:val="21"/>
        </w:rPr>
        <w:t>风险提示：</w:t>
      </w:r>
    </w:p>
    <w:p w:rsidR="0086321D" w:rsidRDefault="00A0268D">
      <w:pPr>
        <w:spacing w:line="360" w:lineRule="auto"/>
        <w:ind w:firstLine="420"/>
        <w:jc w:val="left"/>
        <w:rPr>
          <w:rFonts w:ascii="Times New Roman" w:hAnsi="宋体"/>
          <w:szCs w:val="21"/>
        </w:rPr>
      </w:pPr>
      <w:r>
        <w:rPr>
          <w:szCs w:val="21"/>
        </w:rPr>
        <w:t>本基金管理人承诺以诚实信用、勤勉尽责的原则管理和运用基金财产，但不保证基金一定盈利，也不保证最低收益。基金的过往业绩及其净值高低并不预示其未来业绩表现，基金管理人管理的其他基金的业绩并不构成本基金业绩表现的保证。本基金管理人提醒投资者基金投资的</w:t>
      </w:r>
      <w:r>
        <w:rPr>
          <w:rFonts w:ascii="宋体" w:hAnsi="宋体"/>
          <w:szCs w:val="21"/>
        </w:rPr>
        <w:t>“</w:t>
      </w:r>
      <w:r>
        <w:rPr>
          <w:szCs w:val="21"/>
        </w:rPr>
        <w:t>买者自负</w:t>
      </w:r>
      <w:r>
        <w:rPr>
          <w:rFonts w:ascii="宋体" w:hAnsi="宋体"/>
          <w:szCs w:val="21"/>
        </w:rPr>
        <w:t>”</w:t>
      </w:r>
      <w:r>
        <w:rPr>
          <w:szCs w:val="21"/>
        </w:rPr>
        <w:t>原则，在做出投资决策后，基金运营状况与基金净值变化引致的投资风险，由投资者自行负担。</w:t>
      </w:r>
      <w:r>
        <w:rPr>
          <w:rFonts w:ascii="Times New Roman" w:hAnsi="宋体"/>
          <w:szCs w:val="21"/>
        </w:rPr>
        <w:t>基金管理人、基金托管人、基金销售机构及相关机构不对基金投资收益做出任何承诺或保证。</w:t>
      </w:r>
      <w:r>
        <w:rPr>
          <w:szCs w:val="21"/>
        </w:rPr>
        <w:t>投资者投资于本基金管理人管理的基金时应仔细阅读</w:t>
      </w:r>
      <w:r>
        <w:rPr>
          <w:rFonts w:hint="eastAsia"/>
          <w:szCs w:val="21"/>
        </w:rPr>
        <w:t>最新的</w:t>
      </w:r>
      <w:r>
        <w:rPr>
          <w:szCs w:val="21"/>
        </w:rPr>
        <w:t>基金合同、招募说明书、基金产品资料概要</w:t>
      </w:r>
      <w:r>
        <w:rPr>
          <w:szCs w:val="21"/>
        </w:rPr>
        <w:t>等产品法律文件及相关公告，充分认识本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86321D" w:rsidRDefault="0086321D">
      <w:pPr>
        <w:ind w:firstLine="420"/>
        <w:jc w:val="left"/>
        <w:rPr>
          <w:rFonts w:ascii="Times New Roman" w:hAnsi="Times New Roman"/>
          <w:color w:val="000000"/>
          <w:kern w:val="0"/>
          <w:szCs w:val="21"/>
        </w:rPr>
      </w:pPr>
    </w:p>
    <w:p w:rsidR="0086321D" w:rsidRDefault="00A0268D">
      <w:pPr>
        <w:ind w:firstLine="420"/>
        <w:jc w:val="left"/>
        <w:rPr>
          <w:rFonts w:ascii="Times New Roman" w:hAnsi="Times New Roman"/>
          <w:color w:val="000000"/>
          <w:kern w:val="0"/>
          <w:szCs w:val="21"/>
        </w:rPr>
      </w:pPr>
      <w:r>
        <w:rPr>
          <w:rFonts w:ascii="Times New Roman" w:hAnsi="宋体"/>
          <w:color w:val="000000"/>
          <w:kern w:val="0"/>
          <w:szCs w:val="21"/>
        </w:rPr>
        <w:t>特此公告。</w:t>
      </w:r>
    </w:p>
    <w:p w:rsidR="0086321D" w:rsidRDefault="0086321D">
      <w:pPr>
        <w:ind w:firstLine="420"/>
        <w:jc w:val="left"/>
        <w:rPr>
          <w:rFonts w:ascii="Times New Roman" w:hAnsi="Times New Roman"/>
          <w:color w:val="000000"/>
          <w:kern w:val="0"/>
          <w:szCs w:val="21"/>
        </w:rPr>
      </w:pPr>
    </w:p>
    <w:p w:rsidR="0086321D" w:rsidRDefault="00A0268D">
      <w:pPr>
        <w:spacing w:line="360" w:lineRule="auto"/>
        <w:ind w:firstLine="420"/>
        <w:jc w:val="right"/>
        <w:rPr>
          <w:rFonts w:ascii="Times New Roman" w:hAnsi="Times New Roman"/>
          <w:color w:val="000000"/>
          <w:kern w:val="0"/>
          <w:szCs w:val="21"/>
        </w:rPr>
      </w:pPr>
      <w:r>
        <w:rPr>
          <w:rFonts w:ascii="Times New Roman" w:hAnsi="宋体"/>
          <w:color w:val="000000"/>
          <w:kern w:val="0"/>
          <w:szCs w:val="21"/>
        </w:rPr>
        <w:t>诺安基金管理有限公司</w:t>
      </w:r>
    </w:p>
    <w:p w:rsidR="0086321D" w:rsidRDefault="00A0268D">
      <w:pPr>
        <w:wordWrap w:val="0"/>
        <w:spacing w:line="360" w:lineRule="auto"/>
        <w:ind w:firstLine="420"/>
        <w:jc w:val="right"/>
        <w:rPr>
          <w:rFonts w:ascii="Times New Roman" w:hAnsi="Times New Roman"/>
          <w:b/>
        </w:rPr>
      </w:pPr>
      <w:r>
        <w:rPr>
          <w:rFonts w:ascii="Times New Roman" w:hAnsi="宋体" w:hint="eastAsia"/>
          <w:color w:val="000000"/>
          <w:kern w:val="0"/>
          <w:szCs w:val="21"/>
        </w:rPr>
        <w:t>2</w:t>
      </w:r>
      <w:r>
        <w:rPr>
          <w:rFonts w:ascii="Times New Roman" w:hAnsi="宋体"/>
          <w:color w:val="000000"/>
          <w:kern w:val="0"/>
          <w:szCs w:val="21"/>
        </w:rPr>
        <w:t>02</w:t>
      </w:r>
      <w:r>
        <w:rPr>
          <w:rFonts w:ascii="Times New Roman" w:hAnsi="宋体" w:hint="eastAsia"/>
          <w:color w:val="000000"/>
          <w:kern w:val="0"/>
          <w:szCs w:val="21"/>
        </w:rPr>
        <w:t>5</w:t>
      </w:r>
      <w:r>
        <w:rPr>
          <w:rFonts w:ascii="Times New Roman" w:hAnsi="宋体"/>
          <w:color w:val="000000"/>
          <w:kern w:val="0"/>
          <w:szCs w:val="21"/>
        </w:rPr>
        <w:t>年</w:t>
      </w:r>
      <w:r>
        <w:rPr>
          <w:rFonts w:ascii="Times New Roman" w:hAnsi="宋体" w:hint="eastAsia"/>
          <w:color w:val="000000"/>
          <w:kern w:val="0"/>
          <w:szCs w:val="21"/>
        </w:rPr>
        <w:t>4</w:t>
      </w:r>
      <w:r>
        <w:rPr>
          <w:rFonts w:ascii="Times New Roman" w:hAnsi="宋体"/>
          <w:color w:val="000000"/>
          <w:kern w:val="0"/>
          <w:szCs w:val="21"/>
        </w:rPr>
        <w:t>月</w:t>
      </w:r>
      <w:r>
        <w:rPr>
          <w:rFonts w:ascii="Times New Roman" w:hAnsi="宋体" w:hint="eastAsia"/>
          <w:color w:val="000000"/>
          <w:kern w:val="0"/>
          <w:szCs w:val="21"/>
        </w:rPr>
        <w:t>16</w:t>
      </w:r>
      <w:r>
        <w:rPr>
          <w:rFonts w:ascii="Times New Roman" w:hAnsi="宋体"/>
          <w:color w:val="000000"/>
          <w:kern w:val="0"/>
          <w:szCs w:val="21"/>
        </w:rPr>
        <w:t>日</w:t>
      </w:r>
      <w:r>
        <w:rPr>
          <w:rFonts w:ascii="Times New Roman" w:hAnsi="宋体" w:hint="eastAsia"/>
          <w:color w:val="000000"/>
          <w:kern w:val="0"/>
          <w:szCs w:val="21"/>
        </w:rPr>
        <w:t xml:space="preserve">  </w:t>
      </w:r>
    </w:p>
    <w:p w:rsidR="0086321D" w:rsidRDefault="0086321D">
      <w:pPr>
        <w:spacing w:line="360" w:lineRule="auto"/>
        <w:rPr>
          <w:rFonts w:ascii="Times New Roman" w:hAnsi="Times New Roman"/>
        </w:rPr>
      </w:pPr>
    </w:p>
    <w:sectPr w:rsidR="0086321D" w:rsidSect="0086321D">
      <w:headerReference w:type="default" r:id="rId7"/>
      <w:pgSz w:w="11906" w:h="16838"/>
      <w:pgMar w:top="1440" w:right="1800" w:bottom="1440" w:left="1800"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21D" w:rsidRDefault="0086321D" w:rsidP="0086321D">
      <w:r>
        <w:separator/>
      </w:r>
    </w:p>
  </w:endnote>
  <w:endnote w:type="continuationSeparator" w:id="0">
    <w:p w:rsidR="0086321D" w:rsidRDefault="0086321D" w:rsidP="00863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21D" w:rsidRDefault="0086321D" w:rsidP="0086321D">
      <w:r>
        <w:separator/>
      </w:r>
    </w:p>
  </w:footnote>
  <w:footnote w:type="continuationSeparator" w:id="0">
    <w:p w:rsidR="0086321D" w:rsidRDefault="0086321D" w:rsidP="00863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1D" w:rsidRDefault="00A0268D">
    <w:pPr>
      <w:pStyle w:val="a5"/>
      <w:jc w:val="both"/>
    </w:pPr>
    <w:r>
      <w:rPr>
        <w:noProof/>
      </w:rPr>
      <w:drawing>
        <wp:inline distT="0" distB="0" distL="0" distR="0">
          <wp:extent cx="1507490" cy="192405"/>
          <wp:effectExtent l="19050" t="0" r="0" b="0"/>
          <wp:docPr id="2" name="图片 1" descr="C:\Users\nazxx\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nazxx\Desktop\10.png"/>
                  <pic:cNvPicPr>
                    <a:picLocks noChangeAspect="1" noChangeArrowheads="1"/>
                  </pic:cNvPicPr>
                </pic:nvPicPr>
                <pic:blipFill>
                  <a:blip r:embed="rId1"/>
                  <a:srcRect/>
                  <a:stretch>
                    <a:fillRect/>
                  </a:stretch>
                </pic:blipFill>
                <pic:spPr>
                  <a:xfrm>
                    <a:off x="0" y="0"/>
                    <a:ext cx="1509117" cy="193074"/>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E0OGMzOGUyZTA1OTBmNWYyMjM3MzE3YjUxYzg1NjEifQ=="/>
  </w:docVars>
  <w:rsids>
    <w:rsidRoot w:val="004B6E1D"/>
    <w:rsid w:val="00000C5A"/>
    <w:rsid w:val="0000395B"/>
    <w:rsid w:val="00012093"/>
    <w:rsid w:val="00017E52"/>
    <w:rsid w:val="0003254F"/>
    <w:rsid w:val="00033C9C"/>
    <w:rsid w:val="0004282A"/>
    <w:rsid w:val="00046F0C"/>
    <w:rsid w:val="00052FAF"/>
    <w:rsid w:val="0006734F"/>
    <w:rsid w:val="00067BD4"/>
    <w:rsid w:val="00070C76"/>
    <w:rsid w:val="00070D19"/>
    <w:rsid w:val="00070D89"/>
    <w:rsid w:val="00070E9A"/>
    <w:rsid w:val="000722B3"/>
    <w:rsid w:val="0007448A"/>
    <w:rsid w:val="00076F8D"/>
    <w:rsid w:val="00077436"/>
    <w:rsid w:val="0008401A"/>
    <w:rsid w:val="0008421E"/>
    <w:rsid w:val="000874D8"/>
    <w:rsid w:val="00090957"/>
    <w:rsid w:val="000935B2"/>
    <w:rsid w:val="00094B4B"/>
    <w:rsid w:val="00096DFA"/>
    <w:rsid w:val="000A7378"/>
    <w:rsid w:val="000A7CA3"/>
    <w:rsid w:val="000B501F"/>
    <w:rsid w:val="000B7497"/>
    <w:rsid w:val="000C0545"/>
    <w:rsid w:val="000C691B"/>
    <w:rsid w:val="000D0276"/>
    <w:rsid w:val="000E0195"/>
    <w:rsid w:val="000E0802"/>
    <w:rsid w:val="000E5437"/>
    <w:rsid w:val="000F5CB5"/>
    <w:rsid w:val="000F712B"/>
    <w:rsid w:val="00103951"/>
    <w:rsid w:val="00106349"/>
    <w:rsid w:val="00110871"/>
    <w:rsid w:val="00113A19"/>
    <w:rsid w:val="001164B7"/>
    <w:rsid w:val="00116926"/>
    <w:rsid w:val="001206A1"/>
    <w:rsid w:val="00124AE6"/>
    <w:rsid w:val="00132335"/>
    <w:rsid w:val="0013388D"/>
    <w:rsid w:val="001362F5"/>
    <w:rsid w:val="00137072"/>
    <w:rsid w:val="00141A7C"/>
    <w:rsid w:val="00142E05"/>
    <w:rsid w:val="001459DB"/>
    <w:rsid w:val="00145EA7"/>
    <w:rsid w:val="00150B56"/>
    <w:rsid w:val="0015221E"/>
    <w:rsid w:val="001564D9"/>
    <w:rsid w:val="00157E34"/>
    <w:rsid w:val="00161552"/>
    <w:rsid w:val="00162469"/>
    <w:rsid w:val="00162A76"/>
    <w:rsid w:val="001638FF"/>
    <w:rsid w:val="001645F0"/>
    <w:rsid w:val="001679C9"/>
    <w:rsid w:val="00171BB2"/>
    <w:rsid w:val="00180656"/>
    <w:rsid w:val="0018533C"/>
    <w:rsid w:val="00186126"/>
    <w:rsid w:val="00195EED"/>
    <w:rsid w:val="001A34AA"/>
    <w:rsid w:val="001A38FF"/>
    <w:rsid w:val="001A6051"/>
    <w:rsid w:val="001B36F9"/>
    <w:rsid w:val="001B3B38"/>
    <w:rsid w:val="001B44B0"/>
    <w:rsid w:val="001C2A59"/>
    <w:rsid w:val="001C545A"/>
    <w:rsid w:val="001D1E1D"/>
    <w:rsid w:val="001D68F1"/>
    <w:rsid w:val="001D6C89"/>
    <w:rsid w:val="001D74C9"/>
    <w:rsid w:val="001D7807"/>
    <w:rsid w:val="001E2E80"/>
    <w:rsid w:val="001F2E20"/>
    <w:rsid w:val="001F4A52"/>
    <w:rsid w:val="00204EA2"/>
    <w:rsid w:val="00206948"/>
    <w:rsid w:val="0021086D"/>
    <w:rsid w:val="00214045"/>
    <w:rsid w:val="002140B0"/>
    <w:rsid w:val="00215FB0"/>
    <w:rsid w:val="00216DC7"/>
    <w:rsid w:val="00216E73"/>
    <w:rsid w:val="0022114E"/>
    <w:rsid w:val="002215D6"/>
    <w:rsid w:val="00222320"/>
    <w:rsid w:val="0022686A"/>
    <w:rsid w:val="00226C79"/>
    <w:rsid w:val="0022701D"/>
    <w:rsid w:val="00231170"/>
    <w:rsid w:val="00233536"/>
    <w:rsid w:val="00233E7B"/>
    <w:rsid w:val="002363E9"/>
    <w:rsid w:val="002405DA"/>
    <w:rsid w:val="002405E7"/>
    <w:rsid w:val="002411FE"/>
    <w:rsid w:val="00243AC2"/>
    <w:rsid w:val="002443AC"/>
    <w:rsid w:val="00250E4E"/>
    <w:rsid w:val="002538CE"/>
    <w:rsid w:val="0025399C"/>
    <w:rsid w:val="00254024"/>
    <w:rsid w:val="002569C3"/>
    <w:rsid w:val="00257417"/>
    <w:rsid w:val="0026009B"/>
    <w:rsid w:val="00261C76"/>
    <w:rsid w:val="00267488"/>
    <w:rsid w:val="00270941"/>
    <w:rsid w:val="00270DB5"/>
    <w:rsid w:val="00271660"/>
    <w:rsid w:val="00272FEA"/>
    <w:rsid w:val="0027663E"/>
    <w:rsid w:val="00282415"/>
    <w:rsid w:val="00284F21"/>
    <w:rsid w:val="00285D21"/>
    <w:rsid w:val="002900E5"/>
    <w:rsid w:val="00297301"/>
    <w:rsid w:val="002A426C"/>
    <w:rsid w:val="002A54D2"/>
    <w:rsid w:val="002A5A1F"/>
    <w:rsid w:val="002A6454"/>
    <w:rsid w:val="002B1B91"/>
    <w:rsid w:val="002B3B75"/>
    <w:rsid w:val="002D01A9"/>
    <w:rsid w:val="002D1AA6"/>
    <w:rsid w:val="002D1AC7"/>
    <w:rsid w:val="002D7766"/>
    <w:rsid w:val="002E0885"/>
    <w:rsid w:val="002E6894"/>
    <w:rsid w:val="002F356B"/>
    <w:rsid w:val="002F74F6"/>
    <w:rsid w:val="002F7591"/>
    <w:rsid w:val="002F7993"/>
    <w:rsid w:val="00314B68"/>
    <w:rsid w:val="00314C7F"/>
    <w:rsid w:val="00321960"/>
    <w:rsid w:val="003250D4"/>
    <w:rsid w:val="00327D1E"/>
    <w:rsid w:val="00331848"/>
    <w:rsid w:val="00335878"/>
    <w:rsid w:val="00344C99"/>
    <w:rsid w:val="00345790"/>
    <w:rsid w:val="0034641B"/>
    <w:rsid w:val="00350E75"/>
    <w:rsid w:val="003530D8"/>
    <w:rsid w:val="003550EE"/>
    <w:rsid w:val="0035539F"/>
    <w:rsid w:val="003570F4"/>
    <w:rsid w:val="003578BE"/>
    <w:rsid w:val="00360FB4"/>
    <w:rsid w:val="00362F82"/>
    <w:rsid w:val="00364F1C"/>
    <w:rsid w:val="003676ED"/>
    <w:rsid w:val="00372B9F"/>
    <w:rsid w:val="00380CCC"/>
    <w:rsid w:val="00382088"/>
    <w:rsid w:val="00383F07"/>
    <w:rsid w:val="00390467"/>
    <w:rsid w:val="00396189"/>
    <w:rsid w:val="00397DD4"/>
    <w:rsid w:val="003A2D4B"/>
    <w:rsid w:val="003A377A"/>
    <w:rsid w:val="003C3447"/>
    <w:rsid w:val="003C5BEF"/>
    <w:rsid w:val="003D064C"/>
    <w:rsid w:val="003D2027"/>
    <w:rsid w:val="003D3DF5"/>
    <w:rsid w:val="003D7848"/>
    <w:rsid w:val="003E6B22"/>
    <w:rsid w:val="004007A5"/>
    <w:rsid w:val="00401737"/>
    <w:rsid w:val="0040295D"/>
    <w:rsid w:val="00407AB8"/>
    <w:rsid w:val="00412BD3"/>
    <w:rsid w:val="00415964"/>
    <w:rsid w:val="00424302"/>
    <w:rsid w:val="00430BDD"/>
    <w:rsid w:val="004318CF"/>
    <w:rsid w:val="00444F4F"/>
    <w:rsid w:val="004468E0"/>
    <w:rsid w:val="00446D5A"/>
    <w:rsid w:val="00453D9E"/>
    <w:rsid w:val="00461500"/>
    <w:rsid w:val="004629A8"/>
    <w:rsid w:val="00462FAA"/>
    <w:rsid w:val="00467BEE"/>
    <w:rsid w:val="0047164B"/>
    <w:rsid w:val="00487D1E"/>
    <w:rsid w:val="00491123"/>
    <w:rsid w:val="00494A7D"/>
    <w:rsid w:val="004A0F38"/>
    <w:rsid w:val="004A11CF"/>
    <w:rsid w:val="004A38AE"/>
    <w:rsid w:val="004A5FC3"/>
    <w:rsid w:val="004A7B85"/>
    <w:rsid w:val="004A7F0B"/>
    <w:rsid w:val="004B28F4"/>
    <w:rsid w:val="004B6E1D"/>
    <w:rsid w:val="004C01AD"/>
    <w:rsid w:val="004C1494"/>
    <w:rsid w:val="004C2F68"/>
    <w:rsid w:val="004C3768"/>
    <w:rsid w:val="004C53EF"/>
    <w:rsid w:val="004C7530"/>
    <w:rsid w:val="004D06F9"/>
    <w:rsid w:val="004D07C4"/>
    <w:rsid w:val="004D2541"/>
    <w:rsid w:val="004D2DE9"/>
    <w:rsid w:val="004D6D1F"/>
    <w:rsid w:val="004E0094"/>
    <w:rsid w:val="004F2125"/>
    <w:rsid w:val="004F5833"/>
    <w:rsid w:val="00500C37"/>
    <w:rsid w:val="00510579"/>
    <w:rsid w:val="00511034"/>
    <w:rsid w:val="005111DF"/>
    <w:rsid w:val="00512719"/>
    <w:rsid w:val="00514D01"/>
    <w:rsid w:val="00516BC9"/>
    <w:rsid w:val="00520737"/>
    <w:rsid w:val="00521239"/>
    <w:rsid w:val="005232BF"/>
    <w:rsid w:val="00526490"/>
    <w:rsid w:val="005269F2"/>
    <w:rsid w:val="00532112"/>
    <w:rsid w:val="00533766"/>
    <w:rsid w:val="0054390F"/>
    <w:rsid w:val="005439D3"/>
    <w:rsid w:val="00545720"/>
    <w:rsid w:val="00550C39"/>
    <w:rsid w:val="00553979"/>
    <w:rsid w:val="00562595"/>
    <w:rsid w:val="005645B4"/>
    <w:rsid w:val="00566F71"/>
    <w:rsid w:val="0056725A"/>
    <w:rsid w:val="005678F9"/>
    <w:rsid w:val="00571F81"/>
    <w:rsid w:val="00591679"/>
    <w:rsid w:val="00592295"/>
    <w:rsid w:val="0059249A"/>
    <w:rsid w:val="00593A5B"/>
    <w:rsid w:val="00594672"/>
    <w:rsid w:val="005970F7"/>
    <w:rsid w:val="005A7E36"/>
    <w:rsid w:val="005B2ACD"/>
    <w:rsid w:val="005B39F9"/>
    <w:rsid w:val="005C0FA7"/>
    <w:rsid w:val="005C38E9"/>
    <w:rsid w:val="005D3943"/>
    <w:rsid w:val="005E2485"/>
    <w:rsid w:val="005E40F3"/>
    <w:rsid w:val="005F63D0"/>
    <w:rsid w:val="0060311D"/>
    <w:rsid w:val="00604A5E"/>
    <w:rsid w:val="00611A71"/>
    <w:rsid w:val="006120EA"/>
    <w:rsid w:val="00620FEB"/>
    <w:rsid w:val="006221CA"/>
    <w:rsid w:val="00623A98"/>
    <w:rsid w:val="0062677E"/>
    <w:rsid w:val="00630F7A"/>
    <w:rsid w:val="00635A6B"/>
    <w:rsid w:val="006447F1"/>
    <w:rsid w:val="006477C4"/>
    <w:rsid w:val="00651E58"/>
    <w:rsid w:val="00654BA0"/>
    <w:rsid w:val="0066015F"/>
    <w:rsid w:val="00663833"/>
    <w:rsid w:val="00664B10"/>
    <w:rsid w:val="00671F9F"/>
    <w:rsid w:val="00671FC7"/>
    <w:rsid w:val="00672237"/>
    <w:rsid w:val="0067254B"/>
    <w:rsid w:val="0067312E"/>
    <w:rsid w:val="006735F8"/>
    <w:rsid w:val="0067566C"/>
    <w:rsid w:val="00677525"/>
    <w:rsid w:val="00680A27"/>
    <w:rsid w:val="00682ECF"/>
    <w:rsid w:val="006830F6"/>
    <w:rsid w:val="00684A9D"/>
    <w:rsid w:val="00686C6F"/>
    <w:rsid w:val="00687B7E"/>
    <w:rsid w:val="006910EA"/>
    <w:rsid w:val="006A15F3"/>
    <w:rsid w:val="006A63CB"/>
    <w:rsid w:val="006A7666"/>
    <w:rsid w:val="006B0C61"/>
    <w:rsid w:val="006B68E8"/>
    <w:rsid w:val="006C2EAB"/>
    <w:rsid w:val="006E3C7C"/>
    <w:rsid w:val="006F21C8"/>
    <w:rsid w:val="006F3A60"/>
    <w:rsid w:val="006F5443"/>
    <w:rsid w:val="006F573E"/>
    <w:rsid w:val="00703AC3"/>
    <w:rsid w:val="00704753"/>
    <w:rsid w:val="00705CFE"/>
    <w:rsid w:val="00710296"/>
    <w:rsid w:val="00711F3C"/>
    <w:rsid w:val="0071226B"/>
    <w:rsid w:val="00713958"/>
    <w:rsid w:val="007162DA"/>
    <w:rsid w:val="007248A4"/>
    <w:rsid w:val="00724A11"/>
    <w:rsid w:val="00725F09"/>
    <w:rsid w:val="00740FA6"/>
    <w:rsid w:val="007425AC"/>
    <w:rsid w:val="00744D39"/>
    <w:rsid w:val="007465EA"/>
    <w:rsid w:val="007517C5"/>
    <w:rsid w:val="007547E0"/>
    <w:rsid w:val="007620B4"/>
    <w:rsid w:val="00762292"/>
    <w:rsid w:val="00762668"/>
    <w:rsid w:val="007627F9"/>
    <w:rsid w:val="007642A1"/>
    <w:rsid w:val="00766869"/>
    <w:rsid w:val="0076754F"/>
    <w:rsid w:val="0077079F"/>
    <w:rsid w:val="00776EF3"/>
    <w:rsid w:val="00777768"/>
    <w:rsid w:val="00782587"/>
    <w:rsid w:val="00790AF3"/>
    <w:rsid w:val="00792E99"/>
    <w:rsid w:val="007940A8"/>
    <w:rsid w:val="00795888"/>
    <w:rsid w:val="00795F34"/>
    <w:rsid w:val="007976C3"/>
    <w:rsid w:val="007B170A"/>
    <w:rsid w:val="007B549A"/>
    <w:rsid w:val="007B796A"/>
    <w:rsid w:val="007C16F0"/>
    <w:rsid w:val="007C7A2D"/>
    <w:rsid w:val="007D0166"/>
    <w:rsid w:val="007D2DAA"/>
    <w:rsid w:val="007E52AB"/>
    <w:rsid w:val="007E60CE"/>
    <w:rsid w:val="007E7718"/>
    <w:rsid w:val="007F1058"/>
    <w:rsid w:val="007F3180"/>
    <w:rsid w:val="007F38C4"/>
    <w:rsid w:val="007F4D69"/>
    <w:rsid w:val="007F5D4C"/>
    <w:rsid w:val="00800E36"/>
    <w:rsid w:val="008035E2"/>
    <w:rsid w:val="00804A01"/>
    <w:rsid w:val="00805D84"/>
    <w:rsid w:val="008104DD"/>
    <w:rsid w:val="00810936"/>
    <w:rsid w:val="008232DD"/>
    <w:rsid w:val="008310EC"/>
    <w:rsid w:val="00835010"/>
    <w:rsid w:val="0084015F"/>
    <w:rsid w:val="00846E53"/>
    <w:rsid w:val="00850370"/>
    <w:rsid w:val="008530A4"/>
    <w:rsid w:val="0085624C"/>
    <w:rsid w:val="00857468"/>
    <w:rsid w:val="0085767B"/>
    <w:rsid w:val="008618DC"/>
    <w:rsid w:val="00861BDF"/>
    <w:rsid w:val="0086321D"/>
    <w:rsid w:val="008636B2"/>
    <w:rsid w:val="008654C4"/>
    <w:rsid w:val="008840B7"/>
    <w:rsid w:val="008941BE"/>
    <w:rsid w:val="0089476C"/>
    <w:rsid w:val="00895D7F"/>
    <w:rsid w:val="00895D82"/>
    <w:rsid w:val="00896910"/>
    <w:rsid w:val="00897319"/>
    <w:rsid w:val="008A1433"/>
    <w:rsid w:val="008A4E1F"/>
    <w:rsid w:val="008A6050"/>
    <w:rsid w:val="008A6639"/>
    <w:rsid w:val="008B0726"/>
    <w:rsid w:val="008B1A6C"/>
    <w:rsid w:val="008B26A1"/>
    <w:rsid w:val="008B3F5C"/>
    <w:rsid w:val="008B4C9E"/>
    <w:rsid w:val="008C0420"/>
    <w:rsid w:val="008C1EE2"/>
    <w:rsid w:val="008C5D6B"/>
    <w:rsid w:val="008D23B4"/>
    <w:rsid w:val="008E1D29"/>
    <w:rsid w:val="008E50CB"/>
    <w:rsid w:val="008E6C26"/>
    <w:rsid w:val="008F04D2"/>
    <w:rsid w:val="00901088"/>
    <w:rsid w:val="00901C90"/>
    <w:rsid w:val="00904985"/>
    <w:rsid w:val="009168C1"/>
    <w:rsid w:val="00916C6F"/>
    <w:rsid w:val="00923188"/>
    <w:rsid w:val="00926620"/>
    <w:rsid w:val="009276B8"/>
    <w:rsid w:val="00927FFA"/>
    <w:rsid w:val="00931EE3"/>
    <w:rsid w:val="00933034"/>
    <w:rsid w:val="00952EDB"/>
    <w:rsid w:val="009567B7"/>
    <w:rsid w:val="009578ED"/>
    <w:rsid w:val="00963DD7"/>
    <w:rsid w:val="00965098"/>
    <w:rsid w:val="00967858"/>
    <w:rsid w:val="009702E7"/>
    <w:rsid w:val="009704EA"/>
    <w:rsid w:val="00971553"/>
    <w:rsid w:val="0098642C"/>
    <w:rsid w:val="009876AF"/>
    <w:rsid w:val="0098794C"/>
    <w:rsid w:val="00996139"/>
    <w:rsid w:val="009A1B36"/>
    <w:rsid w:val="009A2568"/>
    <w:rsid w:val="009A35F4"/>
    <w:rsid w:val="009A38A1"/>
    <w:rsid w:val="009A4E0B"/>
    <w:rsid w:val="009A593F"/>
    <w:rsid w:val="009A5D66"/>
    <w:rsid w:val="009A7DE4"/>
    <w:rsid w:val="009B1F52"/>
    <w:rsid w:val="009B37B5"/>
    <w:rsid w:val="009C1050"/>
    <w:rsid w:val="009C2530"/>
    <w:rsid w:val="009C7511"/>
    <w:rsid w:val="009C7AB5"/>
    <w:rsid w:val="009D75EB"/>
    <w:rsid w:val="009E11C2"/>
    <w:rsid w:val="009E3F90"/>
    <w:rsid w:val="009F2F43"/>
    <w:rsid w:val="009F4BDC"/>
    <w:rsid w:val="009F5DEE"/>
    <w:rsid w:val="00A00F28"/>
    <w:rsid w:val="00A018F8"/>
    <w:rsid w:val="00A023D3"/>
    <w:rsid w:val="00A0268D"/>
    <w:rsid w:val="00A06E27"/>
    <w:rsid w:val="00A160B2"/>
    <w:rsid w:val="00A17480"/>
    <w:rsid w:val="00A20DD9"/>
    <w:rsid w:val="00A2230C"/>
    <w:rsid w:val="00A23910"/>
    <w:rsid w:val="00A24507"/>
    <w:rsid w:val="00A27100"/>
    <w:rsid w:val="00A278D4"/>
    <w:rsid w:val="00A400CE"/>
    <w:rsid w:val="00A41B1B"/>
    <w:rsid w:val="00A52FEA"/>
    <w:rsid w:val="00A55A20"/>
    <w:rsid w:val="00A55A75"/>
    <w:rsid w:val="00A56CA7"/>
    <w:rsid w:val="00A61830"/>
    <w:rsid w:val="00A709FF"/>
    <w:rsid w:val="00A71234"/>
    <w:rsid w:val="00A76FF6"/>
    <w:rsid w:val="00A80703"/>
    <w:rsid w:val="00A84CBF"/>
    <w:rsid w:val="00A97EFE"/>
    <w:rsid w:val="00AA469C"/>
    <w:rsid w:val="00AA4D3D"/>
    <w:rsid w:val="00AB445D"/>
    <w:rsid w:val="00AB7D99"/>
    <w:rsid w:val="00AC1634"/>
    <w:rsid w:val="00AC583B"/>
    <w:rsid w:val="00AC675E"/>
    <w:rsid w:val="00AC7E9A"/>
    <w:rsid w:val="00AD10D1"/>
    <w:rsid w:val="00AD330F"/>
    <w:rsid w:val="00AD4190"/>
    <w:rsid w:val="00AD50DF"/>
    <w:rsid w:val="00AD6121"/>
    <w:rsid w:val="00AE3EE3"/>
    <w:rsid w:val="00AE5002"/>
    <w:rsid w:val="00AE6AC6"/>
    <w:rsid w:val="00AF121E"/>
    <w:rsid w:val="00AF191D"/>
    <w:rsid w:val="00AF1D0A"/>
    <w:rsid w:val="00AF3012"/>
    <w:rsid w:val="00B040E7"/>
    <w:rsid w:val="00B0641C"/>
    <w:rsid w:val="00B06C41"/>
    <w:rsid w:val="00B232F6"/>
    <w:rsid w:val="00B32817"/>
    <w:rsid w:val="00B32D34"/>
    <w:rsid w:val="00B3500A"/>
    <w:rsid w:val="00B36B20"/>
    <w:rsid w:val="00B36E71"/>
    <w:rsid w:val="00B37D81"/>
    <w:rsid w:val="00B44B2D"/>
    <w:rsid w:val="00B44E9A"/>
    <w:rsid w:val="00B51687"/>
    <w:rsid w:val="00B51D6D"/>
    <w:rsid w:val="00B56DAC"/>
    <w:rsid w:val="00B616AC"/>
    <w:rsid w:val="00B66CD9"/>
    <w:rsid w:val="00B72597"/>
    <w:rsid w:val="00B72717"/>
    <w:rsid w:val="00B72D97"/>
    <w:rsid w:val="00B745FB"/>
    <w:rsid w:val="00B75E4C"/>
    <w:rsid w:val="00B80ED7"/>
    <w:rsid w:val="00B82804"/>
    <w:rsid w:val="00B85B38"/>
    <w:rsid w:val="00B900E4"/>
    <w:rsid w:val="00B922A6"/>
    <w:rsid w:val="00B96B05"/>
    <w:rsid w:val="00B96BDC"/>
    <w:rsid w:val="00BA100A"/>
    <w:rsid w:val="00BA13CD"/>
    <w:rsid w:val="00BA45F9"/>
    <w:rsid w:val="00BB013D"/>
    <w:rsid w:val="00BB4C7E"/>
    <w:rsid w:val="00BB4CC7"/>
    <w:rsid w:val="00BB7160"/>
    <w:rsid w:val="00BE334D"/>
    <w:rsid w:val="00BE5A28"/>
    <w:rsid w:val="00BE611D"/>
    <w:rsid w:val="00BE767A"/>
    <w:rsid w:val="00BF342F"/>
    <w:rsid w:val="00BF6A9E"/>
    <w:rsid w:val="00C10903"/>
    <w:rsid w:val="00C123A7"/>
    <w:rsid w:val="00C17C6F"/>
    <w:rsid w:val="00C301B0"/>
    <w:rsid w:val="00C31062"/>
    <w:rsid w:val="00C3166E"/>
    <w:rsid w:val="00C3236B"/>
    <w:rsid w:val="00C336E3"/>
    <w:rsid w:val="00C36710"/>
    <w:rsid w:val="00C36F19"/>
    <w:rsid w:val="00C44EAD"/>
    <w:rsid w:val="00C4688A"/>
    <w:rsid w:val="00C50231"/>
    <w:rsid w:val="00C505F8"/>
    <w:rsid w:val="00C53258"/>
    <w:rsid w:val="00C5573E"/>
    <w:rsid w:val="00C57CA4"/>
    <w:rsid w:val="00C71325"/>
    <w:rsid w:val="00C73488"/>
    <w:rsid w:val="00C81BB2"/>
    <w:rsid w:val="00C83B85"/>
    <w:rsid w:val="00C9071D"/>
    <w:rsid w:val="00C92F9F"/>
    <w:rsid w:val="00C934D3"/>
    <w:rsid w:val="00C93EE5"/>
    <w:rsid w:val="00C96629"/>
    <w:rsid w:val="00CA4E1F"/>
    <w:rsid w:val="00CA6829"/>
    <w:rsid w:val="00CB3D14"/>
    <w:rsid w:val="00CB4658"/>
    <w:rsid w:val="00CC0A43"/>
    <w:rsid w:val="00CC5D63"/>
    <w:rsid w:val="00CC63BA"/>
    <w:rsid w:val="00CD11B1"/>
    <w:rsid w:val="00CD6AE1"/>
    <w:rsid w:val="00CE0A17"/>
    <w:rsid w:val="00CE1BC2"/>
    <w:rsid w:val="00CE4999"/>
    <w:rsid w:val="00CE6D10"/>
    <w:rsid w:val="00CF1AE5"/>
    <w:rsid w:val="00CF2264"/>
    <w:rsid w:val="00D00AC9"/>
    <w:rsid w:val="00D0110B"/>
    <w:rsid w:val="00D03024"/>
    <w:rsid w:val="00D1325C"/>
    <w:rsid w:val="00D163B9"/>
    <w:rsid w:val="00D23B19"/>
    <w:rsid w:val="00D25426"/>
    <w:rsid w:val="00D258DC"/>
    <w:rsid w:val="00D3273B"/>
    <w:rsid w:val="00D35708"/>
    <w:rsid w:val="00D36B58"/>
    <w:rsid w:val="00D4041A"/>
    <w:rsid w:val="00D40A28"/>
    <w:rsid w:val="00D40FC0"/>
    <w:rsid w:val="00D42B02"/>
    <w:rsid w:val="00D554CE"/>
    <w:rsid w:val="00D579C5"/>
    <w:rsid w:val="00D609D9"/>
    <w:rsid w:val="00D64853"/>
    <w:rsid w:val="00D774DA"/>
    <w:rsid w:val="00D8405F"/>
    <w:rsid w:val="00D841B7"/>
    <w:rsid w:val="00D933C4"/>
    <w:rsid w:val="00D95447"/>
    <w:rsid w:val="00DA2EA4"/>
    <w:rsid w:val="00DA4BD4"/>
    <w:rsid w:val="00DB018D"/>
    <w:rsid w:val="00DB27DE"/>
    <w:rsid w:val="00DB4D3E"/>
    <w:rsid w:val="00DB7E1D"/>
    <w:rsid w:val="00DC1863"/>
    <w:rsid w:val="00DC2AAE"/>
    <w:rsid w:val="00DC7854"/>
    <w:rsid w:val="00DD5F67"/>
    <w:rsid w:val="00DD60C9"/>
    <w:rsid w:val="00DD6C2D"/>
    <w:rsid w:val="00DE1840"/>
    <w:rsid w:val="00DE6FDE"/>
    <w:rsid w:val="00DF1CD7"/>
    <w:rsid w:val="00DF2834"/>
    <w:rsid w:val="00DF713C"/>
    <w:rsid w:val="00E00076"/>
    <w:rsid w:val="00E06FE7"/>
    <w:rsid w:val="00E21913"/>
    <w:rsid w:val="00E26D0A"/>
    <w:rsid w:val="00E26EEF"/>
    <w:rsid w:val="00E339DA"/>
    <w:rsid w:val="00E33F6D"/>
    <w:rsid w:val="00E344AF"/>
    <w:rsid w:val="00E344F5"/>
    <w:rsid w:val="00E3545F"/>
    <w:rsid w:val="00E41C4E"/>
    <w:rsid w:val="00E43D81"/>
    <w:rsid w:val="00E4464C"/>
    <w:rsid w:val="00E457D0"/>
    <w:rsid w:val="00E5189B"/>
    <w:rsid w:val="00E51A32"/>
    <w:rsid w:val="00E52BF0"/>
    <w:rsid w:val="00E53525"/>
    <w:rsid w:val="00E53A46"/>
    <w:rsid w:val="00E54603"/>
    <w:rsid w:val="00E5560D"/>
    <w:rsid w:val="00E64332"/>
    <w:rsid w:val="00E80C03"/>
    <w:rsid w:val="00E85E58"/>
    <w:rsid w:val="00E92386"/>
    <w:rsid w:val="00E96321"/>
    <w:rsid w:val="00EA28B1"/>
    <w:rsid w:val="00EA4F47"/>
    <w:rsid w:val="00EB4FF8"/>
    <w:rsid w:val="00EB729E"/>
    <w:rsid w:val="00EC47B0"/>
    <w:rsid w:val="00EC60B1"/>
    <w:rsid w:val="00ED6B23"/>
    <w:rsid w:val="00EE1CA6"/>
    <w:rsid w:val="00EE501F"/>
    <w:rsid w:val="00EF1C21"/>
    <w:rsid w:val="00EF436A"/>
    <w:rsid w:val="00F04394"/>
    <w:rsid w:val="00F05A1F"/>
    <w:rsid w:val="00F074AF"/>
    <w:rsid w:val="00F11476"/>
    <w:rsid w:val="00F218F1"/>
    <w:rsid w:val="00F226A3"/>
    <w:rsid w:val="00F2664D"/>
    <w:rsid w:val="00F30E84"/>
    <w:rsid w:val="00F33E24"/>
    <w:rsid w:val="00F3621A"/>
    <w:rsid w:val="00F37594"/>
    <w:rsid w:val="00F4061B"/>
    <w:rsid w:val="00F50E3D"/>
    <w:rsid w:val="00F556BA"/>
    <w:rsid w:val="00F5593B"/>
    <w:rsid w:val="00F674B4"/>
    <w:rsid w:val="00F6780E"/>
    <w:rsid w:val="00F70E0A"/>
    <w:rsid w:val="00F71426"/>
    <w:rsid w:val="00F71C66"/>
    <w:rsid w:val="00F729C8"/>
    <w:rsid w:val="00F7447D"/>
    <w:rsid w:val="00F74ABB"/>
    <w:rsid w:val="00F74B97"/>
    <w:rsid w:val="00F813F7"/>
    <w:rsid w:val="00F86ADE"/>
    <w:rsid w:val="00F91999"/>
    <w:rsid w:val="00F94496"/>
    <w:rsid w:val="00FA2910"/>
    <w:rsid w:val="00FA2DF0"/>
    <w:rsid w:val="00FA2DFE"/>
    <w:rsid w:val="00FA4A54"/>
    <w:rsid w:val="00FA72E9"/>
    <w:rsid w:val="00FA7B7F"/>
    <w:rsid w:val="00FC0FDC"/>
    <w:rsid w:val="00FC19B1"/>
    <w:rsid w:val="00FC7880"/>
    <w:rsid w:val="00FD0D2B"/>
    <w:rsid w:val="00FE0EBF"/>
    <w:rsid w:val="00FE4B02"/>
    <w:rsid w:val="00FE742A"/>
    <w:rsid w:val="00FE7873"/>
    <w:rsid w:val="00FF1185"/>
    <w:rsid w:val="00FF6FDF"/>
    <w:rsid w:val="01AF3529"/>
    <w:rsid w:val="02571C51"/>
    <w:rsid w:val="04AE4171"/>
    <w:rsid w:val="088E69E0"/>
    <w:rsid w:val="0AC138AA"/>
    <w:rsid w:val="0F532D76"/>
    <w:rsid w:val="0FFE1A25"/>
    <w:rsid w:val="1367325A"/>
    <w:rsid w:val="1A5C5B3C"/>
    <w:rsid w:val="1D214BEF"/>
    <w:rsid w:val="20794BE0"/>
    <w:rsid w:val="2A4241B3"/>
    <w:rsid w:val="2A424FA8"/>
    <w:rsid w:val="2E4E428E"/>
    <w:rsid w:val="332078BD"/>
    <w:rsid w:val="368E559E"/>
    <w:rsid w:val="37A54577"/>
    <w:rsid w:val="38D15419"/>
    <w:rsid w:val="4B3D6AD7"/>
    <w:rsid w:val="4D3017F6"/>
    <w:rsid w:val="4D6D1C0F"/>
    <w:rsid w:val="4FB86EE8"/>
    <w:rsid w:val="54130C4C"/>
    <w:rsid w:val="55B56411"/>
    <w:rsid w:val="56191CE4"/>
    <w:rsid w:val="59AB3221"/>
    <w:rsid w:val="5C2C40EC"/>
    <w:rsid w:val="60DF620F"/>
    <w:rsid w:val="639270E6"/>
    <w:rsid w:val="6732696D"/>
    <w:rsid w:val="689835BD"/>
    <w:rsid w:val="6AC23BDD"/>
    <w:rsid w:val="6C0329C9"/>
    <w:rsid w:val="6EDF1E97"/>
    <w:rsid w:val="781A0E04"/>
    <w:rsid w:val="7E6C64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qFormat="1"/>
    <w:lsdException w:name="footer" w:semiHidden="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632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6321D"/>
    <w:rPr>
      <w:sz w:val="18"/>
      <w:szCs w:val="18"/>
    </w:rPr>
  </w:style>
  <w:style w:type="paragraph" w:styleId="a4">
    <w:name w:val="footer"/>
    <w:basedOn w:val="a"/>
    <w:link w:val="Char0"/>
    <w:autoRedefine/>
    <w:uiPriority w:val="99"/>
    <w:unhideWhenUsed/>
    <w:qFormat/>
    <w:rsid w:val="0086321D"/>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86321D"/>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autoRedefine/>
    <w:semiHidden/>
    <w:unhideWhenUsed/>
    <w:qFormat/>
    <w:rsid w:val="0086321D"/>
    <w:pPr>
      <w:snapToGrid w:val="0"/>
      <w:jc w:val="left"/>
    </w:pPr>
    <w:rPr>
      <w:rFonts w:ascii="Times New Roman" w:hAnsi="Times New Roman"/>
      <w:sz w:val="18"/>
      <w:szCs w:val="20"/>
    </w:rPr>
  </w:style>
  <w:style w:type="table" w:styleId="a7">
    <w:name w:val="Table Grid"/>
    <w:basedOn w:val="a1"/>
    <w:autoRedefine/>
    <w:uiPriority w:val="59"/>
    <w:qFormat/>
    <w:rsid w:val="008632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autoRedefine/>
    <w:uiPriority w:val="99"/>
    <w:unhideWhenUsed/>
    <w:qFormat/>
    <w:rsid w:val="0086321D"/>
    <w:rPr>
      <w:color w:val="0000FF" w:themeColor="hyperlink"/>
      <w:u w:val="single"/>
    </w:rPr>
  </w:style>
  <w:style w:type="character" w:styleId="a9">
    <w:name w:val="footnote reference"/>
    <w:basedOn w:val="a0"/>
    <w:autoRedefine/>
    <w:semiHidden/>
    <w:unhideWhenUsed/>
    <w:qFormat/>
    <w:rsid w:val="0086321D"/>
    <w:rPr>
      <w:vertAlign w:val="superscript"/>
    </w:rPr>
  </w:style>
  <w:style w:type="character" w:customStyle="1" w:styleId="Char2">
    <w:name w:val="脚注文本 Char"/>
    <w:basedOn w:val="a0"/>
    <w:link w:val="a6"/>
    <w:autoRedefine/>
    <w:semiHidden/>
    <w:qFormat/>
    <w:rsid w:val="0086321D"/>
    <w:rPr>
      <w:rFonts w:ascii="Times New Roman" w:eastAsia="宋体" w:hAnsi="Times New Roman" w:cs="Times New Roman"/>
      <w:sz w:val="18"/>
      <w:szCs w:val="20"/>
    </w:rPr>
  </w:style>
  <w:style w:type="character" w:customStyle="1" w:styleId="Char1">
    <w:name w:val="页眉 Char"/>
    <w:basedOn w:val="a0"/>
    <w:link w:val="a5"/>
    <w:autoRedefine/>
    <w:uiPriority w:val="99"/>
    <w:qFormat/>
    <w:rsid w:val="0086321D"/>
    <w:rPr>
      <w:sz w:val="18"/>
      <w:szCs w:val="18"/>
    </w:rPr>
  </w:style>
  <w:style w:type="character" w:customStyle="1" w:styleId="Char0">
    <w:name w:val="页脚 Char"/>
    <w:basedOn w:val="a0"/>
    <w:link w:val="a4"/>
    <w:autoRedefine/>
    <w:uiPriority w:val="99"/>
    <w:qFormat/>
    <w:rsid w:val="0086321D"/>
    <w:rPr>
      <w:sz w:val="18"/>
      <w:szCs w:val="18"/>
    </w:rPr>
  </w:style>
  <w:style w:type="character" w:customStyle="1" w:styleId="Char">
    <w:name w:val="批注框文本 Char"/>
    <w:basedOn w:val="a0"/>
    <w:link w:val="a3"/>
    <w:autoRedefine/>
    <w:uiPriority w:val="99"/>
    <w:semiHidden/>
    <w:qFormat/>
    <w:rsid w:val="0086321D"/>
    <w:rPr>
      <w:sz w:val="18"/>
      <w:szCs w:val="18"/>
    </w:rPr>
  </w:style>
  <w:style w:type="paragraph" w:customStyle="1" w:styleId="1">
    <w:name w:val="修订1"/>
    <w:autoRedefine/>
    <w:hidden/>
    <w:uiPriority w:val="99"/>
    <w:semiHidden/>
    <w:qFormat/>
    <w:rsid w:val="0086321D"/>
    <w:rPr>
      <w:rFonts w:ascii="Calibri" w:hAnsi="Calibri"/>
      <w:kern w:val="2"/>
      <w:sz w:val="21"/>
      <w:szCs w:val="22"/>
    </w:rPr>
  </w:style>
  <w:style w:type="paragraph" w:customStyle="1" w:styleId="2">
    <w:name w:val="修订2"/>
    <w:autoRedefine/>
    <w:hidden/>
    <w:uiPriority w:val="99"/>
    <w:semiHidden/>
    <w:qFormat/>
    <w:rsid w:val="0086321D"/>
    <w:rPr>
      <w:rFonts w:ascii="Calibri" w:hAnsi="Calibri"/>
      <w:kern w:val="2"/>
      <w:sz w:val="21"/>
      <w:szCs w:val="22"/>
    </w:rPr>
  </w:style>
  <w:style w:type="paragraph" w:customStyle="1" w:styleId="3">
    <w:name w:val="修订3"/>
    <w:autoRedefine/>
    <w:hidden/>
    <w:uiPriority w:val="99"/>
    <w:semiHidden/>
    <w:qFormat/>
    <w:rsid w:val="0086321D"/>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onfund.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20851;&#20110;&#35834;&#23433;&#36135;&#24065;&#24066;&#22330;&#22522;&#37329;&#26149;&#33410;&#20551;&#26399;&#21069;&#20004;&#20010;&#24037;&#20316;&#26085;&#26242;&#20572;&#30003;&#36141;&#21450;&#36716;&#25442;&#36716;&#20837;&#19994;&#21153;&#30340;&#20844;&#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关于诺安货币市场基金春节假期前两个工作日暂停申购及转换转入业务的公告.dot</Template>
  <TotalTime>0</TotalTime>
  <Pages>2</Pages>
  <Words>200</Words>
  <Characters>1146</Characters>
  <Application>Microsoft Office Word</Application>
  <DocSecurity>4</DocSecurity>
  <Lines>9</Lines>
  <Paragraphs>2</Paragraphs>
  <ScaleCrop>false</ScaleCrop>
  <Company>Microsoft</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huangj</dc:creator>
  <cp:lastModifiedBy>ZHONGM</cp:lastModifiedBy>
  <cp:revision>2</cp:revision>
  <cp:lastPrinted>2013-02-04T05:37:00Z</cp:lastPrinted>
  <dcterms:created xsi:type="dcterms:W3CDTF">2025-04-15T16:02:00Z</dcterms:created>
  <dcterms:modified xsi:type="dcterms:W3CDTF">2025-04-15T16:02:00Z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dType">
    <vt:lpwstr>ZT</vt:lpwstr>
  </property>
  <property fmtid="{D5CDD505-2E9C-101B-9397-08002B2CF9AE}" pid="3" name="ReportType">
    <vt:lpwstr>FC190100</vt:lpwstr>
  </property>
  <property fmtid="{D5CDD505-2E9C-101B-9397-08002B2CF9AE}" pid="4" name="XmlPath">
    <vt:lpwstr>C:\Documents and Settings\HP\桌面\xlz\临时公告word\0110\基金暂停（大额）申购（转换转入、赎回、转换转出、定期定额投资）公告模板配置文件.xml</vt:lpwstr>
  </property>
  <property fmtid="{D5CDD505-2E9C-101B-9397-08002B2CF9AE}" pid="5" name="KSOProductBuildVer">
    <vt:lpwstr>2052-12.1.0.20784</vt:lpwstr>
  </property>
  <property fmtid="{D5CDD505-2E9C-101B-9397-08002B2CF9AE}" pid="6" name="ICV">
    <vt:lpwstr>0D97C6E6546C4182A8CFA86118FDC4DF_12</vt:lpwstr>
  </property>
  <property fmtid="{D5CDD505-2E9C-101B-9397-08002B2CF9AE}" pid="7" name="KSOTemplateDocerSaveRecord">
    <vt:lpwstr>eyJoZGlkIjoiODE0OGMzOGUyZTA1OTBmNWYyMjM3MzE3YjUxYzg1NjEiLCJ1c2VySWQiOiI4MTY5MzAzNDcifQ==</vt:lpwstr>
  </property>
</Properties>
</file>