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669F4">
      <w:pPr>
        <w:spacing w:line="225" w:lineRule="atLeast"/>
        <w:jc w:val="center"/>
        <w:rPr>
          <w:rFonts w:ascii="宋体" w:hAnsi="宋体" w:cs="宋体"/>
          <w:b/>
          <w:bCs/>
          <w:sz w:val="28"/>
          <w:szCs w:val="28"/>
        </w:rPr>
      </w:pPr>
      <w:r>
        <w:rPr>
          <w:rFonts w:hint="eastAsia" w:ascii="宋体" w:hAnsi="宋体" w:cs="宋体"/>
          <w:b/>
          <w:bCs/>
          <w:sz w:val="28"/>
          <w:szCs w:val="28"/>
        </w:rPr>
        <w:t>博时基金管理有限公司关于</w:t>
      </w:r>
      <w:r>
        <w:rPr>
          <w:rFonts w:hint="eastAsia" w:ascii="宋体" w:hAnsi="宋体" w:cs="宋体"/>
          <w:b/>
          <w:bCs/>
          <w:sz w:val="28"/>
          <w:szCs w:val="28"/>
          <w:lang w:eastAsia="zh-CN"/>
        </w:rPr>
        <w:t>博时上证科创板人工智能交易型开放式指数证券投资基金发起式联接基金</w:t>
      </w:r>
      <w:r>
        <w:rPr>
          <w:rFonts w:hint="eastAsia" w:ascii="宋体" w:hAnsi="宋体" w:cs="宋体"/>
          <w:b/>
          <w:bCs/>
          <w:sz w:val="28"/>
          <w:szCs w:val="28"/>
        </w:rPr>
        <w:t>增加E类基金份额及修改基金合同和托管协议的公告</w:t>
      </w:r>
      <w:bookmarkStart w:id="3" w:name="_GoBack"/>
      <w:bookmarkEnd w:id="3"/>
    </w:p>
    <w:p w14:paraId="21108591">
      <w:pPr>
        <w:adjustRightInd w:val="0"/>
        <w:spacing w:line="360" w:lineRule="auto"/>
        <w:ind w:firstLine="480" w:firstLineChars="200"/>
        <w:rPr>
          <w:rFonts w:ascii="宋体" w:hAnsi="宋体" w:cs="宋体"/>
          <w:sz w:val="24"/>
          <w:szCs w:val="20"/>
        </w:rPr>
      </w:pPr>
    </w:p>
    <w:p w14:paraId="76455CA1">
      <w:pPr>
        <w:adjustRightInd w:val="0"/>
        <w:spacing w:line="360" w:lineRule="auto"/>
        <w:ind w:firstLine="480" w:firstLineChars="200"/>
        <w:rPr>
          <w:rFonts w:ascii="宋体" w:hAnsi="宋体" w:cs="宋体"/>
          <w:sz w:val="24"/>
          <w:szCs w:val="20"/>
        </w:rPr>
      </w:pPr>
      <w:r>
        <w:rPr>
          <w:rFonts w:hint="eastAsia" w:ascii="宋体" w:hAnsi="宋体" w:cs="宋体"/>
          <w:sz w:val="24"/>
          <w:szCs w:val="20"/>
        </w:rPr>
        <w:t>为更好地满足广大投资者的理财需求，提供更灵活的理财服务，更好地服务于投资者，根据《</w:t>
      </w:r>
      <w:r>
        <w:rPr>
          <w:rFonts w:hint="eastAsia" w:ascii="宋体" w:hAnsi="宋体" w:cs="宋体"/>
          <w:sz w:val="24"/>
          <w:lang w:eastAsia="zh-CN"/>
        </w:rPr>
        <w:t>博时上证科创板人工智能交易型开放式指数证券投资基金发起式联接基金</w:t>
      </w:r>
      <w:r>
        <w:rPr>
          <w:rFonts w:hint="eastAsia" w:ascii="宋体" w:hAnsi="宋体" w:cs="宋体"/>
          <w:sz w:val="24"/>
          <w:szCs w:val="20"/>
        </w:rPr>
        <w:t>基金合同》（以下简称“基金合同”或“《基金合同》”）的有关约定，博时基金管理有限公司（以下简称“基金管理人”或“本公司”）决定自</w:t>
      </w:r>
      <w:r>
        <w:rPr>
          <w:rFonts w:hint="eastAsia" w:ascii="宋体" w:hAnsi="宋体" w:cs="宋体"/>
          <w:sz w:val="24"/>
          <w:szCs w:val="20"/>
          <w:lang w:eastAsia="zh-CN"/>
        </w:rPr>
        <w:t>2025年4月15日</w:t>
      </w:r>
      <w:r>
        <w:rPr>
          <w:rFonts w:hint="eastAsia" w:ascii="宋体" w:hAnsi="宋体" w:cs="宋体"/>
          <w:sz w:val="24"/>
          <w:szCs w:val="20"/>
        </w:rPr>
        <w:t>起对</w:t>
      </w:r>
      <w:r>
        <w:rPr>
          <w:rFonts w:hint="eastAsia" w:ascii="宋体" w:hAnsi="宋体" w:cs="宋体"/>
          <w:sz w:val="24"/>
          <w:lang w:eastAsia="zh-CN"/>
        </w:rPr>
        <w:t>博时上证科创板人工智能交易型开放式指数证券投资基金发起式联接基金</w:t>
      </w:r>
      <w:r>
        <w:rPr>
          <w:rFonts w:hint="eastAsia" w:ascii="宋体" w:hAnsi="宋体" w:cs="宋体"/>
          <w:sz w:val="24"/>
          <w:szCs w:val="20"/>
        </w:rPr>
        <w:t xml:space="preserve">（以下简称“本基金”）增加E类基金份额。 </w:t>
      </w:r>
    </w:p>
    <w:p w14:paraId="28F9BC96">
      <w:pPr>
        <w:adjustRightInd w:val="0"/>
        <w:spacing w:line="360" w:lineRule="auto"/>
        <w:ind w:firstLine="480" w:firstLineChars="200"/>
        <w:rPr>
          <w:rFonts w:ascii="宋体" w:hAnsi="宋体" w:cs="宋体"/>
          <w:sz w:val="24"/>
          <w:szCs w:val="20"/>
        </w:rPr>
      </w:pPr>
      <w:r>
        <w:rPr>
          <w:rFonts w:hint="eastAsia" w:ascii="宋体" w:hAnsi="宋体" w:cs="宋体"/>
          <w:sz w:val="24"/>
          <w:szCs w:val="20"/>
        </w:rPr>
        <w:t>经与基金托管人</w:t>
      </w:r>
      <w:r>
        <w:rPr>
          <w:rFonts w:hint="eastAsia" w:ascii="宋体" w:hAnsi="宋体" w:cs="宋体"/>
          <w:sz w:val="24"/>
          <w:szCs w:val="20"/>
          <w:lang w:eastAsia="zh-CN"/>
        </w:rPr>
        <w:t>国投证券股份有限公司</w:t>
      </w:r>
      <w:r>
        <w:rPr>
          <w:rFonts w:hint="eastAsia" w:ascii="宋体" w:hAnsi="宋体" w:cs="宋体"/>
          <w:sz w:val="24"/>
          <w:szCs w:val="20"/>
        </w:rPr>
        <w:t>协商一致，本公司对基金合同、《</w:t>
      </w:r>
      <w:r>
        <w:rPr>
          <w:rFonts w:hint="eastAsia" w:ascii="宋体" w:hAnsi="宋体" w:cs="宋体"/>
          <w:sz w:val="24"/>
          <w:szCs w:val="20"/>
          <w:lang w:eastAsia="zh-CN"/>
        </w:rPr>
        <w:t>博时上证科创板人工智能交易型开放式指数证券投资基金发起式联接基金</w:t>
      </w:r>
      <w:r>
        <w:rPr>
          <w:rFonts w:hint="eastAsia" w:ascii="宋体" w:hAnsi="宋体" w:cs="宋体"/>
          <w:sz w:val="24"/>
          <w:szCs w:val="20"/>
        </w:rPr>
        <w:t>托管协议》（以下简称“托管协议”或“《托管协议》”）中有关内容进行相应修订，现将本基金增加E类基金份额的相关内容说明如下：</w:t>
      </w:r>
    </w:p>
    <w:p w14:paraId="3454E31A">
      <w:pPr>
        <w:adjustRightInd w:val="0"/>
        <w:spacing w:line="360" w:lineRule="auto"/>
        <w:ind w:firstLine="480" w:firstLineChars="200"/>
        <w:rPr>
          <w:rFonts w:ascii="宋体" w:hAnsi="宋体" w:cs="宋体"/>
          <w:sz w:val="24"/>
          <w:szCs w:val="20"/>
        </w:rPr>
      </w:pPr>
    </w:p>
    <w:p w14:paraId="1CF4E730">
      <w:pPr>
        <w:numPr>
          <w:ilvl w:val="0"/>
          <w:numId w:val="1"/>
        </w:numPr>
        <w:snapToGrid w:val="0"/>
        <w:spacing w:before="156" w:beforeLines="50" w:after="156" w:afterLines="50" w:line="360" w:lineRule="auto"/>
        <w:rPr>
          <w:rFonts w:ascii="宋体" w:hAnsi="宋体" w:cs="宋体"/>
          <w:b/>
          <w:color w:val="000000"/>
          <w:sz w:val="24"/>
        </w:rPr>
      </w:pPr>
      <w:r>
        <w:rPr>
          <w:rFonts w:hint="eastAsia" w:ascii="宋体" w:hAnsi="宋体" w:cs="宋体"/>
          <w:b/>
          <w:color w:val="000000"/>
          <w:sz w:val="24"/>
          <w:lang w:eastAsia="zh-CN"/>
        </w:rPr>
        <w:t>博时上证科创板人工智能交易型开放式指数证券投资基金发起式联接基金</w:t>
      </w:r>
      <w:r>
        <w:rPr>
          <w:rFonts w:hint="eastAsia" w:ascii="宋体" w:hAnsi="宋体" w:cs="宋体"/>
          <w:b/>
          <w:color w:val="000000"/>
          <w:sz w:val="24"/>
        </w:rPr>
        <w:t>增加E类基金份额方案概要</w:t>
      </w:r>
    </w:p>
    <w:p w14:paraId="409587DD">
      <w:pPr>
        <w:shd w:val="clear" w:color="auto" w:fill="FFFFFF"/>
        <w:adjustRightInd w:val="0"/>
        <w:snapToGrid w:val="0"/>
        <w:spacing w:line="360" w:lineRule="auto"/>
        <w:ind w:firstLine="482" w:firstLineChars="200"/>
        <w:jc w:val="left"/>
        <w:rPr>
          <w:rFonts w:ascii="宋体" w:hAnsi="宋体" w:cs="宋体"/>
          <w:b/>
          <w:bCs/>
          <w:color w:val="000000"/>
          <w:sz w:val="24"/>
        </w:rPr>
      </w:pPr>
      <w:r>
        <w:rPr>
          <w:rFonts w:hint="eastAsia" w:ascii="宋体" w:hAnsi="宋体" w:cs="宋体"/>
          <w:b/>
          <w:bCs/>
          <w:color w:val="000000"/>
          <w:sz w:val="24"/>
        </w:rPr>
        <w:t>（1）基金份额分类</w:t>
      </w:r>
    </w:p>
    <w:p w14:paraId="38FD8435">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本基金根据认购/申购费用、销售服务费收取方式的不同，将基金份额分为不同的类别。</w:t>
      </w:r>
    </w:p>
    <w:p w14:paraId="3E270316">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投资者认/申购时收取认/申购费用，不从本类别基金资产中计提销售服务费的基金份额，称为A类基金份额；在投资者认/申购时不收取认/申购费用，但从本类别基金资产中按照0.30%年费率计提销售服务费的基金份额，称为C类基金份额；在投资者申购时不收取申购费用，但从本类别基金资产中按照0.01%年费率计提销售服务费的基金份额，称为E类基金份额。</w:t>
      </w:r>
    </w:p>
    <w:p w14:paraId="18D783A6">
      <w:pPr>
        <w:spacing w:line="36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博时上证科创板人工智能ETF联接A类、C类和E类基金份额分别设置代码。由于基金费用的不同，博时上证科创板人工智能ETF联接A类基金份额、C类基金份额和E类基金份额将分别计算基金份额净值，计算公式为计算日各类别基金资产净值除以计算日发售在外的该类别基金份额总数。投资者可自行选择申购的基金份额类别</w:t>
      </w:r>
      <w:r>
        <w:rPr>
          <w:rFonts w:hint="eastAsia"/>
          <w:color w:val="000000" w:themeColor="text1"/>
          <w:sz w:val="24"/>
          <w:lang w:eastAsia="zh-CN"/>
          <w14:textFill>
            <w14:solidFill>
              <w14:schemeClr w14:val="tx1"/>
            </w14:solidFill>
          </w14:textFill>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32A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0E4D7DE">
            <w:pPr>
              <w:spacing w:line="360" w:lineRule="auto"/>
              <w:jc w:val="center"/>
              <w:rPr>
                <w:rFonts w:ascii="宋体" w:hAnsi="宋体" w:cs="宋体"/>
                <w:b/>
                <w:sz w:val="22"/>
                <w:szCs w:val="18"/>
              </w:rPr>
            </w:pPr>
            <w:r>
              <w:rPr>
                <w:rFonts w:hint="eastAsia" w:ascii="宋体" w:hAnsi="宋体" w:cs="宋体"/>
                <w:b/>
                <w:sz w:val="22"/>
                <w:szCs w:val="18"/>
              </w:rPr>
              <w:t>份额简称</w:t>
            </w:r>
          </w:p>
        </w:tc>
        <w:tc>
          <w:tcPr>
            <w:tcW w:w="4261" w:type="dxa"/>
          </w:tcPr>
          <w:p w14:paraId="6B3166C7">
            <w:pPr>
              <w:spacing w:line="360" w:lineRule="auto"/>
              <w:jc w:val="center"/>
              <w:rPr>
                <w:rFonts w:ascii="宋体" w:hAnsi="宋体" w:cs="宋体"/>
                <w:b/>
                <w:sz w:val="22"/>
                <w:szCs w:val="18"/>
              </w:rPr>
            </w:pPr>
            <w:r>
              <w:rPr>
                <w:rFonts w:hint="eastAsia" w:ascii="宋体" w:hAnsi="宋体" w:cs="宋体"/>
                <w:b/>
                <w:sz w:val="22"/>
                <w:szCs w:val="18"/>
              </w:rPr>
              <w:t>份额代码</w:t>
            </w:r>
          </w:p>
        </w:tc>
      </w:tr>
      <w:tr w14:paraId="784B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6106E1">
            <w:pPr>
              <w:spacing w:line="360" w:lineRule="auto"/>
              <w:jc w:val="center"/>
              <w:rPr>
                <w:rFonts w:ascii="宋体" w:hAnsi="宋体" w:cs="宋体"/>
                <w:bCs/>
                <w:sz w:val="22"/>
                <w:szCs w:val="18"/>
              </w:rPr>
            </w:pPr>
            <w:r>
              <w:rPr>
                <w:rFonts w:hint="eastAsia" w:ascii="宋体" w:hAnsi="宋体" w:eastAsia="宋体" w:cs="宋体"/>
                <w:bCs/>
                <w:i w:val="0"/>
                <w:iCs w:val="0"/>
                <w:caps w:val="0"/>
                <w:spacing w:val="0"/>
                <w:sz w:val="22"/>
                <w:szCs w:val="18"/>
                <w:shd w:val="clear"/>
              </w:rPr>
              <w:t>博时上证科创板人工智能ETF发起式联接</w:t>
            </w:r>
            <w:r>
              <w:rPr>
                <w:rFonts w:hint="eastAsia" w:ascii="宋体" w:hAnsi="宋体" w:cs="宋体"/>
                <w:bCs/>
                <w:sz w:val="22"/>
                <w:szCs w:val="18"/>
              </w:rPr>
              <w:t>A</w:t>
            </w:r>
          </w:p>
        </w:tc>
        <w:tc>
          <w:tcPr>
            <w:tcW w:w="4261" w:type="dxa"/>
          </w:tcPr>
          <w:p w14:paraId="4C81640D">
            <w:pPr>
              <w:spacing w:line="360" w:lineRule="auto"/>
              <w:jc w:val="center"/>
              <w:rPr>
                <w:rFonts w:ascii="宋体" w:hAnsi="宋体" w:cs="宋体"/>
                <w:bCs/>
                <w:sz w:val="22"/>
                <w:szCs w:val="18"/>
              </w:rPr>
            </w:pPr>
            <w:r>
              <w:rPr>
                <w:rFonts w:hint="eastAsia" w:ascii="宋体" w:hAnsi="宋体" w:eastAsia="宋体" w:cs="宋体"/>
                <w:bCs/>
                <w:i w:val="0"/>
                <w:iCs w:val="0"/>
                <w:caps w:val="0"/>
                <w:spacing w:val="0"/>
                <w:sz w:val="22"/>
                <w:szCs w:val="18"/>
                <w:shd w:val="clear"/>
              </w:rPr>
              <w:t>023520</w:t>
            </w:r>
          </w:p>
        </w:tc>
      </w:tr>
      <w:tr w14:paraId="51C5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8F8D915">
            <w:pPr>
              <w:spacing w:line="360" w:lineRule="auto"/>
              <w:jc w:val="center"/>
              <w:rPr>
                <w:rFonts w:ascii="宋体" w:hAnsi="宋体" w:cs="宋体"/>
                <w:bCs/>
                <w:sz w:val="22"/>
                <w:szCs w:val="18"/>
              </w:rPr>
            </w:pPr>
            <w:r>
              <w:rPr>
                <w:rFonts w:hint="eastAsia" w:ascii="宋体" w:hAnsi="宋体" w:eastAsia="宋体" w:cs="宋体"/>
                <w:bCs/>
                <w:i w:val="0"/>
                <w:iCs w:val="0"/>
                <w:caps w:val="0"/>
                <w:spacing w:val="0"/>
                <w:sz w:val="22"/>
                <w:szCs w:val="18"/>
                <w:shd w:val="clear"/>
              </w:rPr>
              <w:t>博时上证科创板人工智能ETF发起式联接</w:t>
            </w:r>
            <w:r>
              <w:rPr>
                <w:rFonts w:hint="eastAsia" w:ascii="宋体" w:hAnsi="宋体" w:cs="宋体"/>
                <w:bCs/>
                <w:sz w:val="22"/>
                <w:szCs w:val="18"/>
              </w:rPr>
              <w:t>C</w:t>
            </w:r>
          </w:p>
        </w:tc>
        <w:tc>
          <w:tcPr>
            <w:tcW w:w="4261" w:type="dxa"/>
          </w:tcPr>
          <w:p w14:paraId="4EF54237">
            <w:pPr>
              <w:spacing w:line="360" w:lineRule="auto"/>
              <w:jc w:val="center"/>
              <w:rPr>
                <w:rFonts w:ascii="宋体" w:hAnsi="宋体" w:cs="宋体"/>
                <w:bCs/>
                <w:sz w:val="22"/>
                <w:szCs w:val="18"/>
              </w:rPr>
            </w:pPr>
            <w:r>
              <w:rPr>
                <w:rFonts w:hint="eastAsia" w:ascii="宋体" w:hAnsi="宋体" w:eastAsia="宋体" w:cs="宋体"/>
                <w:bCs/>
                <w:i w:val="0"/>
                <w:iCs w:val="0"/>
                <w:caps w:val="0"/>
                <w:spacing w:val="0"/>
                <w:sz w:val="22"/>
                <w:szCs w:val="18"/>
                <w:shd w:val="clear"/>
              </w:rPr>
              <w:t>023521</w:t>
            </w:r>
          </w:p>
        </w:tc>
      </w:tr>
      <w:tr w14:paraId="1C4E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4144971">
            <w:pPr>
              <w:spacing w:line="360" w:lineRule="auto"/>
              <w:jc w:val="center"/>
              <w:rPr>
                <w:rFonts w:ascii="宋体" w:hAnsi="宋体" w:cs="宋体"/>
                <w:bCs/>
                <w:sz w:val="22"/>
                <w:szCs w:val="18"/>
              </w:rPr>
            </w:pPr>
            <w:r>
              <w:rPr>
                <w:rFonts w:hint="eastAsia" w:ascii="宋体" w:hAnsi="宋体" w:eastAsia="宋体" w:cs="宋体"/>
                <w:bCs/>
                <w:i w:val="0"/>
                <w:iCs w:val="0"/>
                <w:caps w:val="0"/>
                <w:spacing w:val="0"/>
                <w:sz w:val="22"/>
                <w:szCs w:val="18"/>
                <w:shd w:val="clear"/>
              </w:rPr>
              <w:t>博时上证科创板人工智能ETF发起式联接</w:t>
            </w:r>
            <w:r>
              <w:rPr>
                <w:rFonts w:hint="eastAsia" w:ascii="宋体" w:hAnsi="宋体" w:cs="宋体"/>
                <w:bCs/>
                <w:sz w:val="22"/>
                <w:szCs w:val="18"/>
              </w:rPr>
              <w:t>E</w:t>
            </w:r>
          </w:p>
        </w:tc>
        <w:tc>
          <w:tcPr>
            <w:tcW w:w="4261" w:type="dxa"/>
          </w:tcPr>
          <w:p w14:paraId="6A529443">
            <w:pPr>
              <w:spacing w:line="360" w:lineRule="auto"/>
              <w:jc w:val="center"/>
              <w:rPr>
                <w:rFonts w:hint="default" w:ascii="宋体" w:hAnsi="宋体" w:eastAsia="宋体" w:cs="宋体"/>
                <w:bCs/>
                <w:sz w:val="22"/>
                <w:szCs w:val="18"/>
                <w:lang w:val="en-US" w:eastAsia="zh-CN"/>
              </w:rPr>
            </w:pPr>
            <w:r>
              <w:rPr>
                <w:rFonts w:hint="eastAsia" w:ascii="宋体" w:hAnsi="宋体" w:cs="宋体"/>
                <w:bCs/>
                <w:sz w:val="22"/>
                <w:szCs w:val="18"/>
                <w:lang w:val="en-US" w:eastAsia="zh-CN"/>
              </w:rPr>
              <w:t>023989</w:t>
            </w:r>
          </w:p>
        </w:tc>
      </w:tr>
    </w:tbl>
    <w:p w14:paraId="235D5D9D">
      <w:pPr>
        <w:numPr>
          <w:ilvl w:val="255"/>
          <w:numId w:val="0"/>
        </w:numPr>
        <w:spacing w:line="360" w:lineRule="auto"/>
        <w:ind w:firstLine="420" w:firstLineChars="0"/>
        <w:jc w:val="left"/>
        <w:rPr>
          <w:b/>
          <w:bCs/>
          <w:color w:val="000000"/>
          <w:sz w:val="24"/>
        </w:rPr>
      </w:pPr>
      <w:r>
        <w:rPr>
          <w:rFonts w:hint="eastAsia"/>
          <w:b/>
          <w:bCs/>
          <w:color w:val="000000"/>
          <w:sz w:val="24"/>
        </w:rPr>
        <w:t>（</w:t>
      </w:r>
      <w:r>
        <w:rPr>
          <w:rFonts w:hint="eastAsia"/>
          <w:b/>
          <w:bCs/>
          <w:color w:val="000000"/>
          <w:sz w:val="24"/>
          <w:lang w:val="en-US" w:eastAsia="zh-CN"/>
        </w:rPr>
        <w:t>2</w:t>
      </w:r>
      <w:r>
        <w:rPr>
          <w:rFonts w:hint="eastAsia"/>
          <w:b/>
          <w:bCs/>
          <w:color w:val="000000"/>
          <w:sz w:val="24"/>
        </w:rPr>
        <w:t>）E类基金份额的</w:t>
      </w:r>
      <w:r>
        <w:rPr>
          <w:b/>
          <w:bCs/>
          <w:color w:val="000000"/>
          <w:sz w:val="24"/>
        </w:rPr>
        <w:t>费率</w:t>
      </w:r>
    </w:p>
    <w:p w14:paraId="26421BEC">
      <w:pPr>
        <w:numPr>
          <w:ilvl w:val="-1"/>
          <w:numId w:val="0"/>
        </w:numPr>
        <w:shd w:val="clear" w:color="auto" w:fill="FFFFFF"/>
        <w:adjustRightInd w:val="0"/>
        <w:snapToGrid w:val="0"/>
        <w:spacing w:line="360" w:lineRule="auto"/>
        <w:ind w:firstLine="420" w:firstLineChars="0"/>
        <w:jc w:val="left"/>
        <w:rPr>
          <w:color w:val="000000"/>
          <w:sz w:val="24"/>
        </w:rPr>
      </w:pPr>
      <w:r>
        <w:rPr>
          <w:rFonts w:hint="eastAsia"/>
          <w:color w:val="000000"/>
          <w:sz w:val="24"/>
          <w:lang w:val="en-US" w:eastAsia="zh-CN"/>
        </w:rPr>
        <w:t>1）</w:t>
      </w:r>
      <w:r>
        <w:rPr>
          <w:rFonts w:hint="eastAsia"/>
          <w:color w:val="000000"/>
          <w:sz w:val="24"/>
        </w:rPr>
        <w:t>申购费</w:t>
      </w:r>
    </w:p>
    <w:p w14:paraId="151FCF75">
      <w:pPr>
        <w:numPr>
          <w:ilvl w:val="255"/>
          <w:numId w:val="0"/>
        </w:numPr>
        <w:shd w:val="clear" w:color="auto" w:fill="FFFFFF"/>
        <w:adjustRightInd w:val="0"/>
        <w:snapToGrid w:val="0"/>
        <w:spacing w:line="360" w:lineRule="auto"/>
        <w:ind w:firstLine="420"/>
        <w:jc w:val="left"/>
        <w:rPr>
          <w:color w:val="000000"/>
          <w:sz w:val="24"/>
        </w:rPr>
      </w:pPr>
      <w:r>
        <w:rPr>
          <w:rFonts w:hint="eastAsia"/>
          <w:color w:val="000000"/>
          <w:sz w:val="24"/>
        </w:rPr>
        <w:t xml:space="preserve">本基金E类基金份额不收取申购费。 </w:t>
      </w:r>
    </w:p>
    <w:p w14:paraId="64DF8B64">
      <w:pPr>
        <w:numPr>
          <w:ilvl w:val="-1"/>
          <w:numId w:val="0"/>
        </w:numPr>
        <w:shd w:val="clear" w:color="auto" w:fill="FFFFFF"/>
        <w:adjustRightInd w:val="0"/>
        <w:snapToGrid w:val="0"/>
        <w:spacing w:line="360" w:lineRule="auto"/>
        <w:ind w:firstLine="420" w:firstLineChars="0"/>
        <w:jc w:val="left"/>
        <w:rPr>
          <w:color w:val="000000"/>
          <w:sz w:val="24"/>
        </w:rPr>
      </w:pPr>
      <w:r>
        <w:rPr>
          <w:rFonts w:hint="eastAsia"/>
          <w:color w:val="000000"/>
          <w:sz w:val="24"/>
          <w:lang w:val="en-US" w:eastAsia="zh-CN"/>
        </w:rPr>
        <w:t>2）</w:t>
      </w:r>
      <w:r>
        <w:rPr>
          <w:rFonts w:hint="eastAsia"/>
          <w:color w:val="000000"/>
          <w:sz w:val="24"/>
        </w:rPr>
        <w:t>赎回费</w:t>
      </w:r>
    </w:p>
    <w:p w14:paraId="69BA2FCB">
      <w:pPr>
        <w:numPr>
          <w:ilvl w:val="255"/>
          <w:numId w:val="0"/>
        </w:numPr>
        <w:shd w:val="clear" w:color="auto" w:fill="FFFFFF"/>
        <w:adjustRightInd w:val="0"/>
        <w:snapToGrid w:val="0"/>
        <w:spacing w:line="360" w:lineRule="auto"/>
        <w:ind w:firstLine="420"/>
        <w:jc w:val="left"/>
        <w:rPr>
          <w:color w:val="000000"/>
          <w:sz w:val="24"/>
        </w:rPr>
      </w:pPr>
      <w:r>
        <w:rPr>
          <w:rFonts w:hint="eastAsia"/>
          <w:color w:val="000000"/>
          <w:sz w:val="24"/>
        </w:rPr>
        <w:t>本基金E类基金份额的赎回费具体如下表所示：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8"/>
        <w:gridCol w:w="2497"/>
      </w:tblGrid>
      <w:tr w14:paraId="3C36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7A13D1CC">
            <w:pPr>
              <w:spacing w:line="360" w:lineRule="auto"/>
              <w:jc w:val="center"/>
              <w:rPr>
                <w:rFonts w:eastAsiaTheme="minorEastAsia"/>
                <w:bCs/>
                <w:szCs w:val="21"/>
              </w:rPr>
            </w:pPr>
            <w:r>
              <w:rPr>
                <w:rFonts w:hint="eastAsia" w:eastAsiaTheme="minorEastAsia"/>
                <w:bCs/>
                <w:szCs w:val="21"/>
              </w:rPr>
              <w:t>持有基金份额期限（N）</w:t>
            </w:r>
          </w:p>
        </w:tc>
        <w:tc>
          <w:tcPr>
            <w:tcW w:w="0" w:type="auto"/>
            <w:shd w:val="clear" w:color="auto" w:fill="auto"/>
            <w:vAlign w:val="center"/>
          </w:tcPr>
          <w:p w14:paraId="7258F06E">
            <w:pPr>
              <w:spacing w:line="360" w:lineRule="auto"/>
              <w:jc w:val="center"/>
              <w:rPr>
                <w:rFonts w:eastAsiaTheme="minorEastAsia"/>
                <w:bCs/>
                <w:szCs w:val="21"/>
              </w:rPr>
            </w:pPr>
            <w:r>
              <w:rPr>
                <w:rFonts w:hint="eastAsia" w:eastAsiaTheme="minorEastAsia"/>
                <w:bCs/>
                <w:szCs w:val="21"/>
              </w:rPr>
              <w:t>E类基金份额的赎回费率</w:t>
            </w:r>
          </w:p>
        </w:tc>
      </w:tr>
      <w:tr w14:paraId="73B0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3C7BB2C">
            <w:pPr>
              <w:spacing w:line="360" w:lineRule="auto"/>
              <w:jc w:val="center"/>
              <w:rPr>
                <w:rFonts w:eastAsiaTheme="minorEastAsia"/>
                <w:bCs/>
                <w:szCs w:val="21"/>
              </w:rPr>
            </w:pPr>
            <w:r>
              <w:rPr>
                <w:rFonts w:hint="eastAsia" w:eastAsiaTheme="minorEastAsia"/>
                <w:bCs/>
                <w:szCs w:val="21"/>
              </w:rPr>
              <w:t>N&lt;7天</w:t>
            </w:r>
          </w:p>
        </w:tc>
        <w:tc>
          <w:tcPr>
            <w:tcW w:w="0" w:type="auto"/>
            <w:shd w:val="clear" w:color="auto" w:fill="auto"/>
            <w:vAlign w:val="center"/>
          </w:tcPr>
          <w:p w14:paraId="4F2573A9">
            <w:pPr>
              <w:spacing w:line="360" w:lineRule="auto"/>
              <w:jc w:val="center"/>
              <w:rPr>
                <w:rFonts w:eastAsiaTheme="minorEastAsia"/>
                <w:bCs/>
                <w:szCs w:val="21"/>
              </w:rPr>
            </w:pPr>
            <w:r>
              <w:rPr>
                <w:rFonts w:hint="eastAsia" w:eastAsiaTheme="minorEastAsia"/>
                <w:bCs/>
                <w:szCs w:val="21"/>
              </w:rPr>
              <w:t>1.50%</w:t>
            </w:r>
          </w:p>
        </w:tc>
      </w:tr>
      <w:tr w14:paraId="5162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1E15ED3">
            <w:pPr>
              <w:spacing w:line="360" w:lineRule="auto"/>
              <w:jc w:val="center"/>
              <w:rPr>
                <w:rFonts w:eastAsiaTheme="minorEastAsia"/>
                <w:bCs/>
                <w:szCs w:val="21"/>
              </w:rPr>
            </w:pPr>
            <w:r>
              <w:rPr>
                <w:rFonts w:hint="eastAsia" w:eastAsiaTheme="minorEastAsia"/>
                <w:bCs/>
                <w:szCs w:val="21"/>
              </w:rPr>
              <w:t>7天≤N</w:t>
            </w:r>
          </w:p>
        </w:tc>
        <w:tc>
          <w:tcPr>
            <w:tcW w:w="0" w:type="auto"/>
            <w:shd w:val="clear" w:color="auto" w:fill="auto"/>
            <w:vAlign w:val="center"/>
          </w:tcPr>
          <w:p w14:paraId="57A1F78B">
            <w:pPr>
              <w:spacing w:line="360" w:lineRule="auto"/>
              <w:jc w:val="center"/>
              <w:rPr>
                <w:rFonts w:eastAsiaTheme="minorEastAsia"/>
                <w:bCs/>
                <w:szCs w:val="21"/>
              </w:rPr>
            </w:pPr>
            <w:r>
              <w:rPr>
                <w:rFonts w:hint="eastAsia" w:eastAsiaTheme="minorEastAsia"/>
                <w:bCs/>
                <w:szCs w:val="21"/>
              </w:rPr>
              <w:t>0.00%</w:t>
            </w:r>
          </w:p>
        </w:tc>
      </w:tr>
    </w:tbl>
    <w:p w14:paraId="1F328400">
      <w:pPr>
        <w:shd w:val="clear" w:color="auto" w:fill="FFFFFF"/>
        <w:adjustRightInd w:val="0"/>
        <w:snapToGrid w:val="0"/>
        <w:spacing w:line="360" w:lineRule="auto"/>
        <w:ind w:firstLine="420"/>
        <w:jc w:val="left"/>
        <w:rPr>
          <w:color w:val="000000"/>
          <w:sz w:val="24"/>
        </w:rPr>
      </w:pPr>
      <w:r>
        <w:rPr>
          <w:rFonts w:hint="eastAsia"/>
          <w:color w:val="000000"/>
          <w:sz w:val="24"/>
        </w:rPr>
        <w:t xml:space="preserve">本基金的赎回费用由基金份额持有人承担。对于持有期限少于7日的各类基金份额所收取的赎回费全额计入基金财产。 </w:t>
      </w:r>
    </w:p>
    <w:p w14:paraId="6AFA281A">
      <w:pPr>
        <w:numPr>
          <w:ilvl w:val="0"/>
          <w:numId w:val="2"/>
        </w:numPr>
        <w:shd w:val="clear" w:color="auto" w:fill="FFFFFF"/>
        <w:adjustRightInd w:val="0"/>
        <w:snapToGrid w:val="0"/>
        <w:spacing w:line="360" w:lineRule="auto"/>
        <w:ind w:firstLine="420"/>
        <w:jc w:val="left"/>
        <w:rPr>
          <w:rFonts w:hint="eastAsia"/>
          <w:color w:val="000000"/>
          <w:sz w:val="24"/>
        </w:rPr>
      </w:pPr>
      <w:r>
        <w:rPr>
          <w:rFonts w:hint="eastAsia"/>
          <w:color w:val="000000"/>
          <w:sz w:val="24"/>
          <w:lang w:val="en-US" w:eastAsia="zh-CN"/>
        </w:rPr>
        <w:t>其他费用</w:t>
      </w:r>
    </w:p>
    <w:p w14:paraId="1A080FCA">
      <w:pPr>
        <w:shd w:val="clear" w:color="auto" w:fill="FFFFFF"/>
        <w:adjustRightInd w:val="0"/>
        <w:snapToGrid w:val="0"/>
        <w:spacing w:line="360" w:lineRule="auto"/>
        <w:ind w:firstLine="480" w:firstLineChars="200"/>
        <w:jc w:val="left"/>
        <w:rPr>
          <w:rFonts w:hint="eastAsia"/>
          <w:color w:val="000000"/>
          <w:sz w:val="24"/>
        </w:rPr>
      </w:pPr>
      <w:r>
        <w:rPr>
          <w:rFonts w:hint="eastAsia"/>
          <w:color w:val="000000"/>
          <w:sz w:val="24"/>
        </w:rPr>
        <w:t>本基金E类基金份额的管理费率、托管费率、销售服务费率如下表所示</w:t>
      </w:r>
      <w:r>
        <w:rPr>
          <w:color w:val="000000"/>
          <w:sz w:val="24"/>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7"/>
        <w:gridCol w:w="2820"/>
      </w:tblGrid>
      <w:tr w14:paraId="716E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727" w:type="dxa"/>
            <w:vAlign w:val="center"/>
          </w:tcPr>
          <w:p w14:paraId="7EF2C1A4">
            <w:pPr>
              <w:numPr>
                <w:ilvl w:val="255"/>
                <w:numId w:val="0"/>
              </w:numPr>
              <w:spacing w:line="360" w:lineRule="auto"/>
              <w:jc w:val="center"/>
              <w:rPr>
                <w:rFonts w:hint="default" w:eastAsiaTheme="minorEastAsia"/>
                <w:b/>
                <w:bCs w:val="0"/>
                <w:sz w:val="22"/>
                <w:szCs w:val="22"/>
                <w:lang w:val="en-US" w:eastAsia="zh-CN"/>
              </w:rPr>
            </w:pPr>
            <w:r>
              <w:rPr>
                <w:rFonts w:hint="eastAsia" w:eastAsiaTheme="minorEastAsia"/>
                <w:b/>
                <w:bCs w:val="0"/>
                <w:sz w:val="22"/>
                <w:szCs w:val="22"/>
                <w:lang w:val="en-US" w:eastAsia="zh-CN"/>
              </w:rPr>
              <w:t>其他费用类型</w:t>
            </w:r>
          </w:p>
        </w:tc>
        <w:tc>
          <w:tcPr>
            <w:tcW w:w="2820" w:type="dxa"/>
            <w:vAlign w:val="center"/>
          </w:tcPr>
          <w:p w14:paraId="72DB9142">
            <w:pPr>
              <w:numPr>
                <w:ilvl w:val="255"/>
                <w:numId w:val="0"/>
              </w:numPr>
              <w:spacing w:line="360" w:lineRule="auto"/>
              <w:jc w:val="center"/>
              <w:rPr>
                <w:rFonts w:hint="eastAsia" w:eastAsiaTheme="minorEastAsia"/>
                <w:b/>
                <w:bCs w:val="0"/>
                <w:sz w:val="22"/>
                <w:szCs w:val="22"/>
                <w:lang w:val="en-US" w:eastAsia="zh-CN"/>
              </w:rPr>
            </w:pPr>
            <w:r>
              <w:rPr>
                <w:rFonts w:hint="eastAsia" w:eastAsiaTheme="minorEastAsia"/>
                <w:b/>
                <w:bCs w:val="0"/>
                <w:sz w:val="22"/>
                <w:szCs w:val="22"/>
                <w:lang w:val="en-US" w:eastAsia="zh-CN"/>
              </w:rPr>
              <w:t>年费率</w:t>
            </w:r>
          </w:p>
        </w:tc>
      </w:tr>
      <w:tr w14:paraId="57E4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727" w:type="dxa"/>
            <w:vAlign w:val="center"/>
          </w:tcPr>
          <w:p w14:paraId="6BFF5017">
            <w:pPr>
              <w:numPr>
                <w:ilvl w:val="255"/>
                <w:numId w:val="0"/>
              </w:numPr>
              <w:spacing w:line="360" w:lineRule="auto"/>
              <w:jc w:val="center"/>
              <w:rPr>
                <w:rFonts w:hint="eastAsia" w:eastAsiaTheme="minorEastAsia"/>
                <w:bCs/>
                <w:sz w:val="22"/>
                <w:szCs w:val="22"/>
                <w:lang w:eastAsia="zh-CN"/>
              </w:rPr>
            </w:pPr>
            <w:r>
              <w:rPr>
                <w:rFonts w:hint="eastAsia" w:eastAsiaTheme="minorEastAsia"/>
                <w:bCs/>
                <w:sz w:val="22"/>
                <w:szCs w:val="22"/>
              </w:rPr>
              <w:t>管理费</w:t>
            </w:r>
          </w:p>
        </w:tc>
        <w:tc>
          <w:tcPr>
            <w:tcW w:w="2820" w:type="dxa"/>
            <w:vAlign w:val="center"/>
          </w:tcPr>
          <w:p w14:paraId="61341803">
            <w:pPr>
              <w:numPr>
                <w:ilvl w:val="255"/>
                <w:numId w:val="0"/>
              </w:numPr>
              <w:spacing w:line="360" w:lineRule="auto"/>
              <w:jc w:val="center"/>
              <w:rPr>
                <w:rFonts w:eastAsiaTheme="minorEastAsia"/>
                <w:bCs/>
                <w:sz w:val="22"/>
                <w:szCs w:val="22"/>
              </w:rPr>
            </w:pPr>
            <w:r>
              <w:rPr>
                <w:rFonts w:hint="eastAsia" w:eastAsiaTheme="minorEastAsia"/>
                <w:bCs/>
                <w:sz w:val="22"/>
                <w:szCs w:val="22"/>
              </w:rPr>
              <w:t>0.</w:t>
            </w:r>
            <w:r>
              <w:rPr>
                <w:rFonts w:hint="eastAsia" w:eastAsiaTheme="minorEastAsia"/>
                <w:bCs/>
                <w:sz w:val="22"/>
                <w:szCs w:val="22"/>
                <w:lang w:val="en-US" w:eastAsia="zh-CN"/>
              </w:rPr>
              <w:t>50</w:t>
            </w:r>
            <w:r>
              <w:rPr>
                <w:rFonts w:hint="eastAsia" w:eastAsiaTheme="minorEastAsia"/>
                <w:bCs/>
                <w:sz w:val="22"/>
                <w:szCs w:val="22"/>
              </w:rPr>
              <w:t>%</w:t>
            </w:r>
          </w:p>
        </w:tc>
      </w:tr>
      <w:tr w14:paraId="71E4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7" w:type="dxa"/>
            <w:vAlign w:val="center"/>
          </w:tcPr>
          <w:p w14:paraId="409DA196">
            <w:pPr>
              <w:numPr>
                <w:ilvl w:val="255"/>
                <w:numId w:val="0"/>
              </w:numPr>
              <w:spacing w:line="360" w:lineRule="auto"/>
              <w:jc w:val="center"/>
              <w:rPr>
                <w:rFonts w:eastAsiaTheme="minorEastAsia"/>
                <w:bCs/>
                <w:sz w:val="22"/>
                <w:szCs w:val="22"/>
              </w:rPr>
            </w:pPr>
            <w:r>
              <w:rPr>
                <w:rFonts w:hint="eastAsia" w:eastAsiaTheme="minorEastAsia"/>
                <w:bCs/>
                <w:sz w:val="22"/>
                <w:szCs w:val="22"/>
              </w:rPr>
              <w:t>托管费</w:t>
            </w:r>
          </w:p>
        </w:tc>
        <w:tc>
          <w:tcPr>
            <w:tcW w:w="2820" w:type="dxa"/>
            <w:vAlign w:val="center"/>
          </w:tcPr>
          <w:p w14:paraId="42B44996">
            <w:pPr>
              <w:numPr>
                <w:ilvl w:val="255"/>
                <w:numId w:val="0"/>
              </w:numPr>
              <w:spacing w:line="360" w:lineRule="auto"/>
              <w:jc w:val="center"/>
              <w:rPr>
                <w:rFonts w:eastAsiaTheme="minorEastAsia"/>
                <w:bCs/>
                <w:sz w:val="22"/>
                <w:szCs w:val="22"/>
              </w:rPr>
            </w:pPr>
            <w:r>
              <w:rPr>
                <w:rFonts w:hint="eastAsia" w:eastAsiaTheme="minorEastAsia"/>
                <w:bCs/>
                <w:sz w:val="22"/>
                <w:szCs w:val="22"/>
              </w:rPr>
              <w:t>0.</w:t>
            </w:r>
            <w:r>
              <w:rPr>
                <w:rFonts w:hint="eastAsia" w:eastAsiaTheme="minorEastAsia"/>
                <w:bCs/>
                <w:sz w:val="22"/>
                <w:szCs w:val="22"/>
                <w:lang w:val="en-US" w:eastAsia="zh-CN"/>
              </w:rPr>
              <w:t>10</w:t>
            </w:r>
            <w:r>
              <w:rPr>
                <w:rFonts w:hint="eastAsia" w:eastAsiaTheme="minorEastAsia"/>
                <w:bCs/>
                <w:sz w:val="22"/>
                <w:szCs w:val="22"/>
              </w:rPr>
              <w:t>%</w:t>
            </w:r>
          </w:p>
        </w:tc>
      </w:tr>
      <w:tr w14:paraId="6963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7" w:type="dxa"/>
            <w:vAlign w:val="center"/>
          </w:tcPr>
          <w:p w14:paraId="1605C78A">
            <w:pPr>
              <w:numPr>
                <w:ilvl w:val="255"/>
                <w:numId w:val="0"/>
              </w:numPr>
              <w:spacing w:line="360" w:lineRule="auto"/>
              <w:jc w:val="center"/>
              <w:rPr>
                <w:rFonts w:eastAsiaTheme="minorEastAsia"/>
                <w:bCs/>
                <w:sz w:val="22"/>
                <w:szCs w:val="22"/>
              </w:rPr>
            </w:pPr>
            <w:r>
              <w:rPr>
                <w:rFonts w:hint="eastAsia" w:eastAsiaTheme="minorEastAsia"/>
                <w:bCs/>
                <w:sz w:val="22"/>
                <w:szCs w:val="22"/>
              </w:rPr>
              <w:t>销售服务费</w:t>
            </w:r>
          </w:p>
        </w:tc>
        <w:tc>
          <w:tcPr>
            <w:tcW w:w="2820" w:type="dxa"/>
            <w:vAlign w:val="center"/>
          </w:tcPr>
          <w:p w14:paraId="69ACBFB8">
            <w:pPr>
              <w:numPr>
                <w:ilvl w:val="255"/>
                <w:numId w:val="0"/>
              </w:numPr>
              <w:spacing w:line="360" w:lineRule="auto"/>
              <w:jc w:val="center"/>
              <w:rPr>
                <w:rFonts w:eastAsiaTheme="minorEastAsia"/>
                <w:bCs/>
                <w:sz w:val="22"/>
                <w:szCs w:val="22"/>
              </w:rPr>
            </w:pPr>
            <w:r>
              <w:rPr>
                <w:rFonts w:hint="eastAsia" w:eastAsiaTheme="minorEastAsia"/>
                <w:bCs/>
                <w:sz w:val="22"/>
                <w:szCs w:val="22"/>
              </w:rPr>
              <w:t>0.01%</w:t>
            </w:r>
          </w:p>
        </w:tc>
      </w:tr>
    </w:tbl>
    <w:p w14:paraId="4AF1553E">
      <w:pPr>
        <w:numPr>
          <w:ilvl w:val="0"/>
          <w:numId w:val="2"/>
        </w:numPr>
        <w:shd w:val="clear" w:color="auto" w:fill="FFFFFF"/>
        <w:adjustRightInd w:val="0"/>
        <w:snapToGrid w:val="0"/>
        <w:spacing w:line="360" w:lineRule="auto"/>
        <w:ind w:left="0" w:leftChars="0" w:firstLine="420" w:firstLineChars="0"/>
        <w:jc w:val="left"/>
        <w:rPr>
          <w:rFonts w:hint="eastAsia"/>
          <w:color w:val="000000"/>
          <w:sz w:val="24"/>
          <w:lang w:val="en-US" w:eastAsia="zh-CN"/>
        </w:rPr>
      </w:pPr>
      <w:r>
        <w:rPr>
          <w:rFonts w:hint="eastAsia"/>
          <w:color w:val="000000"/>
          <w:sz w:val="24"/>
          <w:lang w:val="en-US" w:eastAsia="zh-CN"/>
        </w:rPr>
        <w:t>申购与赎回数额限制</w:t>
      </w:r>
    </w:p>
    <w:p w14:paraId="4C417A94">
      <w:pPr>
        <w:shd w:val="clear" w:color="auto" w:fill="FFFFFF"/>
        <w:adjustRightInd w:val="0"/>
        <w:snapToGrid w:val="0"/>
        <w:spacing w:line="360" w:lineRule="auto"/>
        <w:ind w:firstLine="480" w:firstLineChars="200"/>
        <w:jc w:val="left"/>
        <w:rPr>
          <w:color w:val="000000"/>
          <w:sz w:val="24"/>
        </w:rPr>
      </w:pPr>
      <w:r>
        <w:rPr>
          <w:rFonts w:hint="eastAsia"/>
          <w:color w:val="000000"/>
          <w:sz w:val="24"/>
        </w:rPr>
        <w:t>本基金E类基金份额的申购、赎回数量限制以及账户最低持有基金份额余额限制如下表所示</w:t>
      </w:r>
      <w:r>
        <w:rPr>
          <w:color w:val="000000"/>
          <w:sz w:val="24"/>
        </w:rPr>
        <w:t>：</w:t>
      </w:r>
    </w:p>
    <w:tbl>
      <w:tblPr>
        <w:tblStyle w:val="11"/>
        <w:tblW w:w="0" w:type="auto"/>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2040"/>
        <w:gridCol w:w="3670"/>
      </w:tblGrid>
      <w:tr w14:paraId="6586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vMerge w:val="restart"/>
            <w:vAlign w:val="center"/>
          </w:tcPr>
          <w:p w14:paraId="6C3668FF">
            <w:pPr>
              <w:numPr>
                <w:ilvl w:val="255"/>
                <w:numId w:val="0"/>
              </w:numPr>
              <w:spacing w:line="240" w:lineRule="auto"/>
              <w:jc w:val="center"/>
              <w:rPr>
                <w:rFonts w:eastAsiaTheme="minorEastAsia"/>
                <w:b/>
                <w:bCs w:val="0"/>
                <w:sz w:val="22"/>
                <w:szCs w:val="22"/>
              </w:rPr>
            </w:pPr>
            <w:r>
              <w:rPr>
                <w:rFonts w:eastAsiaTheme="minorEastAsia"/>
                <w:b/>
                <w:bCs w:val="0"/>
                <w:sz w:val="22"/>
                <w:szCs w:val="22"/>
              </w:rPr>
              <w:t>首次</w:t>
            </w:r>
            <w:r>
              <w:rPr>
                <w:rFonts w:hint="eastAsia" w:eastAsiaTheme="minorEastAsia"/>
                <w:b/>
                <w:bCs w:val="0"/>
                <w:sz w:val="22"/>
                <w:szCs w:val="22"/>
                <w:lang w:val="en-US" w:eastAsia="zh-CN"/>
              </w:rPr>
              <w:t>/追加</w:t>
            </w:r>
            <w:r>
              <w:rPr>
                <w:rFonts w:eastAsiaTheme="minorEastAsia"/>
                <w:b/>
                <w:bCs w:val="0"/>
                <w:sz w:val="22"/>
                <w:szCs w:val="22"/>
              </w:rPr>
              <w:t>申购</w:t>
            </w:r>
          </w:p>
          <w:p w14:paraId="097D729A">
            <w:pPr>
              <w:numPr>
                <w:ilvl w:val="255"/>
                <w:numId w:val="0"/>
              </w:numPr>
              <w:spacing w:line="240" w:lineRule="auto"/>
              <w:jc w:val="center"/>
              <w:rPr>
                <w:rFonts w:hint="default" w:eastAsiaTheme="minorEastAsia"/>
                <w:b/>
                <w:bCs w:val="0"/>
                <w:sz w:val="22"/>
                <w:szCs w:val="22"/>
                <w:lang w:val="en-US" w:eastAsia="zh-CN"/>
              </w:rPr>
            </w:pPr>
            <w:r>
              <w:rPr>
                <w:rFonts w:eastAsiaTheme="minorEastAsia"/>
                <w:b/>
                <w:bCs w:val="0"/>
                <w:sz w:val="22"/>
                <w:szCs w:val="22"/>
              </w:rPr>
              <w:t>最低金额</w:t>
            </w:r>
          </w:p>
        </w:tc>
        <w:tc>
          <w:tcPr>
            <w:tcW w:w="2040" w:type="dxa"/>
            <w:vAlign w:val="center"/>
          </w:tcPr>
          <w:p w14:paraId="322E5078">
            <w:pPr>
              <w:numPr>
                <w:ilvl w:val="255"/>
                <w:numId w:val="0"/>
              </w:numPr>
              <w:spacing w:line="360" w:lineRule="auto"/>
              <w:jc w:val="center"/>
              <w:rPr>
                <w:rFonts w:hint="default" w:eastAsiaTheme="minorEastAsia"/>
                <w:b/>
                <w:bCs w:val="0"/>
                <w:sz w:val="22"/>
                <w:szCs w:val="22"/>
                <w:lang w:val="en-US" w:eastAsia="zh-CN"/>
              </w:rPr>
            </w:pPr>
            <w:r>
              <w:rPr>
                <w:rFonts w:eastAsiaTheme="minorEastAsia"/>
                <w:b/>
                <w:bCs w:val="0"/>
                <w:sz w:val="22"/>
                <w:szCs w:val="22"/>
              </w:rPr>
              <w:t>代销机构</w:t>
            </w:r>
          </w:p>
        </w:tc>
        <w:tc>
          <w:tcPr>
            <w:tcW w:w="3670" w:type="dxa"/>
            <w:vAlign w:val="center"/>
          </w:tcPr>
          <w:p w14:paraId="4E577443">
            <w:pPr>
              <w:numPr>
                <w:ilvl w:val="255"/>
                <w:numId w:val="0"/>
              </w:numPr>
              <w:spacing w:line="360" w:lineRule="auto"/>
              <w:jc w:val="center"/>
              <w:rPr>
                <w:rFonts w:hint="default" w:eastAsiaTheme="minorEastAsia"/>
                <w:bCs/>
                <w:sz w:val="22"/>
                <w:szCs w:val="22"/>
                <w:lang w:val="en-US" w:eastAsia="zh-CN"/>
              </w:rPr>
            </w:pPr>
            <w:r>
              <w:rPr>
                <w:rFonts w:hint="eastAsia" w:eastAsiaTheme="minorEastAsia"/>
                <w:bCs/>
                <w:sz w:val="22"/>
                <w:szCs w:val="22"/>
                <w:lang w:val="en-US" w:eastAsia="zh-CN"/>
              </w:rPr>
              <w:t>1.00</w:t>
            </w:r>
            <w:r>
              <w:rPr>
                <w:rFonts w:eastAsiaTheme="minorEastAsia"/>
                <w:bCs/>
                <w:sz w:val="22"/>
                <w:szCs w:val="22"/>
              </w:rPr>
              <w:t>元</w:t>
            </w:r>
          </w:p>
        </w:tc>
      </w:tr>
      <w:tr w14:paraId="0DE7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256" w:type="dxa"/>
            <w:vMerge w:val="continue"/>
            <w:vAlign w:val="center"/>
          </w:tcPr>
          <w:p w14:paraId="29D86F75">
            <w:pPr>
              <w:numPr>
                <w:ilvl w:val="255"/>
                <w:numId w:val="0"/>
              </w:numPr>
              <w:spacing w:line="360" w:lineRule="auto"/>
              <w:jc w:val="center"/>
              <w:rPr>
                <w:rFonts w:hint="default" w:eastAsiaTheme="minorEastAsia"/>
                <w:b/>
                <w:bCs w:val="0"/>
                <w:sz w:val="22"/>
                <w:szCs w:val="22"/>
                <w:lang w:val="en-US" w:eastAsia="zh-CN"/>
              </w:rPr>
            </w:pPr>
          </w:p>
        </w:tc>
        <w:tc>
          <w:tcPr>
            <w:tcW w:w="2040" w:type="dxa"/>
            <w:vAlign w:val="center"/>
          </w:tcPr>
          <w:p w14:paraId="35B9BAF4">
            <w:pPr>
              <w:numPr>
                <w:ilvl w:val="255"/>
                <w:numId w:val="0"/>
              </w:numPr>
              <w:spacing w:line="360" w:lineRule="auto"/>
              <w:jc w:val="center"/>
              <w:rPr>
                <w:rFonts w:hint="default" w:eastAsiaTheme="minorEastAsia"/>
                <w:b/>
                <w:bCs w:val="0"/>
                <w:sz w:val="22"/>
                <w:szCs w:val="22"/>
                <w:lang w:val="en-US" w:eastAsia="zh-CN"/>
              </w:rPr>
            </w:pPr>
            <w:r>
              <w:rPr>
                <w:rFonts w:eastAsiaTheme="minorEastAsia"/>
                <w:b/>
                <w:bCs w:val="0"/>
                <w:sz w:val="22"/>
                <w:szCs w:val="22"/>
              </w:rPr>
              <w:t>直销机构</w:t>
            </w:r>
          </w:p>
        </w:tc>
        <w:tc>
          <w:tcPr>
            <w:tcW w:w="3670" w:type="dxa"/>
            <w:vAlign w:val="center"/>
          </w:tcPr>
          <w:p w14:paraId="22618B90">
            <w:pPr>
              <w:numPr>
                <w:ilvl w:val="255"/>
                <w:numId w:val="0"/>
              </w:numPr>
              <w:spacing w:line="360" w:lineRule="auto"/>
              <w:jc w:val="center"/>
              <w:rPr>
                <w:rFonts w:hint="default" w:eastAsiaTheme="minorEastAsia"/>
                <w:bCs/>
                <w:sz w:val="22"/>
                <w:szCs w:val="22"/>
                <w:lang w:val="en-US" w:eastAsia="zh-CN"/>
              </w:rPr>
            </w:pPr>
            <w:r>
              <w:rPr>
                <w:rFonts w:hint="eastAsia" w:eastAsiaTheme="minorEastAsia"/>
                <w:bCs/>
                <w:sz w:val="22"/>
                <w:szCs w:val="22"/>
                <w:lang w:val="en-US" w:eastAsia="zh-CN"/>
              </w:rPr>
              <w:t>1.00</w:t>
            </w:r>
            <w:r>
              <w:rPr>
                <w:rFonts w:eastAsiaTheme="minorEastAsia"/>
                <w:bCs/>
                <w:sz w:val="22"/>
                <w:szCs w:val="22"/>
              </w:rPr>
              <w:t>元</w:t>
            </w:r>
          </w:p>
        </w:tc>
      </w:tr>
      <w:tr w14:paraId="1087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6" w:type="dxa"/>
            <w:gridSpan w:val="2"/>
            <w:vAlign w:val="center"/>
          </w:tcPr>
          <w:p w14:paraId="6B969368">
            <w:pPr>
              <w:numPr>
                <w:ilvl w:val="255"/>
                <w:numId w:val="0"/>
              </w:numPr>
              <w:spacing w:line="360" w:lineRule="auto"/>
              <w:jc w:val="center"/>
              <w:rPr>
                <w:rFonts w:eastAsiaTheme="minorEastAsia"/>
                <w:b/>
                <w:bCs w:val="0"/>
                <w:sz w:val="22"/>
                <w:szCs w:val="22"/>
              </w:rPr>
            </w:pPr>
            <w:r>
              <w:rPr>
                <w:rFonts w:hint="default" w:ascii="Times New Roman" w:hAnsi="Times New Roman" w:cs="Times New Roman" w:eastAsiaTheme="minorEastAsia"/>
                <w:b/>
                <w:sz w:val="22"/>
                <w:szCs w:val="22"/>
              </w:rPr>
              <w:t>单笔</w:t>
            </w:r>
            <w:r>
              <w:rPr>
                <w:rFonts w:hint="default" w:ascii="Times New Roman" w:hAnsi="Times New Roman" w:cs="Times New Roman" w:eastAsiaTheme="minorEastAsia"/>
                <w:b/>
                <w:sz w:val="22"/>
                <w:szCs w:val="22"/>
                <w:lang w:val="en-US" w:eastAsia="zh-CN"/>
              </w:rPr>
              <w:t>最低</w:t>
            </w:r>
            <w:r>
              <w:rPr>
                <w:rFonts w:hint="default" w:ascii="Times New Roman" w:hAnsi="Times New Roman" w:cs="Times New Roman" w:eastAsiaTheme="minorEastAsia"/>
                <w:b/>
                <w:sz w:val="22"/>
                <w:szCs w:val="22"/>
              </w:rPr>
              <w:t>赎回申请</w:t>
            </w:r>
          </w:p>
        </w:tc>
        <w:tc>
          <w:tcPr>
            <w:tcW w:w="3670" w:type="dxa"/>
          </w:tcPr>
          <w:p w14:paraId="7AE9797B">
            <w:pPr>
              <w:numPr>
                <w:ilvl w:val="255"/>
                <w:numId w:val="0"/>
              </w:numPr>
              <w:spacing w:line="240" w:lineRule="auto"/>
              <w:jc w:val="center"/>
              <w:rPr>
                <w:rFonts w:eastAsiaTheme="minorEastAsia"/>
                <w:bCs/>
                <w:sz w:val="22"/>
                <w:szCs w:val="22"/>
              </w:rPr>
            </w:pPr>
            <w:r>
              <w:rPr>
                <w:rFonts w:hint="eastAsia" w:eastAsiaTheme="minorEastAsia"/>
                <w:bCs/>
                <w:sz w:val="22"/>
                <w:szCs w:val="22"/>
                <w:lang w:val="en-US" w:eastAsia="zh-CN"/>
              </w:rPr>
              <w:t>1.00</w:t>
            </w:r>
            <w:r>
              <w:rPr>
                <w:rFonts w:eastAsiaTheme="minorEastAsia"/>
                <w:bCs/>
                <w:sz w:val="22"/>
                <w:szCs w:val="22"/>
              </w:rPr>
              <w:t>份</w:t>
            </w:r>
          </w:p>
        </w:tc>
      </w:tr>
      <w:tr w14:paraId="4E54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6" w:type="dxa"/>
            <w:gridSpan w:val="2"/>
            <w:vAlign w:val="center"/>
          </w:tcPr>
          <w:p w14:paraId="0A169569">
            <w:pPr>
              <w:numPr>
                <w:ilvl w:val="255"/>
                <w:numId w:val="0"/>
              </w:numPr>
              <w:spacing w:line="360" w:lineRule="auto"/>
              <w:jc w:val="center"/>
              <w:rPr>
                <w:rFonts w:hint="default" w:eastAsiaTheme="minorEastAsia"/>
                <w:b/>
                <w:bCs w:val="0"/>
                <w:sz w:val="22"/>
                <w:szCs w:val="22"/>
                <w:lang w:val="en-US" w:eastAsia="zh-CN"/>
              </w:rPr>
            </w:pPr>
            <w:r>
              <w:rPr>
                <w:rFonts w:eastAsiaTheme="minorEastAsia"/>
                <w:b/>
                <w:bCs w:val="0"/>
                <w:sz w:val="22"/>
                <w:szCs w:val="22"/>
              </w:rPr>
              <w:t>账户最低基金份额余额</w:t>
            </w:r>
          </w:p>
        </w:tc>
        <w:tc>
          <w:tcPr>
            <w:tcW w:w="3670" w:type="dxa"/>
          </w:tcPr>
          <w:p w14:paraId="42E59A90">
            <w:pPr>
              <w:numPr>
                <w:ilvl w:val="255"/>
                <w:numId w:val="0"/>
              </w:numPr>
              <w:spacing w:line="240" w:lineRule="auto"/>
              <w:jc w:val="center"/>
              <w:rPr>
                <w:rFonts w:eastAsiaTheme="minorEastAsia"/>
                <w:bCs/>
                <w:sz w:val="22"/>
                <w:szCs w:val="22"/>
              </w:rPr>
            </w:pPr>
            <w:r>
              <w:rPr>
                <w:rFonts w:hint="eastAsia" w:eastAsiaTheme="minorEastAsia"/>
                <w:bCs/>
                <w:sz w:val="22"/>
                <w:szCs w:val="22"/>
                <w:lang w:val="en-US" w:eastAsia="zh-CN"/>
              </w:rPr>
              <w:t>1.00</w:t>
            </w:r>
            <w:r>
              <w:rPr>
                <w:rFonts w:eastAsiaTheme="minorEastAsia"/>
                <w:bCs/>
                <w:sz w:val="22"/>
                <w:szCs w:val="22"/>
              </w:rPr>
              <w:t>份</w:t>
            </w:r>
          </w:p>
          <w:p w14:paraId="09AD1AAA">
            <w:pPr>
              <w:numPr>
                <w:ilvl w:val="255"/>
                <w:numId w:val="0"/>
              </w:numPr>
              <w:spacing w:line="240" w:lineRule="auto"/>
              <w:jc w:val="center"/>
              <w:rPr>
                <w:rFonts w:hint="default" w:eastAsiaTheme="minorEastAsia"/>
                <w:bCs/>
                <w:sz w:val="22"/>
                <w:szCs w:val="22"/>
                <w:lang w:val="en-US" w:eastAsia="zh-CN"/>
              </w:rPr>
            </w:pPr>
            <w:r>
              <w:rPr>
                <w:rFonts w:eastAsiaTheme="minorEastAsia"/>
                <w:bCs/>
                <w:sz w:val="22"/>
                <w:szCs w:val="22"/>
              </w:rPr>
              <w:t>（按交易账户统计）</w:t>
            </w:r>
          </w:p>
        </w:tc>
      </w:tr>
    </w:tbl>
    <w:p w14:paraId="70D4490A">
      <w:pPr>
        <w:shd w:val="clear" w:color="auto" w:fill="FFFFFF"/>
        <w:adjustRightInd w:val="0"/>
        <w:snapToGrid w:val="0"/>
        <w:spacing w:before="0" w:beforeLines="-2147483648" w:line="360" w:lineRule="auto"/>
        <w:ind w:firstLine="480" w:firstLineChars="200"/>
        <w:jc w:val="left"/>
        <w:rPr>
          <w:color w:val="000000"/>
          <w:szCs w:val="21"/>
        </w:rPr>
      </w:pPr>
      <w:r>
        <w:rPr>
          <w:color w:val="000000"/>
          <w:sz w:val="24"/>
        </w:rPr>
        <w:t>各代销机构对上述首次申购及追加申购的最低金额有其他规定的，以各代销机构的业务规定为准。</w:t>
      </w:r>
    </w:p>
    <w:p w14:paraId="718F733B">
      <w:pPr>
        <w:spacing w:line="480" w:lineRule="auto"/>
        <w:ind w:firstLine="482" w:firstLineChars="200"/>
        <w:rPr>
          <w:rFonts w:ascii="宋体" w:hAnsi="宋体" w:cs="宋体"/>
          <w:b/>
          <w:bCs/>
          <w:sz w:val="24"/>
        </w:rPr>
      </w:pPr>
      <w:r>
        <w:rPr>
          <w:rFonts w:hint="eastAsia" w:ascii="宋体" w:hAnsi="宋体" w:cs="宋体"/>
          <w:b/>
          <w:bCs/>
          <w:sz w:val="24"/>
        </w:rPr>
        <w:t>（3）其他</w:t>
      </w:r>
    </w:p>
    <w:p w14:paraId="3C6C864E">
      <w:pPr>
        <w:spacing w:line="360" w:lineRule="auto"/>
        <w:ind w:firstLine="480" w:firstLineChars="200"/>
        <w:rPr>
          <w:rFonts w:ascii="宋体" w:hAnsi="宋体" w:cs="宋体"/>
          <w:sz w:val="24"/>
        </w:rPr>
      </w:pPr>
      <w:r>
        <w:rPr>
          <w:rFonts w:hint="eastAsia" w:ascii="宋体" w:hAnsi="宋体" w:cs="宋体"/>
          <w:sz w:val="24"/>
        </w:rPr>
        <w:t>本基金新增E类基金份额将在特定销售渠道进行销售。本基金E类基金份额的销售机构为博时基金管理有限公司直销中心等，本公司有权根据具体情况增加或者调整销售机构，敬请关注基金管理人网站。</w:t>
      </w:r>
    </w:p>
    <w:p w14:paraId="2322B188">
      <w:pPr>
        <w:spacing w:line="360" w:lineRule="auto"/>
        <w:ind w:firstLine="480" w:firstLineChars="200"/>
        <w:rPr>
          <w:rFonts w:ascii="宋体" w:hAnsi="宋体" w:cs="宋体"/>
          <w:sz w:val="24"/>
        </w:rPr>
      </w:pPr>
      <w:r>
        <w:rPr>
          <w:rFonts w:hint="eastAsia" w:ascii="宋体" w:hAnsi="宋体" w:cs="宋体"/>
          <w:sz w:val="24"/>
        </w:rPr>
        <w:t>1）本基金E类基金份额自生效之日起开通申购、赎回业务；</w:t>
      </w:r>
    </w:p>
    <w:p w14:paraId="7FC1DA66">
      <w:pPr>
        <w:spacing w:line="360" w:lineRule="auto"/>
        <w:ind w:firstLine="480" w:firstLineChars="200"/>
        <w:rPr>
          <w:rFonts w:ascii="宋体" w:hAnsi="宋体" w:cs="宋体"/>
          <w:sz w:val="24"/>
        </w:rPr>
      </w:pPr>
      <w:r>
        <w:rPr>
          <w:rFonts w:hint="eastAsia" w:ascii="宋体" w:hAnsi="宋体" w:cs="宋体"/>
          <w:sz w:val="24"/>
        </w:rPr>
        <w:t>2）本基金E类基金份额自生效之日起开通转换、定期定额投资业务。</w:t>
      </w:r>
    </w:p>
    <w:p w14:paraId="137CE959">
      <w:pPr>
        <w:adjustRightInd w:val="0"/>
        <w:spacing w:line="360" w:lineRule="auto"/>
        <w:ind w:firstLine="480" w:firstLineChars="200"/>
        <w:rPr>
          <w:rFonts w:ascii="宋体" w:hAnsi="宋体" w:cs="宋体"/>
          <w:sz w:val="24"/>
        </w:rPr>
      </w:pPr>
      <w:r>
        <w:rPr>
          <w:rFonts w:hint="eastAsia" w:ascii="宋体" w:hAnsi="宋体" w:cs="宋体"/>
          <w:sz w:val="24"/>
        </w:rPr>
        <w:t>本基金管理人有权根据实际情况对上述业务进行调整并按照《公开募集证券投资基金信息披露管理办法》进行披露。</w:t>
      </w:r>
    </w:p>
    <w:p w14:paraId="1888F00F">
      <w:pPr>
        <w:adjustRightInd w:val="0"/>
        <w:spacing w:line="360" w:lineRule="auto"/>
        <w:ind w:firstLine="480" w:firstLineChars="200"/>
        <w:rPr>
          <w:rFonts w:ascii="宋体" w:hAnsi="宋体" w:cs="宋体"/>
          <w:sz w:val="24"/>
        </w:rPr>
      </w:pPr>
    </w:p>
    <w:p w14:paraId="4B1762B4">
      <w:pPr>
        <w:numPr>
          <w:ilvl w:val="0"/>
          <w:numId w:val="1"/>
        </w:numPr>
        <w:snapToGrid w:val="0"/>
        <w:spacing w:before="156" w:beforeLines="50" w:after="156" w:afterLines="50" w:line="360" w:lineRule="auto"/>
        <w:rPr>
          <w:rFonts w:ascii="宋体" w:hAnsi="宋体" w:cs="宋体"/>
          <w:b/>
          <w:color w:val="000000"/>
          <w:sz w:val="24"/>
        </w:rPr>
      </w:pPr>
      <w:r>
        <w:rPr>
          <w:rFonts w:hint="eastAsia" w:ascii="宋体" w:hAnsi="宋体" w:cs="宋体"/>
          <w:b/>
          <w:color w:val="000000"/>
          <w:sz w:val="24"/>
        </w:rPr>
        <w:t>对《基金合同》及《托管协议》有关内容的修订</w:t>
      </w:r>
    </w:p>
    <w:p w14:paraId="38FFA6D9">
      <w:pPr>
        <w:adjustRightInd w:val="0"/>
        <w:snapToGrid w:val="0"/>
        <w:spacing w:line="360" w:lineRule="auto"/>
        <w:ind w:firstLine="480"/>
        <w:rPr>
          <w:rFonts w:ascii="宋体" w:hAnsi="宋体" w:cs="宋体"/>
          <w:color w:val="000000"/>
          <w:sz w:val="24"/>
        </w:rPr>
      </w:pPr>
      <w:r>
        <w:rPr>
          <w:rFonts w:hint="eastAsia" w:ascii="宋体" w:hAnsi="宋体" w:cs="宋体"/>
          <w:sz w:val="24"/>
        </w:rPr>
        <w:t>本次增加E类基金份额不损害基金份额持有人的实质利益，该等修改无须召开基金份额持有人大会</w:t>
      </w:r>
      <w:r>
        <w:rPr>
          <w:rFonts w:hint="eastAsia" w:ascii="宋体" w:hAnsi="宋体" w:cs="宋体"/>
          <w:color w:val="000000"/>
          <w:sz w:val="24"/>
        </w:rPr>
        <w:t>，基金合同和托管协议的具体修订内容详见附件。</w:t>
      </w:r>
    </w:p>
    <w:p w14:paraId="00D1CDB9">
      <w:pPr>
        <w:shd w:val="clear" w:color="auto" w:fill="FFFFFF"/>
        <w:adjustRightInd w:val="0"/>
        <w:snapToGrid w:val="0"/>
        <w:spacing w:line="360" w:lineRule="auto"/>
        <w:ind w:firstLine="480" w:firstLineChars="200"/>
        <w:rPr>
          <w:rFonts w:ascii="宋体" w:hAnsi="宋体" w:cs="宋体"/>
          <w:color w:val="000000"/>
          <w:sz w:val="24"/>
        </w:rPr>
      </w:pPr>
    </w:p>
    <w:p w14:paraId="1DC73C21">
      <w:pPr>
        <w:spacing w:line="360" w:lineRule="auto"/>
        <w:rPr>
          <w:rFonts w:ascii="宋体" w:hAnsi="宋体" w:cs="宋体"/>
          <w:b/>
          <w:bCs/>
          <w:color w:val="000000"/>
          <w:sz w:val="24"/>
        </w:rPr>
      </w:pPr>
      <w:r>
        <w:rPr>
          <w:rFonts w:hint="eastAsia" w:ascii="宋体" w:hAnsi="宋体" w:cs="宋体"/>
          <w:b/>
          <w:bCs/>
          <w:color w:val="000000"/>
          <w:sz w:val="24"/>
        </w:rPr>
        <w:t>三、重要提示</w:t>
      </w:r>
    </w:p>
    <w:p w14:paraId="205C1C0D">
      <w:pPr>
        <w:shd w:val="clear" w:color="auto" w:fill="FFFFFF"/>
        <w:adjustRightInd w:val="0"/>
        <w:snapToGrid w:val="0"/>
        <w:spacing w:line="360" w:lineRule="auto"/>
        <w:ind w:firstLine="480" w:firstLineChars="200"/>
        <w:rPr>
          <w:rFonts w:ascii="宋体" w:hAnsi="宋体" w:cs="宋体"/>
          <w:sz w:val="24"/>
        </w:rPr>
      </w:pPr>
      <w:r>
        <w:rPr>
          <w:rFonts w:hint="eastAsia" w:ascii="宋体" w:hAnsi="宋体" w:cs="宋体"/>
          <w:sz w:val="24"/>
        </w:rPr>
        <w:t>1、基金管理人已履行了规定程序，符合相关法律法规的规定及基金合同的约定。修改后的基金合同、托管协议自</w:t>
      </w:r>
      <w:r>
        <w:rPr>
          <w:rFonts w:hint="eastAsia" w:ascii="宋体" w:hAnsi="宋体" w:cs="宋体"/>
          <w:sz w:val="24"/>
          <w:lang w:eastAsia="zh-CN"/>
        </w:rPr>
        <w:t>2025年4月15日</w:t>
      </w:r>
      <w:r>
        <w:rPr>
          <w:rFonts w:hint="eastAsia" w:ascii="宋体" w:hAnsi="宋体" w:cs="宋体"/>
          <w:sz w:val="24"/>
        </w:rPr>
        <w:t>起生效，并与本公告同日登载于基金管理人网站（www.bosera.com）及中国证监会基金电子披露网站（http://eid.csrc.gov.cn/fund）。</w:t>
      </w:r>
    </w:p>
    <w:p w14:paraId="15754477">
      <w:pPr>
        <w:shd w:val="clear" w:color="auto" w:fill="FFFFFF"/>
        <w:adjustRightInd w:val="0"/>
        <w:snapToGrid w:val="0"/>
        <w:spacing w:line="360" w:lineRule="auto"/>
        <w:ind w:firstLine="480" w:firstLineChars="200"/>
        <w:rPr>
          <w:rFonts w:ascii="宋体" w:hAnsi="宋体" w:cs="宋体"/>
          <w:sz w:val="24"/>
        </w:rPr>
      </w:pPr>
      <w:r>
        <w:rPr>
          <w:rFonts w:hint="eastAsia" w:ascii="宋体" w:hAnsi="宋体" w:cs="宋体"/>
          <w:sz w:val="24"/>
        </w:rPr>
        <w:t>2、招募说明书、产品资料概要涉及前述内容的，将一并修改，并依照《公开募集证券投资基金信息披露管理办法》的有关规定在规定媒介上公告。</w:t>
      </w:r>
    </w:p>
    <w:p w14:paraId="00B91789">
      <w:pPr>
        <w:shd w:val="clear" w:color="auto" w:fill="FFFFFF"/>
        <w:adjustRightInd w:val="0"/>
        <w:snapToGrid w:val="0"/>
        <w:spacing w:line="360" w:lineRule="auto"/>
        <w:ind w:firstLine="480" w:firstLineChars="200"/>
        <w:rPr>
          <w:rFonts w:ascii="宋体" w:hAnsi="宋体" w:cs="宋体"/>
          <w:sz w:val="24"/>
        </w:rPr>
      </w:pPr>
    </w:p>
    <w:p w14:paraId="3B687408">
      <w:pPr>
        <w:shd w:val="clear" w:color="auto" w:fill="FFFFFF"/>
        <w:adjustRightInd w:val="0"/>
        <w:snapToGrid w:val="0"/>
        <w:spacing w:line="360" w:lineRule="auto"/>
        <w:rPr>
          <w:rFonts w:ascii="宋体" w:hAnsi="宋体" w:cs="宋体"/>
          <w:b/>
          <w:bCs/>
          <w:color w:val="000000"/>
          <w:sz w:val="24"/>
        </w:rPr>
      </w:pPr>
      <w:r>
        <w:rPr>
          <w:rFonts w:hint="eastAsia" w:ascii="宋体" w:hAnsi="宋体" w:cs="宋体"/>
          <w:b/>
          <w:bCs/>
          <w:color w:val="000000"/>
          <w:sz w:val="24"/>
        </w:rPr>
        <w:t>四、其他事项</w:t>
      </w:r>
    </w:p>
    <w:p w14:paraId="65763018">
      <w:pPr>
        <w:shd w:val="clear" w:color="auto" w:fill="FFFFFF"/>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1、投资者可通过以下途径咨询有关详情</w:t>
      </w:r>
    </w:p>
    <w:p w14:paraId="0453CBF4">
      <w:pPr>
        <w:shd w:val="clear" w:color="auto" w:fill="FFFFFF"/>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（1）本公司客户服务电话：95105568（全国免长途话费）；</w:t>
      </w:r>
    </w:p>
    <w:p w14:paraId="25C91BAE">
      <w:pPr>
        <w:shd w:val="clear" w:color="auto" w:fill="FFFFFF"/>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（2）本公司网址：</w:t>
      </w:r>
      <w:r>
        <w:fldChar w:fldCharType="begin"/>
      </w:r>
      <w:r>
        <w:instrText xml:space="preserve"> HYPERLINK "http://www.bosera.com" </w:instrText>
      </w:r>
      <w:r>
        <w:fldChar w:fldCharType="separate"/>
      </w:r>
      <w:r>
        <w:rPr>
          <w:rStyle w:val="13"/>
          <w:rFonts w:hint="eastAsia" w:ascii="宋体" w:hAnsi="宋体" w:cs="宋体"/>
          <w:sz w:val="24"/>
        </w:rPr>
        <w:t>http://www.bosera.com</w:t>
      </w:r>
      <w:r>
        <w:rPr>
          <w:rStyle w:val="13"/>
          <w:rFonts w:hint="eastAsia" w:ascii="宋体" w:hAnsi="宋体" w:cs="宋体"/>
          <w:sz w:val="24"/>
        </w:rPr>
        <w:fldChar w:fldCharType="end"/>
      </w:r>
      <w:r>
        <w:rPr>
          <w:rFonts w:hint="eastAsia" w:ascii="宋体" w:hAnsi="宋体" w:cs="宋体"/>
          <w:color w:val="000000"/>
          <w:sz w:val="24"/>
        </w:rPr>
        <w:t>。</w:t>
      </w:r>
    </w:p>
    <w:p w14:paraId="53C3C98F">
      <w:pPr>
        <w:shd w:val="clear" w:color="auto" w:fill="FFFFFF"/>
        <w:adjustRightInd w:val="0"/>
        <w:snapToGrid w:val="0"/>
        <w:spacing w:line="360" w:lineRule="auto"/>
        <w:ind w:firstLine="480" w:firstLineChars="200"/>
        <w:rPr>
          <w:rFonts w:ascii="宋体" w:hAnsi="宋体" w:cs="宋体"/>
          <w:sz w:val="24"/>
        </w:rPr>
      </w:pPr>
      <w:r>
        <w:rPr>
          <w:rFonts w:hint="eastAsia" w:ascii="宋体" w:hAnsi="宋体" w:cs="宋体"/>
          <w:color w:val="000000"/>
          <w:sz w:val="24"/>
        </w:rPr>
        <w:t>2、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销售机构适当性意见的基础上，根据自身的风险承受能力、投资期限和投资目标，对基金投资作出独立决策，选择合适的基金产品。</w:t>
      </w:r>
    </w:p>
    <w:p w14:paraId="1A9D5C24">
      <w:pPr>
        <w:adjustRightInd w:val="0"/>
        <w:snapToGrid w:val="0"/>
        <w:spacing w:line="360" w:lineRule="auto"/>
        <w:ind w:firstLine="480"/>
        <w:rPr>
          <w:rFonts w:ascii="宋体" w:hAnsi="宋体" w:cs="宋体"/>
          <w:sz w:val="24"/>
        </w:rPr>
      </w:pPr>
      <w:r>
        <w:rPr>
          <w:rFonts w:hint="eastAsia" w:ascii="宋体" w:hAnsi="宋体" w:cs="宋体"/>
          <w:sz w:val="24"/>
        </w:rPr>
        <w:t>特此公告。</w:t>
      </w:r>
    </w:p>
    <w:p w14:paraId="339857FD">
      <w:pPr>
        <w:spacing w:line="360" w:lineRule="auto"/>
        <w:ind w:firstLine="480" w:firstLineChars="200"/>
        <w:jc w:val="right"/>
        <w:rPr>
          <w:rFonts w:ascii="宋体" w:hAnsi="宋体" w:cs="宋体"/>
          <w:kern w:val="0"/>
          <w:sz w:val="24"/>
        </w:rPr>
      </w:pPr>
      <w:r>
        <w:rPr>
          <w:rFonts w:hint="eastAsia" w:ascii="宋体" w:hAnsi="宋体" w:cs="宋体"/>
          <w:kern w:val="0"/>
          <w:sz w:val="24"/>
        </w:rPr>
        <w:t>博时基金管理有限公司</w:t>
      </w:r>
    </w:p>
    <w:p w14:paraId="0AAFC052">
      <w:pPr>
        <w:wordWrap w:val="0"/>
        <w:spacing w:line="360" w:lineRule="auto"/>
        <w:ind w:firstLine="480" w:firstLineChars="200"/>
        <w:jc w:val="right"/>
        <w:rPr>
          <w:rFonts w:hint="eastAsia" w:ascii="宋体" w:hAnsi="宋体" w:eastAsia="宋体" w:cs="宋体"/>
          <w:kern w:val="0"/>
          <w:sz w:val="24"/>
          <w:lang w:eastAsia="zh-CN"/>
        </w:rPr>
        <w:sectPr>
          <w:pgSz w:w="11906" w:h="16838"/>
          <w:pgMar w:top="1440" w:right="1800" w:bottom="1440" w:left="1800" w:header="851" w:footer="992" w:gutter="0"/>
          <w:cols w:space="425" w:num="1"/>
          <w:docGrid w:type="lines" w:linePitch="312" w:charSpace="0"/>
        </w:sectPr>
      </w:pPr>
      <w:r>
        <w:rPr>
          <w:rFonts w:hint="eastAsia" w:ascii="宋体" w:hAnsi="宋体" w:cs="宋体"/>
          <w:kern w:val="0"/>
          <w:sz w:val="24"/>
          <w:lang w:eastAsia="zh-CN"/>
        </w:rPr>
        <w:t>2025年4月12日</w:t>
      </w:r>
    </w:p>
    <w:p w14:paraId="1008DD3E">
      <w:pPr>
        <w:snapToGrid w:val="0"/>
        <w:spacing w:before="156" w:beforeLines="50" w:after="156" w:afterLines="50" w:line="360" w:lineRule="auto"/>
        <w:rPr>
          <w:rFonts w:hint="eastAsia" w:ascii="宋体" w:hAnsi="宋体" w:eastAsia="宋体" w:cs="宋体"/>
          <w:b/>
          <w:color w:val="000000"/>
          <w:sz w:val="24"/>
          <w:szCs w:val="24"/>
        </w:rPr>
      </w:pPr>
      <w:r>
        <w:rPr>
          <w:rFonts w:hint="eastAsia" w:ascii="宋体" w:hAnsi="宋体" w:eastAsia="宋体" w:cs="宋体"/>
          <w:b/>
          <w:kern w:val="0"/>
          <w:sz w:val="24"/>
          <w:szCs w:val="24"/>
        </w:rPr>
        <w:t>附件1：</w:t>
      </w:r>
      <w:r>
        <w:rPr>
          <w:rFonts w:hint="eastAsia" w:ascii="宋体" w:hAnsi="宋体" w:eastAsia="宋体" w:cs="宋体"/>
          <w:b/>
          <w:color w:val="000000"/>
          <w:sz w:val="24"/>
          <w:szCs w:val="24"/>
        </w:rPr>
        <w:t>《基金合同》修订对照表</w:t>
      </w:r>
    </w:p>
    <w:tbl>
      <w:tblPr>
        <w:tblStyle w:val="10"/>
        <w:tblW w:w="9068" w:type="dxa"/>
        <w:tblInd w:w="-318" w:type="dxa"/>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127"/>
        <w:gridCol w:w="4127"/>
      </w:tblGrid>
      <w:tr w14:paraId="46862EE8">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B696F8A">
            <w:pPr>
              <w:jc w:val="center"/>
              <w:rPr>
                <w:rFonts w:hint="eastAsia" w:ascii="宋体" w:hAnsi="宋体" w:eastAsia="宋体" w:cs="宋体"/>
                <w:b/>
                <w:sz w:val="24"/>
                <w:szCs w:val="24"/>
              </w:rPr>
            </w:pPr>
            <w:r>
              <w:rPr>
                <w:rFonts w:hint="eastAsia" w:ascii="宋体" w:hAnsi="宋体" w:eastAsia="宋体" w:cs="宋体"/>
                <w:b/>
                <w:sz w:val="24"/>
                <w:szCs w:val="24"/>
              </w:rPr>
              <w:t>章节</w:t>
            </w:r>
          </w:p>
        </w:tc>
        <w:tc>
          <w:tcPr>
            <w:tcW w:w="4127" w:type="dxa"/>
            <w:vAlign w:val="center"/>
          </w:tcPr>
          <w:p w14:paraId="676E6D51">
            <w:pPr>
              <w:spacing w:line="0" w:lineRule="atLeast"/>
              <w:rPr>
                <w:rFonts w:hint="eastAsia" w:ascii="宋体" w:hAnsi="宋体" w:eastAsia="宋体" w:cs="宋体"/>
                <w:b/>
                <w:sz w:val="24"/>
                <w:szCs w:val="24"/>
              </w:rPr>
            </w:pPr>
            <w:r>
              <w:rPr>
                <w:rFonts w:hint="eastAsia" w:ascii="宋体" w:hAnsi="宋体" w:eastAsia="宋体" w:cs="宋体"/>
                <w:b/>
                <w:sz w:val="24"/>
                <w:szCs w:val="24"/>
              </w:rPr>
              <w:t>原基金合同内容</w:t>
            </w:r>
          </w:p>
        </w:tc>
        <w:tc>
          <w:tcPr>
            <w:tcW w:w="4127" w:type="dxa"/>
            <w:vAlign w:val="center"/>
          </w:tcPr>
          <w:p w14:paraId="10CA4F9F">
            <w:pPr>
              <w:spacing w:line="0" w:lineRule="atLeast"/>
              <w:rPr>
                <w:rFonts w:hint="eastAsia" w:ascii="宋体" w:hAnsi="宋体" w:eastAsia="宋体" w:cs="宋体"/>
                <w:b/>
                <w:sz w:val="24"/>
                <w:szCs w:val="24"/>
              </w:rPr>
            </w:pPr>
            <w:r>
              <w:rPr>
                <w:rFonts w:hint="eastAsia" w:ascii="宋体" w:hAnsi="宋体" w:eastAsia="宋体" w:cs="宋体"/>
                <w:b/>
                <w:sz w:val="24"/>
                <w:szCs w:val="24"/>
              </w:rPr>
              <w:t>修订后基金合同内容</w:t>
            </w:r>
          </w:p>
        </w:tc>
      </w:tr>
      <w:tr w14:paraId="62D5257F">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14" w:type="dxa"/>
          </w:tcPr>
          <w:p w14:paraId="0BA08DE0">
            <w:pPr>
              <w:rPr>
                <w:rFonts w:hint="eastAsia" w:ascii="宋体" w:hAnsi="宋体" w:eastAsia="宋体" w:cs="宋体"/>
                <w:b/>
                <w:sz w:val="24"/>
                <w:szCs w:val="24"/>
              </w:rPr>
            </w:pPr>
            <w:r>
              <w:rPr>
                <w:rFonts w:hint="eastAsia" w:ascii="宋体" w:hAnsi="宋体" w:eastAsia="宋体" w:cs="宋体"/>
                <w:b/>
                <w:bCs/>
                <w:sz w:val="24"/>
                <w:szCs w:val="24"/>
              </w:rPr>
              <w:t>第二部分  释义</w:t>
            </w:r>
          </w:p>
        </w:tc>
        <w:tc>
          <w:tcPr>
            <w:tcW w:w="4127" w:type="dxa"/>
          </w:tcPr>
          <w:p w14:paraId="66BE03CE">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61.C类基金份额：指在投资者认/申购时不收取认/申购费用，但从本类别基金资产中计提销售服务费的基金份额类别</w:t>
            </w:r>
          </w:p>
          <w:p w14:paraId="0F5D03C5">
            <w:pPr>
              <w:spacing w:line="0" w:lineRule="atLeast"/>
              <w:rPr>
                <w:rFonts w:hint="eastAsia" w:ascii="宋体" w:hAnsi="宋体" w:eastAsia="宋体" w:cs="宋体"/>
                <w:sz w:val="24"/>
                <w:szCs w:val="24"/>
              </w:rPr>
            </w:pPr>
          </w:p>
        </w:tc>
        <w:tc>
          <w:tcPr>
            <w:tcW w:w="4127" w:type="dxa"/>
          </w:tcPr>
          <w:p w14:paraId="11804AA5">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61.C类基金份额：</w:t>
            </w:r>
            <w:r>
              <w:rPr>
                <w:rFonts w:hint="eastAsia" w:asciiTheme="minorEastAsia" w:hAnsiTheme="minorEastAsia" w:eastAsiaTheme="minorEastAsia"/>
                <w:sz w:val="24"/>
              </w:rPr>
              <w:t>指在投资者认</w:t>
            </w:r>
            <w:r>
              <w:rPr>
                <w:rFonts w:asciiTheme="minorEastAsia" w:hAnsiTheme="minorEastAsia" w:eastAsiaTheme="minorEastAsia"/>
                <w:sz w:val="24"/>
              </w:rPr>
              <w:t>/</w:t>
            </w:r>
            <w:r>
              <w:rPr>
                <w:rFonts w:hint="eastAsia" w:asciiTheme="minorEastAsia" w:hAnsiTheme="minorEastAsia" w:eastAsiaTheme="minorEastAsia"/>
                <w:sz w:val="24"/>
              </w:rPr>
              <w:t>申购时不收取认</w:t>
            </w:r>
            <w:r>
              <w:rPr>
                <w:rFonts w:asciiTheme="minorEastAsia" w:hAnsiTheme="minorEastAsia" w:eastAsiaTheme="minorEastAsia"/>
                <w:sz w:val="24"/>
              </w:rPr>
              <w:t>/</w:t>
            </w:r>
            <w:r>
              <w:rPr>
                <w:rFonts w:hint="eastAsia" w:asciiTheme="minorEastAsia" w:hAnsiTheme="minorEastAsia" w:eastAsiaTheme="minorEastAsia"/>
                <w:sz w:val="24"/>
              </w:rPr>
              <w:t>申购费用，但</w:t>
            </w:r>
            <w:r>
              <w:rPr>
                <w:rFonts w:asciiTheme="minorEastAsia" w:hAnsiTheme="minorEastAsia" w:eastAsiaTheme="minorEastAsia"/>
                <w:sz w:val="24"/>
              </w:rPr>
              <w:t>从本类别基金资产中</w:t>
            </w:r>
            <w:r>
              <w:rPr>
                <w:rFonts w:hint="eastAsia"/>
                <w:b/>
                <w:bCs w:val="0"/>
                <w:sz w:val="24"/>
                <w:u w:val="single"/>
              </w:rPr>
              <w:t>按照0.30%年费率</w:t>
            </w:r>
            <w:r>
              <w:rPr>
                <w:rFonts w:asciiTheme="minorEastAsia" w:hAnsiTheme="minorEastAsia" w:eastAsiaTheme="minorEastAsia"/>
                <w:sz w:val="24"/>
              </w:rPr>
              <w:t>计提销售服务费的</w:t>
            </w:r>
            <w:r>
              <w:rPr>
                <w:rFonts w:hint="eastAsia" w:asciiTheme="minorEastAsia" w:hAnsiTheme="minorEastAsia" w:eastAsiaTheme="minorEastAsia"/>
                <w:sz w:val="24"/>
              </w:rPr>
              <w:t>基金份额类别</w:t>
            </w:r>
          </w:p>
          <w:p w14:paraId="4A1F2412">
            <w:pPr>
              <w:adjustRightInd w:val="0"/>
              <w:snapToGrid w:val="0"/>
              <w:spacing w:line="360" w:lineRule="auto"/>
              <w:rPr>
                <w:rFonts w:hint="eastAsia" w:ascii="宋体" w:hAnsi="宋体" w:eastAsia="宋体" w:cs="宋体"/>
                <w:b/>
                <w:bCs/>
                <w:sz w:val="24"/>
                <w:szCs w:val="24"/>
                <w:u w:val="single"/>
              </w:rPr>
            </w:pPr>
            <w:r>
              <w:rPr>
                <w:rFonts w:hint="eastAsia" w:ascii="宋体" w:hAnsi="宋体" w:eastAsia="宋体" w:cs="宋体"/>
                <w:b/>
                <w:bCs/>
                <w:sz w:val="24"/>
                <w:szCs w:val="24"/>
                <w:u w:val="single"/>
              </w:rPr>
              <w:t>62.E类基金份额：指在投资者申购时不收取申购费用，但从本类别基金资产中按照0.01%年费率计提销售服务费的基金份额类别</w:t>
            </w:r>
          </w:p>
          <w:p w14:paraId="05FD1A34">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（后续序号相应调整）</w:t>
            </w:r>
          </w:p>
        </w:tc>
      </w:tr>
      <w:tr w14:paraId="3D578028">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814" w:type="dxa"/>
          </w:tcPr>
          <w:p w14:paraId="2013D613">
            <w:pPr>
              <w:rPr>
                <w:rFonts w:hint="eastAsia" w:ascii="宋体" w:hAnsi="宋体" w:eastAsia="宋体" w:cs="宋体"/>
                <w:b/>
                <w:sz w:val="24"/>
                <w:szCs w:val="24"/>
              </w:rPr>
            </w:pPr>
            <w:r>
              <w:rPr>
                <w:rFonts w:hint="eastAsia" w:ascii="宋体" w:hAnsi="宋体" w:eastAsia="宋体" w:cs="宋体"/>
                <w:b/>
                <w:sz w:val="24"/>
                <w:szCs w:val="24"/>
              </w:rPr>
              <w:t>第三部分    基金的基本情况</w:t>
            </w:r>
          </w:p>
        </w:tc>
        <w:tc>
          <w:tcPr>
            <w:tcW w:w="4127" w:type="dxa"/>
          </w:tcPr>
          <w:p w14:paraId="1FDC431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九、基金份额类别设置</w:t>
            </w:r>
          </w:p>
          <w:p w14:paraId="24BA1F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本基金根据认购/申购费用、销售服务费收取方式的不同，将基金份额分为不同的类别。</w:t>
            </w:r>
          </w:p>
          <w:p w14:paraId="4D6CAE67">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cs="Arial" w:asciiTheme="minorEastAsia" w:hAnsiTheme="minorEastAsia" w:eastAsiaTheme="minorEastAsia"/>
                <w:sz w:val="24"/>
              </w:rPr>
              <w:t>在投资者认</w:t>
            </w:r>
            <w:r>
              <w:rPr>
                <w:rFonts w:cs="Arial" w:asciiTheme="minorEastAsia" w:hAnsiTheme="minorEastAsia" w:eastAsiaTheme="minorEastAsia"/>
                <w:sz w:val="24"/>
              </w:rPr>
              <w:t>/</w:t>
            </w:r>
            <w:r>
              <w:rPr>
                <w:rFonts w:hint="eastAsia" w:cs="Arial" w:asciiTheme="minorEastAsia" w:hAnsiTheme="minorEastAsia" w:eastAsiaTheme="minorEastAsia"/>
                <w:sz w:val="24"/>
              </w:rPr>
              <w:t>申购时收取认</w:t>
            </w:r>
            <w:r>
              <w:rPr>
                <w:rFonts w:cs="Arial" w:asciiTheme="minorEastAsia" w:hAnsiTheme="minorEastAsia" w:eastAsiaTheme="minorEastAsia"/>
                <w:sz w:val="24"/>
              </w:rPr>
              <w:t>/</w:t>
            </w:r>
            <w:r>
              <w:rPr>
                <w:rFonts w:hint="eastAsia" w:cs="Arial" w:asciiTheme="minorEastAsia" w:hAnsiTheme="minorEastAsia" w:eastAsiaTheme="minorEastAsia"/>
                <w:sz w:val="24"/>
              </w:rPr>
              <w:t>申购费用，不</w:t>
            </w:r>
            <w:r>
              <w:rPr>
                <w:rFonts w:cs="Arial" w:asciiTheme="minorEastAsia" w:hAnsiTheme="minorEastAsia" w:eastAsiaTheme="minorEastAsia"/>
                <w:sz w:val="24"/>
              </w:rPr>
              <w:t>从本类别基金资产中计提销售服务费的</w:t>
            </w:r>
            <w:r>
              <w:rPr>
                <w:rFonts w:hint="eastAsia" w:cs="Arial" w:asciiTheme="minorEastAsia" w:hAnsiTheme="minorEastAsia" w:eastAsiaTheme="minorEastAsia"/>
                <w:sz w:val="24"/>
              </w:rPr>
              <w:t>基金份额，</w:t>
            </w:r>
            <w:r>
              <w:rPr>
                <w:rFonts w:cs="Arial" w:asciiTheme="minorEastAsia" w:hAnsiTheme="minorEastAsia" w:eastAsiaTheme="minorEastAsia"/>
                <w:sz w:val="24"/>
              </w:rPr>
              <w:t>称为A类基金份额</w:t>
            </w:r>
            <w:r>
              <w:rPr>
                <w:rFonts w:hint="eastAsia" w:cs="Arial" w:asciiTheme="minorEastAsia" w:hAnsiTheme="minorEastAsia" w:eastAsiaTheme="minorEastAsia"/>
                <w:sz w:val="24"/>
              </w:rPr>
              <w:t>；在投资者认</w:t>
            </w:r>
            <w:r>
              <w:rPr>
                <w:rFonts w:cs="Arial" w:asciiTheme="minorEastAsia" w:hAnsiTheme="minorEastAsia" w:eastAsiaTheme="minorEastAsia"/>
                <w:sz w:val="24"/>
              </w:rPr>
              <w:t>/</w:t>
            </w:r>
            <w:r>
              <w:rPr>
                <w:rFonts w:hint="eastAsia" w:cs="Arial" w:asciiTheme="minorEastAsia" w:hAnsiTheme="minorEastAsia" w:eastAsiaTheme="minorEastAsia"/>
                <w:sz w:val="24"/>
              </w:rPr>
              <w:t>申购时不收取认</w:t>
            </w:r>
            <w:r>
              <w:rPr>
                <w:rFonts w:cs="Arial" w:asciiTheme="minorEastAsia" w:hAnsiTheme="minorEastAsia" w:eastAsiaTheme="minorEastAsia"/>
                <w:sz w:val="24"/>
              </w:rPr>
              <w:t>/</w:t>
            </w:r>
            <w:r>
              <w:rPr>
                <w:rFonts w:hint="eastAsia" w:cs="Arial" w:asciiTheme="minorEastAsia" w:hAnsiTheme="minorEastAsia" w:eastAsiaTheme="minorEastAsia"/>
                <w:sz w:val="24"/>
              </w:rPr>
              <w:t>申购费用，但</w:t>
            </w:r>
            <w:r>
              <w:rPr>
                <w:rFonts w:cs="Arial" w:asciiTheme="minorEastAsia" w:hAnsiTheme="minorEastAsia" w:eastAsiaTheme="minorEastAsia"/>
                <w:sz w:val="24"/>
              </w:rPr>
              <w:t>从本类别基金资产中计提销售服务费的</w:t>
            </w:r>
            <w:r>
              <w:rPr>
                <w:rFonts w:hint="eastAsia" w:cs="Arial" w:asciiTheme="minorEastAsia" w:hAnsiTheme="minorEastAsia" w:eastAsiaTheme="minorEastAsia"/>
                <w:sz w:val="24"/>
              </w:rPr>
              <w:t>基金份额</w:t>
            </w:r>
            <w:r>
              <w:rPr>
                <w:rFonts w:cs="Arial" w:asciiTheme="minorEastAsia" w:hAnsiTheme="minorEastAsia" w:eastAsiaTheme="minorEastAsia"/>
                <w:sz w:val="24"/>
              </w:rPr>
              <w:t>，称为C类基金份额</w:t>
            </w:r>
            <w:r>
              <w:rPr>
                <w:rFonts w:hint="eastAsia" w:ascii="宋体" w:hAnsi="宋体" w:eastAsia="宋体" w:cs="宋体"/>
                <w:sz w:val="24"/>
                <w:szCs w:val="24"/>
                <w:lang w:eastAsia="zh-CN"/>
              </w:rPr>
              <w:t>。</w:t>
            </w:r>
          </w:p>
          <w:p w14:paraId="37696238">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trike/>
                <w:dstrike w:val="0"/>
                <w:sz w:val="24"/>
                <w:szCs w:val="24"/>
                <w:lang w:val="en-US" w:eastAsia="zh-CN"/>
              </w:rPr>
              <w:t>A类基金份额、C类</w:t>
            </w:r>
            <w:r>
              <w:rPr>
                <w:rFonts w:hint="eastAsia" w:ascii="宋体" w:hAnsi="宋体" w:eastAsia="宋体" w:cs="宋体"/>
                <w:sz w:val="24"/>
                <w:szCs w:val="24"/>
              </w:rPr>
              <w:t>基金份额分别设置代码，分别计算和公告各类基金份额净值和各类基金份额累计净值。投资者可自行选择认/申购的基金份额类别。</w:t>
            </w:r>
          </w:p>
          <w:p w14:paraId="6817EE56">
            <w:pPr>
              <w:rPr>
                <w:rFonts w:hint="eastAsia" w:ascii="宋体" w:hAnsi="宋体" w:eastAsia="宋体" w:cs="宋体"/>
                <w:sz w:val="24"/>
                <w:szCs w:val="24"/>
              </w:rPr>
            </w:pPr>
          </w:p>
          <w:p w14:paraId="4068E7CA">
            <w:pPr>
              <w:rPr>
                <w:rFonts w:hint="eastAsia" w:ascii="宋体" w:hAnsi="宋体" w:eastAsia="宋体" w:cs="宋体"/>
                <w:sz w:val="24"/>
                <w:szCs w:val="24"/>
              </w:rPr>
            </w:pPr>
          </w:p>
          <w:p w14:paraId="2719B60F">
            <w:pPr>
              <w:spacing w:line="0" w:lineRule="atLeast"/>
              <w:ind w:firstLine="480" w:firstLineChars="200"/>
              <w:rPr>
                <w:rFonts w:hint="eastAsia" w:ascii="宋体" w:hAnsi="宋体" w:eastAsia="宋体" w:cs="宋体"/>
                <w:bCs/>
                <w:sz w:val="24"/>
                <w:szCs w:val="24"/>
              </w:rPr>
            </w:pPr>
          </w:p>
        </w:tc>
        <w:tc>
          <w:tcPr>
            <w:tcW w:w="4127" w:type="dxa"/>
          </w:tcPr>
          <w:p w14:paraId="0B7E60D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九、基金份额类别设置</w:t>
            </w:r>
          </w:p>
          <w:p w14:paraId="05D821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本基金根据认购/申购费用、销售服务费收取方式的不同，将基金份额分为不同的类别。</w:t>
            </w:r>
          </w:p>
          <w:p w14:paraId="3690A0B0">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cs="Arial" w:asciiTheme="minorEastAsia" w:hAnsiTheme="minorEastAsia" w:eastAsiaTheme="minorEastAsia"/>
                <w:sz w:val="24"/>
              </w:rPr>
              <w:t>在投资者认</w:t>
            </w:r>
            <w:r>
              <w:rPr>
                <w:rFonts w:cs="Arial" w:asciiTheme="minorEastAsia" w:hAnsiTheme="minorEastAsia" w:eastAsiaTheme="minorEastAsia"/>
                <w:sz w:val="24"/>
              </w:rPr>
              <w:t>/</w:t>
            </w:r>
            <w:r>
              <w:rPr>
                <w:rFonts w:hint="eastAsia" w:cs="Arial" w:asciiTheme="minorEastAsia" w:hAnsiTheme="minorEastAsia" w:eastAsiaTheme="minorEastAsia"/>
                <w:sz w:val="24"/>
              </w:rPr>
              <w:t>申购时收取认</w:t>
            </w:r>
            <w:r>
              <w:rPr>
                <w:rFonts w:cs="Arial" w:asciiTheme="minorEastAsia" w:hAnsiTheme="minorEastAsia" w:eastAsiaTheme="minorEastAsia"/>
                <w:sz w:val="24"/>
              </w:rPr>
              <w:t>/</w:t>
            </w:r>
            <w:r>
              <w:rPr>
                <w:rFonts w:hint="eastAsia" w:cs="Arial" w:asciiTheme="minorEastAsia" w:hAnsiTheme="minorEastAsia" w:eastAsiaTheme="minorEastAsia"/>
                <w:sz w:val="24"/>
              </w:rPr>
              <w:t>申购费用，不</w:t>
            </w:r>
            <w:r>
              <w:rPr>
                <w:rFonts w:cs="Arial" w:asciiTheme="minorEastAsia" w:hAnsiTheme="minorEastAsia" w:eastAsiaTheme="minorEastAsia"/>
                <w:sz w:val="24"/>
              </w:rPr>
              <w:t>从本类别基金资产中计提销售服务费的</w:t>
            </w:r>
            <w:r>
              <w:rPr>
                <w:rFonts w:hint="eastAsia" w:cs="Arial" w:asciiTheme="minorEastAsia" w:hAnsiTheme="minorEastAsia" w:eastAsiaTheme="minorEastAsia"/>
                <w:sz w:val="24"/>
              </w:rPr>
              <w:t>基金份额，</w:t>
            </w:r>
            <w:r>
              <w:rPr>
                <w:rFonts w:cs="Arial" w:asciiTheme="minorEastAsia" w:hAnsiTheme="minorEastAsia" w:eastAsiaTheme="minorEastAsia"/>
                <w:sz w:val="24"/>
              </w:rPr>
              <w:t>称为A类基金份额</w:t>
            </w:r>
            <w:r>
              <w:rPr>
                <w:rFonts w:hint="eastAsia" w:cs="Arial" w:asciiTheme="minorEastAsia" w:hAnsiTheme="minorEastAsia" w:eastAsiaTheme="minorEastAsia"/>
                <w:sz w:val="24"/>
              </w:rPr>
              <w:t>；在投资者认</w:t>
            </w:r>
            <w:r>
              <w:rPr>
                <w:rFonts w:cs="Arial" w:asciiTheme="minorEastAsia" w:hAnsiTheme="minorEastAsia" w:eastAsiaTheme="minorEastAsia"/>
                <w:sz w:val="24"/>
              </w:rPr>
              <w:t>/</w:t>
            </w:r>
            <w:r>
              <w:rPr>
                <w:rFonts w:hint="eastAsia" w:cs="Arial" w:asciiTheme="minorEastAsia" w:hAnsiTheme="minorEastAsia" w:eastAsiaTheme="minorEastAsia"/>
                <w:sz w:val="24"/>
              </w:rPr>
              <w:t>申购时不收取认</w:t>
            </w:r>
            <w:r>
              <w:rPr>
                <w:rFonts w:cs="Arial" w:asciiTheme="minorEastAsia" w:hAnsiTheme="minorEastAsia" w:eastAsiaTheme="minorEastAsia"/>
                <w:sz w:val="24"/>
              </w:rPr>
              <w:t>/</w:t>
            </w:r>
            <w:r>
              <w:rPr>
                <w:rFonts w:hint="eastAsia" w:cs="Arial" w:asciiTheme="minorEastAsia" w:hAnsiTheme="minorEastAsia" w:eastAsiaTheme="minorEastAsia"/>
                <w:sz w:val="24"/>
              </w:rPr>
              <w:t>申购费用，但</w:t>
            </w:r>
            <w:r>
              <w:rPr>
                <w:rFonts w:cs="Arial" w:asciiTheme="minorEastAsia" w:hAnsiTheme="minorEastAsia" w:eastAsiaTheme="minorEastAsia"/>
                <w:sz w:val="24"/>
              </w:rPr>
              <w:t>从本类别基金资产中</w:t>
            </w:r>
            <w:r>
              <w:rPr>
                <w:rFonts w:hint="eastAsia" w:cs="Arial" w:asciiTheme="minorEastAsia" w:hAnsiTheme="minorEastAsia" w:eastAsiaTheme="minorEastAsia"/>
                <w:b/>
                <w:bCs/>
                <w:sz w:val="24"/>
                <w:u w:val="single"/>
              </w:rPr>
              <w:t>按照0.30%年费率</w:t>
            </w:r>
            <w:r>
              <w:rPr>
                <w:rFonts w:cs="Arial" w:asciiTheme="minorEastAsia" w:hAnsiTheme="minorEastAsia" w:eastAsiaTheme="minorEastAsia"/>
                <w:sz w:val="24"/>
              </w:rPr>
              <w:t>计提销售服务费的</w:t>
            </w:r>
            <w:r>
              <w:rPr>
                <w:rFonts w:hint="eastAsia" w:cs="Arial" w:asciiTheme="minorEastAsia" w:hAnsiTheme="minorEastAsia" w:eastAsiaTheme="minorEastAsia"/>
                <w:sz w:val="24"/>
              </w:rPr>
              <w:t>基金份额</w:t>
            </w:r>
            <w:r>
              <w:rPr>
                <w:rFonts w:cs="Arial" w:asciiTheme="minorEastAsia" w:hAnsiTheme="minorEastAsia" w:eastAsiaTheme="minorEastAsia"/>
                <w:sz w:val="24"/>
              </w:rPr>
              <w:t>，称为C类基金份额</w:t>
            </w:r>
            <w:r>
              <w:rPr>
                <w:rFonts w:hint="eastAsia" w:ascii="宋体" w:hAnsi="宋体" w:eastAsia="宋体" w:cs="宋体"/>
                <w:sz w:val="24"/>
                <w:szCs w:val="24"/>
                <w:lang w:eastAsia="zh-CN"/>
              </w:rPr>
              <w:t>。</w:t>
            </w:r>
          </w:p>
          <w:p w14:paraId="402CD007">
            <w:pPr>
              <w:adjustRightInd w:val="0"/>
              <w:snapToGrid w:val="0"/>
              <w:spacing w:line="360" w:lineRule="auto"/>
              <w:ind w:firstLine="480" w:firstLineChars="200"/>
              <w:rPr>
                <w:rFonts w:hint="eastAsia" w:ascii="宋体" w:hAnsi="宋体" w:eastAsia="宋体" w:cs="宋体"/>
                <w:b/>
                <w:bCs/>
                <w:sz w:val="24"/>
                <w:szCs w:val="24"/>
                <w:u w:val="single"/>
              </w:rPr>
            </w:pPr>
            <w:r>
              <w:rPr>
                <w:rFonts w:hint="eastAsia" w:ascii="宋体" w:hAnsi="宋体" w:eastAsia="宋体" w:cs="宋体"/>
                <w:sz w:val="24"/>
                <w:szCs w:val="24"/>
              </w:rPr>
              <w:t>；</w:t>
            </w:r>
            <w:r>
              <w:rPr>
                <w:rFonts w:hint="eastAsia" w:cs="Arial" w:asciiTheme="minorEastAsia" w:hAnsiTheme="minorEastAsia" w:eastAsiaTheme="minorEastAsia"/>
                <w:b/>
                <w:bCs/>
                <w:sz w:val="24"/>
                <w:u w:val="single"/>
              </w:rPr>
              <w:t>在投资者申购时不收取申购费用，但从本类别基金资产中按照0.01%年费率计提销售服务费的基金份额，称为E类基金份额。</w:t>
            </w:r>
          </w:p>
          <w:p w14:paraId="10A776F3">
            <w:pPr>
              <w:adjustRightInd w:val="0"/>
              <w:snapToGrid w:val="0"/>
              <w:spacing w:line="360" w:lineRule="auto"/>
              <w:ind w:firstLine="482" w:firstLineChars="200"/>
              <w:rPr>
                <w:rFonts w:hint="eastAsia" w:ascii="宋体" w:hAnsi="宋体" w:eastAsia="宋体" w:cs="宋体"/>
                <w:bCs/>
                <w:sz w:val="24"/>
                <w:szCs w:val="24"/>
                <w:u w:val="single"/>
              </w:rPr>
            </w:pPr>
            <w:r>
              <w:rPr>
                <w:rFonts w:hint="eastAsia" w:ascii="宋体" w:hAnsi="宋体" w:eastAsia="宋体" w:cs="宋体"/>
                <w:b/>
                <w:bCs/>
                <w:sz w:val="24"/>
                <w:szCs w:val="24"/>
                <w:u w:val="single"/>
              </w:rPr>
              <w:t>三类</w:t>
            </w:r>
            <w:r>
              <w:rPr>
                <w:rFonts w:hint="eastAsia" w:ascii="宋体" w:hAnsi="宋体" w:eastAsia="宋体" w:cs="宋体"/>
                <w:sz w:val="24"/>
                <w:szCs w:val="24"/>
              </w:rPr>
              <w:t>基金份额分别设置代码，分别计算和公告各类基金份额净值和各类基金份额累计净值。投资者可自行选择认/申购的基金份额类别。</w:t>
            </w:r>
          </w:p>
        </w:tc>
      </w:tr>
      <w:tr w14:paraId="14A1491D">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814" w:type="dxa"/>
          </w:tcPr>
          <w:p w14:paraId="3CD7551B">
            <w:pPr>
              <w:rPr>
                <w:rFonts w:hint="eastAsia" w:ascii="宋体" w:hAnsi="宋体" w:eastAsia="宋体" w:cs="宋体"/>
                <w:b/>
                <w:sz w:val="24"/>
                <w:szCs w:val="24"/>
              </w:rPr>
            </w:pPr>
            <w:r>
              <w:rPr>
                <w:rFonts w:hint="eastAsia" w:ascii="宋体" w:hAnsi="宋体" w:eastAsia="宋体" w:cs="宋体"/>
                <w:b/>
                <w:sz w:val="24"/>
                <w:szCs w:val="24"/>
              </w:rPr>
              <w:t>第六部分  基金份额的申购与赎回</w:t>
            </w:r>
          </w:p>
        </w:tc>
        <w:tc>
          <w:tcPr>
            <w:tcW w:w="4127" w:type="dxa"/>
          </w:tcPr>
          <w:p w14:paraId="29B73F56">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六、申购和赎回的价格、费用及其用途</w:t>
            </w:r>
          </w:p>
          <w:p w14:paraId="20F60594">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、本基金</w:t>
            </w:r>
            <w:r>
              <w:rPr>
                <w:rFonts w:asciiTheme="minorEastAsia" w:hAnsiTheme="minorEastAsia" w:eastAsiaTheme="minorEastAsia"/>
                <w:sz w:val="24"/>
              </w:rPr>
              <w:t>A</w:t>
            </w:r>
            <w:r>
              <w:rPr>
                <w:rFonts w:hint="eastAsia" w:asciiTheme="minorEastAsia" w:hAnsiTheme="minorEastAsia" w:eastAsiaTheme="minorEastAsia"/>
                <w:sz w:val="24"/>
              </w:rPr>
              <w:t>类基金份额</w:t>
            </w:r>
            <w:r>
              <w:rPr>
                <w:rFonts w:hint="eastAsia" w:asciiTheme="minorEastAsia" w:hAnsiTheme="minorEastAsia"/>
                <w:b/>
                <w:bCs/>
                <w:strike/>
                <w:dstrike w:val="0"/>
                <w:sz w:val="24"/>
                <w:lang w:val="en-US" w:eastAsia="zh-CN"/>
              </w:rPr>
              <w:t>和</w:t>
            </w:r>
            <w:r>
              <w:rPr>
                <w:rFonts w:asciiTheme="minorEastAsia" w:hAnsiTheme="minorEastAsia" w:eastAsiaTheme="minorEastAsia"/>
                <w:sz w:val="24"/>
              </w:rPr>
              <w:t>C</w:t>
            </w:r>
            <w:r>
              <w:rPr>
                <w:rFonts w:hint="eastAsia" w:asciiTheme="minorEastAsia" w:hAnsiTheme="minorEastAsia" w:eastAsiaTheme="minorEastAsia"/>
                <w:sz w:val="24"/>
              </w:rPr>
              <w:t>类基金份额分别设置代码，分别计算和公告各类基金份额净值和各类基金份额累计净值。本基金各类基金份额净值的计算，均保留到小数点后</w:t>
            </w:r>
            <w:r>
              <w:rPr>
                <w:rFonts w:asciiTheme="minorEastAsia" w:hAnsiTheme="minorEastAsia" w:eastAsiaTheme="minorEastAsia"/>
                <w:sz w:val="24"/>
              </w:rPr>
              <w:t>4</w:t>
            </w:r>
            <w:r>
              <w:rPr>
                <w:rFonts w:hint="eastAsia" w:asciiTheme="minorEastAsia" w:hAnsiTheme="minorEastAsia" w:eastAsiaTheme="minorEastAsia"/>
                <w:sz w:val="24"/>
              </w:rPr>
              <w:t>位，小数点后第</w:t>
            </w:r>
            <w:r>
              <w:rPr>
                <w:rFonts w:asciiTheme="minorEastAsia" w:hAnsiTheme="minorEastAsia" w:eastAsiaTheme="minorEastAsia"/>
                <w:sz w:val="24"/>
              </w:rPr>
              <w:t>5</w:t>
            </w:r>
            <w:r>
              <w:rPr>
                <w:rFonts w:hint="eastAsia" w:asciiTheme="minorEastAsia" w:hAnsiTheme="minorEastAsia" w:eastAsiaTheme="minorEastAsia"/>
                <w:sz w:val="24"/>
              </w:rPr>
              <w:t>位四舍五入，由此产生的收益或损失由基金财产承担。</w:t>
            </w:r>
            <w:r>
              <w:rPr>
                <w:rFonts w:asciiTheme="minorEastAsia" w:hAnsiTheme="minorEastAsia" w:eastAsiaTheme="minorEastAsia"/>
                <w:sz w:val="24"/>
              </w:rPr>
              <w:t>T</w:t>
            </w:r>
            <w:r>
              <w:rPr>
                <w:rFonts w:hint="eastAsia" w:asciiTheme="minorEastAsia" w:hAnsiTheme="minorEastAsia" w:eastAsiaTheme="minorEastAsia"/>
                <w:sz w:val="24"/>
              </w:rPr>
              <w:t>日的各类基金份额净值在当天收市后计算，并在T+1日内公告。遇特殊情况，经履行适当程序，可以适当延迟计算或公告。</w:t>
            </w:r>
          </w:p>
          <w:p w14:paraId="164E41F1">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、申购份额的计算及余额的处理方式：本基金申购份额的计算详见《招募说明书》。本基金</w:t>
            </w:r>
            <w:r>
              <w:rPr>
                <w:rFonts w:asciiTheme="minorEastAsia" w:hAnsiTheme="minorEastAsia" w:eastAsiaTheme="minorEastAsia"/>
                <w:sz w:val="24"/>
              </w:rPr>
              <w:t>A</w:t>
            </w:r>
            <w:r>
              <w:rPr>
                <w:rFonts w:hint="eastAsia" w:asciiTheme="minorEastAsia" w:hAnsiTheme="minorEastAsia" w:eastAsiaTheme="minorEastAsia"/>
                <w:sz w:val="24"/>
              </w:rPr>
              <w:t>类基金份额的申购费率由基金管理人决定，并在招募说明书及基金产品资料概要中列示；</w:t>
            </w:r>
            <w:r>
              <w:rPr>
                <w:rFonts w:asciiTheme="minorEastAsia" w:hAnsiTheme="minorEastAsia" w:eastAsiaTheme="minorEastAsia"/>
                <w:sz w:val="24"/>
              </w:rPr>
              <w:t>C</w:t>
            </w:r>
            <w:r>
              <w:rPr>
                <w:rFonts w:hint="eastAsia" w:asciiTheme="minorEastAsia" w:hAnsiTheme="minorEastAsia" w:eastAsiaTheme="minorEastAsia"/>
                <w:sz w:val="24"/>
              </w:rPr>
              <w:t>类基金份额不收取申购费用。申购的有效份额为净申购金额除以当日的该类基金份额净值，有效份额单位为份，上述计算结果均按四舍五入方法，保留到小数点后</w:t>
            </w:r>
            <w:r>
              <w:rPr>
                <w:rFonts w:asciiTheme="minorEastAsia" w:hAnsiTheme="minorEastAsia" w:eastAsiaTheme="minorEastAsia"/>
                <w:sz w:val="24"/>
              </w:rPr>
              <w:t>2</w:t>
            </w:r>
            <w:r>
              <w:rPr>
                <w:rFonts w:hint="eastAsia" w:asciiTheme="minorEastAsia" w:hAnsiTheme="minorEastAsia" w:eastAsiaTheme="minorEastAsia"/>
                <w:sz w:val="24"/>
              </w:rPr>
              <w:t>位，由此产生的收益或损失由基金财产承担。</w:t>
            </w:r>
          </w:p>
          <w:p w14:paraId="7332F908">
            <w:pPr>
              <w:adjustRightInd w:val="0"/>
              <w:snapToGrid w:val="0"/>
              <w:spacing w:line="360" w:lineRule="auto"/>
              <w:ind w:firstLine="480" w:firstLineChars="200"/>
              <w:rPr>
                <w:rFonts w:hint="eastAsia" w:ascii="宋体" w:hAnsi="宋体" w:eastAsia="宋体" w:cs="宋体"/>
                <w:bCs/>
                <w:sz w:val="24"/>
                <w:szCs w:val="24"/>
              </w:rPr>
            </w:pPr>
            <w:r>
              <w:rPr>
                <w:rFonts w:asciiTheme="minorEastAsia" w:hAnsiTheme="minorEastAsia" w:eastAsiaTheme="minorEastAsia"/>
                <w:sz w:val="24"/>
              </w:rPr>
              <w:t>6</w:t>
            </w:r>
            <w:r>
              <w:rPr>
                <w:rFonts w:hint="eastAsia" w:asciiTheme="minorEastAsia" w:hAnsiTheme="minorEastAsia" w:eastAsiaTheme="minorEastAsia"/>
                <w:sz w:val="24"/>
              </w:rPr>
              <w:t>、本基金A类基金份额收取申购费用，C类基金份额不收取申购费用。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tc>
        <w:tc>
          <w:tcPr>
            <w:tcW w:w="4127" w:type="dxa"/>
          </w:tcPr>
          <w:p w14:paraId="2B65607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申购和赎回的价格、费用及其用</w:t>
            </w:r>
          </w:p>
          <w:p w14:paraId="7737922B">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、本基金</w:t>
            </w:r>
            <w:r>
              <w:rPr>
                <w:rFonts w:asciiTheme="minorEastAsia" w:hAnsiTheme="minorEastAsia" w:eastAsiaTheme="minorEastAsia"/>
                <w:sz w:val="24"/>
              </w:rPr>
              <w:t>A</w:t>
            </w:r>
            <w:r>
              <w:rPr>
                <w:rFonts w:hint="eastAsia" w:asciiTheme="minorEastAsia" w:hAnsiTheme="minorEastAsia" w:eastAsiaTheme="minorEastAsia"/>
                <w:sz w:val="24"/>
              </w:rPr>
              <w:t>类基金份额</w:t>
            </w:r>
            <w:r>
              <w:rPr>
                <w:rFonts w:hint="eastAsia" w:asciiTheme="minorEastAsia" w:hAnsiTheme="minorEastAsia" w:eastAsiaTheme="minorEastAsia"/>
                <w:b/>
                <w:bCs/>
                <w:sz w:val="24"/>
                <w:u w:val="single"/>
              </w:rPr>
              <w:t>、</w:t>
            </w:r>
            <w:r>
              <w:rPr>
                <w:rFonts w:asciiTheme="minorEastAsia" w:hAnsiTheme="minorEastAsia" w:eastAsiaTheme="minorEastAsia"/>
                <w:sz w:val="24"/>
              </w:rPr>
              <w:t>C</w:t>
            </w:r>
            <w:r>
              <w:rPr>
                <w:rFonts w:hint="eastAsia" w:asciiTheme="minorEastAsia" w:hAnsiTheme="minorEastAsia" w:eastAsiaTheme="minorEastAsia"/>
                <w:sz w:val="24"/>
              </w:rPr>
              <w:t>类基金份额</w:t>
            </w:r>
            <w:r>
              <w:rPr>
                <w:rFonts w:hint="eastAsia" w:asciiTheme="minorEastAsia" w:hAnsiTheme="minorEastAsia" w:eastAsiaTheme="minorEastAsia"/>
                <w:b/>
                <w:bCs/>
                <w:sz w:val="24"/>
                <w:u w:val="single"/>
              </w:rPr>
              <w:t>和E类基金份额</w:t>
            </w:r>
            <w:r>
              <w:rPr>
                <w:rFonts w:hint="eastAsia" w:asciiTheme="minorEastAsia" w:hAnsiTheme="minorEastAsia" w:eastAsiaTheme="minorEastAsia"/>
                <w:sz w:val="24"/>
              </w:rPr>
              <w:t>分别设置代码，分别计算和公告各类基金份额净值和各类基金份额累计净值。本基金各类基金份额净值的计算，均保留到小数点后</w:t>
            </w:r>
            <w:r>
              <w:rPr>
                <w:rFonts w:asciiTheme="minorEastAsia" w:hAnsiTheme="minorEastAsia" w:eastAsiaTheme="minorEastAsia"/>
                <w:sz w:val="24"/>
              </w:rPr>
              <w:t>4</w:t>
            </w:r>
            <w:r>
              <w:rPr>
                <w:rFonts w:hint="eastAsia" w:asciiTheme="minorEastAsia" w:hAnsiTheme="minorEastAsia" w:eastAsiaTheme="minorEastAsia"/>
                <w:sz w:val="24"/>
              </w:rPr>
              <w:t>位，小数点后第</w:t>
            </w:r>
            <w:r>
              <w:rPr>
                <w:rFonts w:asciiTheme="minorEastAsia" w:hAnsiTheme="minorEastAsia" w:eastAsiaTheme="minorEastAsia"/>
                <w:sz w:val="24"/>
              </w:rPr>
              <w:t>5</w:t>
            </w:r>
            <w:r>
              <w:rPr>
                <w:rFonts w:hint="eastAsia" w:asciiTheme="minorEastAsia" w:hAnsiTheme="minorEastAsia" w:eastAsiaTheme="minorEastAsia"/>
                <w:sz w:val="24"/>
              </w:rPr>
              <w:t>位四舍五入，由此产生的收益或损失由基金财产承担。</w:t>
            </w:r>
            <w:r>
              <w:rPr>
                <w:rFonts w:asciiTheme="minorEastAsia" w:hAnsiTheme="minorEastAsia" w:eastAsiaTheme="minorEastAsia"/>
                <w:sz w:val="24"/>
              </w:rPr>
              <w:t>T</w:t>
            </w:r>
            <w:r>
              <w:rPr>
                <w:rFonts w:hint="eastAsia" w:asciiTheme="minorEastAsia" w:hAnsiTheme="minorEastAsia" w:eastAsiaTheme="minorEastAsia"/>
                <w:sz w:val="24"/>
              </w:rPr>
              <w:t>日的各类基金份额净值在当天收市后计算，并在T+1日内公告。遇特殊情况，经履行适当程序，可以适当延迟计算或公告。</w:t>
            </w:r>
          </w:p>
          <w:p w14:paraId="67FD693A">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、申购份额的计算及余额的处理方式：本基金申购份额的计算详见《招募说明书》。本基金</w:t>
            </w:r>
            <w:r>
              <w:rPr>
                <w:rFonts w:asciiTheme="minorEastAsia" w:hAnsiTheme="minorEastAsia" w:eastAsiaTheme="minorEastAsia"/>
                <w:sz w:val="24"/>
              </w:rPr>
              <w:t>A</w:t>
            </w:r>
            <w:r>
              <w:rPr>
                <w:rFonts w:hint="eastAsia" w:asciiTheme="minorEastAsia" w:hAnsiTheme="minorEastAsia" w:eastAsiaTheme="minorEastAsia"/>
                <w:sz w:val="24"/>
              </w:rPr>
              <w:t>类基金份额的申购费率由基金管理人决定，并在招募说明书及基金产品资料概要中列示；</w:t>
            </w:r>
            <w:r>
              <w:rPr>
                <w:rFonts w:asciiTheme="minorEastAsia" w:hAnsiTheme="minorEastAsia" w:eastAsiaTheme="minorEastAsia"/>
                <w:sz w:val="24"/>
              </w:rPr>
              <w:t>C</w:t>
            </w:r>
            <w:r>
              <w:rPr>
                <w:rFonts w:hint="eastAsia" w:asciiTheme="minorEastAsia" w:hAnsiTheme="minorEastAsia" w:eastAsiaTheme="minorEastAsia"/>
                <w:sz w:val="24"/>
              </w:rPr>
              <w:t>类基金份额</w:t>
            </w:r>
            <w:r>
              <w:rPr>
                <w:rFonts w:hint="eastAsia" w:asciiTheme="minorEastAsia" w:hAnsiTheme="minorEastAsia" w:eastAsiaTheme="minorEastAsia"/>
                <w:b/>
                <w:bCs/>
                <w:sz w:val="24"/>
                <w:u w:val="single"/>
              </w:rPr>
              <w:t>和E类基金份额</w:t>
            </w:r>
            <w:r>
              <w:rPr>
                <w:rFonts w:hint="eastAsia" w:asciiTheme="minorEastAsia" w:hAnsiTheme="minorEastAsia" w:eastAsiaTheme="minorEastAsia"/>
                <w:sz w:val="24"/>
              </w:rPr>
              <w:t>不收取申购费用。申购的有效份额为净申购金额除以当日的该类基金份额净值，有效份额单位为份，上述计算结果均按四舍五入方法，保留到小数点后</w:t>
            </w:r>
            <w:r>
              <w:rPr>
                <w:rFonts w:asciiTheme="minorEastAsia" w:hAnsiTheme="minorEastAsia" w:eastAsiaTheme="minorEastAsia"/>
                <w:sz w:val="24"/>
              </w:rPr>
              <w:t>2</w:t>
            </w:r>
            <w:r>
              <w:rPr>
                <w:rFonts w:hint="eastAsia" w:asciiTheme="minorEastAsia" w:hAnsiTheme="minorEastAsia" w:eastAsiaTheme="minorEastAsia"/>
                <w:sz w:val="24"/>
              </w:rPr>
              <w:t>位，由此产生的收益或损失由基金财产承担。</w:t>
            </w:r>
          </w:p>
          <w:p w14:paraId="318F79A5">
            <w:pPr>
              <w:adjustRightInd w:val="0"/>
              <w:snapToGrid w:val="0"/>
              <w:spacing w:line="360" w:lineRule="auto"/>
              <w:ind w:firstLine="480" w:firstLineChars="200"/>
              <w:rPr>
                <w:rFonts w:hint="eastAsia" w:ascii="宋体" w:hAnsi="宋体" w:eastAsia="宋体" w:cs="宋体"/>
                <w:bCs/>
                <w:sz w:val="24"/>
                <w:szCs w:val="24"/>
              </w:rPr>
            </w:pPr>
            <w:r>
              <w:rPr>
                <w:rFonts w:asciiTheme="minorEastAsia" w:hAnsiTheme="minorEastAsia" w:eastAsiaTheme="minorEastAsia"/>
                <w:sz w:val="24"/>
              </w:rPr>
              <w:t>6</w:t>
            </w:r>
            <w:r>
              <w:rPr>
                <w:rFonts w:hint="eastAsia" w:asciiTheme="minorEastAsia" w:hAnsiTheme="minorEastAsia" w:eastAsiaTheme="minorEastAsia"/>
                <w:sz w:val="24"/>
              </w:rPr>
              <w:t>、本基金A类基金份额收取申购费用，C类基金份额</w:t>
            </w:r>
            <w:r>
              <w:rPr>
                <w:rFonts w:hint="eastAsia" w:asciiTheme="minorEastAsia" w:hAnsiTheme="minorEastAsia" w:eastAsiaTheme="minorEastAsia"/>
                <w:b/>
                <w:bCs/>
                <w:sz w:val="24"/>
                <w:u w:val="single"/>
              </w:rPr>
              <w:t>和E类基金份额</w:t>
            </w:r>
            <w:r>
              <w:rPr>
                <w:rFonts w:hint="eastAsia" w:asciiTheme="minorEastAsia" w:hAnsiTheme="minorEastAsia" w:eastAsiaTheme="minorEastAsia"/>
                <w:sz w:val="24"/>
              </w:rPr>
              <w:t>不收取申购费用。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tc>
      </w:tr>
      <w:tr w14:paraId="3F9D6045">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4" w:type="dxa"/>
            <w:vMerge w:val="restart"/>
          </w:tcPr>
          <w:p w14:paraId="305E35DD">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第十五部分  基金费用与税收</w:t>
            </w:r>
          </w:p>
        </w:tc>
        <w:tc>
          <w:tcPr>
            <w:tcW w:w="4127" w:type="dxa"/>
          </w:tcPr>
          <w:p w14:paraId="72DC26E9">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一、基金费用的种类</w:t>
            </w:r>
          </w:p>
          <w:p w14:paraId="0AE1BAC3">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b/>
                <w:bCs/>
                <w:strike/>
                <w:dstrike w:val="0"/>
                <w:sz w:val="24"/>
                <w:szCs w:val="24"/>
                <w:lang w:val="en-US" w:eastAsia="zh-CN"/>
              </w:rPr>
              <w:t>C类基金份额的</w:t>
            </w:r>
            <w:r>
              <w:rPr>
                <w:rFonts w:hint="eastAsia" w:ascii="宋体" w:hAnsi="宋体" w:eastAsia="宋体" w:cs="宋体"/>
                <w:sz w:val="24"/>
                <w:szCs w:val="24"/>
                <w:lang w:val="en-US" w:eastAsia="zh-CN"/>
              </w:rPr>
              <w:t>销售服务费；</w:t>
            </w:r>
          </w:p>
        </w:tc>
        <w:tc>
          <w:tcPr>
            <w:tcW w:w="4127" w:type="dxa"/>
          </w:tcPr>
          <w:p w14:paraId="688737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一、基金费用的种类</w:t>
            </w:r>
          </w:p>
          <w:p w14:paraId="21D9BC7C">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销售服务费；</w:t>
            </w:r>
          </w:p>
        </w:tc>
      </w:tr>
      <w:tr w14:paraId="57EFB53A">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4" w:type="dxa"/>
            <w:vMerge w:val="continue"/>
          </w:tcPr>
          <w:p w14:paraId="5D922B06">
            <w:pPr>
              <w:adjustRightInd w:val="0"/>
              <w:snapToGrid w:val="0"/>
              <w:spacing w:line="360" w:lineRule="auto"/>
              <w:rPr>
                <w:rFonts w:hint="eastAsia" w:ascii="宋体" w:hAnsi="宋体" w:eastAsia="宋体" w:cs="宋体"/>
                <w:sz w:val="24"/>
                <w:szCs w:val="24"/>
                <w:lang w:val="en-US" w:eastAsia="zh-CN"/>
              </w:rPr>
            </w:pPr>
          </w:p>
        </w:tc>
        <w:tc>
          <w:tcPr>
            <w:tcW w:w="4127" w:type="dxa"/>
          </w:tcPr>
          <w:p w14:paraId="0B0E2245">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二、基金费用计提方法、计提标准和支付方式</w:t>
            </w:r>
          </w:p>
          <w:p w14:paraId="26008D6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
                <w:bCs/>
                <w:strike/>
                <w:dstrike w:val="0"/>
                <w:sz w:val="24"/>
                <w:szCs w:val="24"/>
                <w:lang w:val="en-US" w:eastAsia="zh-CN"/>
              </w:rPr>
              <w:t>C类基金份额的</w:t>
            </w:r>
            <w:r>
              <w:rPr>
                <w:rFonts w:hint="eastAsia" w:ascii="宋体" w:hAnsi="宋体" w:eastAsia="宋体" w:cs="宋体"/>
                <w:sz w:val="24"/>
                <w:szCs w:val="24"/>
              </w:rPr>
              <w:t>销售服务费</w:t>
            </w:r>
          </w:p>
          <w:p w14:paraId="6A6F4B2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本基金A类基金份额不收取销售服务费，C类基金份额的销售服务费年费率为0.</w:t>
            </w:r>
            <w:r>
              <w:rPr>
                <w:rFonts w:hint="eastAsia" w:ascii="宋体" w:hAnsi="宋体" w:eastAsia="宋体" w:cs="宋体"/>
                <w:sz w:val="24"/>
                <w:szCs w:val="24"/>
                <w:lang w:val="en-US" w:eastAsia="zh-CN"/>
              </w:rPr>
              <w:t>3</w:t>
            </w:r>
            <w:r>
              <w:rPr>
                <w:rFonts w:hint="eastAsia" w:ascii="宋体" w:hAnsi="宋体" w:eastAsia="宋体" w:cs="宋体"/>
                <w:sz w:val="24"/>
                <w:szCs w:val="24"/>
              </w:rPr>
              <w:t>0%。</w:t>
            </w:r>
          </w:p>
          <w:p w14:paraId="78B24F7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本基金销售服务费按前一日C类基金份额的基金资产净值的0.</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0%年费率计提。销售服务费的计算方法如下： </w:t>
            </w:r>
          </w:p>
          <w:p w14:paraId="00A07D6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H=E×</w:t>
            </w:r>
            <w:r>
              <w:rPr>
                <w:rFonts w:hint="eastAsia" w:ascii="宋体" w:hAnsi="宋体" w:eastAsia="宋体" w:cs="宋体"/>
                <w:b/>
                <w:bCs/>
                <w:strike/>
                <w:dstrike w:val="0"/>
                <w:sz w:val="24"/>
                <w:szCs w:val="24"/>
                <w:lang w:val="en-US" w:eastAsia="zh-CN"/>
              </w:rPr>
              <w:t>0.30%</w:t>
            </w:r>
            <w:r>
              <w:rPr>
                <w:rFonts w:hint="eastAsia" w:ascii="宋体" w:hAnsi="宋体" w:eastAsia="宋体" w:cs="宋体"/>
                <w:sz w:val="24"/>
                <w:szCs w:val="24"/>
              </w:rPr>
              <w:t>÷当年天数</w:t>
            </w:r>
          </w:p>
          <w:p w14:paraId="655ACA8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H为</w:t>
            </w:r>
            <w:r>
              <w:rPr>
                <w:rFonts w:hint="eastAsia" w:ascii="宋体" w:hAnsi="宋体" w:eastAsia="宋体" w:cs="宋体"/>
                <w:b/>
                <w:bCs/>
                <w:strike/>
                <w:dstrike w:val="0"/>
                <w:sz w:val="24"/>
                <w:szCs w:val="24"/>
                <w:lang w:val="en-US" w:eastAsia="zh-CN"/>
              </w:rPr>
              <w:t>C类</w:t>
            </w:r>
            <w:r>
              <w:rPr>
                <w:rFonts w:hint="eastAsia" w:ascii="宋体" w:hAnsi="宋体" w:eastAsia="宋体" w:cs="宋体"/>
                <w:sz w:val="24"/>
                <w:szCs w:val="24"/>
              </w:rPr>
              <w:t>基金份额每日应计提的销售服务费</w:t>
            </w:r>
          </w:p>
          <w:p w14:paraId="2AE81298">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E为</w:t>
            </w:r>
            <w:r>
              <w:rPr>
                <w:rFonts w:hint="eastAsia" w:ascii="宋体" w:hAnsi="宋体" w:eastAsia="宋体" w:cs="宋体"/>
                <w:b/>
                <w:bCs/>
                <w:strike/>
                <w:dstrike w:val="0"/>
                <w:sz w:val="24"/>
                <w:szCs w:val="24"/>
                <w:lang w:val="en-US" w:eastAsia="zh-CN"/>
              </w:rPr>
              <w:t>C类</w:t>
            </w:r>
            <w:r>
              <w:rPr>
                <w:rFonts w:hint="eastAsia" w:ascii="宋体" w:hAnsi="宋体" w:eastAsia="宋体" w:cs="宋体"/>
                <w:sz w:val="24"/>
                <w:szCs w:val="24"/>
              </w:rPr>
              <w:t>基金份额前一日基金资产净值</w:t>
            </w:r>
          </w:p>
        </w:tc>
        <w:tc>
          <w:tcPr>
            <w:tcW w:w="4127" w:type="dxa"/>
          </w:tcPr>
          <w:p w14:paraId="7251F236">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二、基金费用计提方法、计提标准和支付方式</w:t>
            </w:r>
          </w:p>
          <w:p w14:paraId="238CB3E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3.销售服务费</w:t>
            </w:r>
          </w:p>
          <w:p w14:paraId="1BE9A30D">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本基金</w:t>
            </w:r>
            <w:r>
              <w:rPr>
                <w:rFonts w:asciiTheme="minorEastAsia" w:hAnsiTheme="minorEastAsia" w:eastAsiaTheme="minorEastAsia"/>
                <w:sz w:val="24"/>
              </w:rPr>
              <w:t>A类基金份额不收取销售服务费，C</w:t>
            </w:r>
            <w:r>
              <w:rPr>
                <w:rFonts w:hint="eastAsia" w:asciiTheme="minorEastAsia" w:hAnsiTheme="minorEastAsia" w:eastAsiaTheme="minorEastAsia"/>
                <w:sz w:val="24"/>
              </w:rPr>
              <w:t>类基金份额的销售服务费年费率为0.30</w:t>
            </w:r>
            <w:r>
              <w:rPr>
                <w:rFonts w:asciiTheme="minorEastAsia" w:hAnsiTheme="minorEastAsia" w:eastAsiaTheme="minorEastAsia"/>
                <w:sz w:val="24"/>
              </w:rPr>
              <w:t>%</w:t>
            </w:r>
            <w:r>
              <w:rPr>
                <w:rFonts w:hint="eastAsia" w:asciiTheme="minorEastAsia" w:hAnsiTheme="minorEastAsia" w:eastAsiaTheme="minorEastAsia"/>
                <w:b/>
                <w:bCs/>
                <w:sz w:val="24"/>
                <w:u w:val="single"/>
              </w:rPr>
              <w:t>、E类基金份额的销售服务费年费率为0.01%</w:t>
            </w:r>
            <w:r>
              <w:rPr>
                <w:rFonts w:hint="eastAsia" w:asciiTheme="minorEastAsia" w:hAnsiTheme="minorEastAsia" w:eastAsiaTheme="minorEastAsia"/>
                <w:sz w:val="24"/>
              </w:rPr>
              <w:t>。</w:t>
            </w:r>
          </w:p>
          <w:p w14:paraId="7E4CBD4A">
            <w:pPr>
              <w:adjustRightInd w:val="0"/>
              <w:snapToGrid w:val="0"/>
              <w:spacing w:line="360" w:lineRule="auto"/>
              <w:ind w:firstLine="480" w:firstLineChars="200"/>
              <w:rPr>
                <w:rFonts w:hint="eastAsia" w:ascii="宋体" w:hAnsi="宋体" w:eastAsia="宋体" w:cs="宋体"/>
                <w:sz w:val="24"/>
                <w:szCs w:val="24"/>
              </w:rPr>
            </w:pPr>
            <w:r>
              <w:rPr>
                <w:rFonts w:hint="eastAsia" w:asciiTheme="minorEastAsia" w:hAnsiTheme="minorEastAsia" w:eastAsiaTheme="minorEastAsia"/>
                <w:sz w:val="24"/>
              </w:rPr>
              <w:t>本基金</w:t>
            </w:r>
            <w:r>
              <w:rPr>
                <w:rFonts w:hint="eastAsia" w:asciiTheme="minorEastAsia" w:hAnsiTheme="minorEastAsia" w:eastAsiaTheme="minorEastAsia"/>
                <w:b/>
                <w:bCs/>
                <w:sz w:val="24"/>
                <w:u w:val="single"/>
              </w:rPr>
              <w:t>C类基金份额的</w:t>
            </w:r>
            <w:r>
              <w:rPr>
                <w:rFonts w:hint="eastAsia" w:asciiTheme="minorEastAsia" w:hAnsiTheme="minorEastAsia" w:eastAsiaTheme="minorEastAsia"/>
                <w:sz w:val="24"/>
              </w:rPr>
              <w:t>销售服务费按前一日</w:t>
            </w:r>
            <w:r>
              <w:rPr>
                <w:rFonts w:asciiTheme="minorEastAsia" w:hAnsiTheme="minorEastAsia" w:eastAsiaTheme="minorEastAsia"/>
                <w:sz w:val="24"/>
              </w:rPr>
              <w:t>C</w:t>
            </w:r>
            <w:r>
              <w:rPr>
                <w:rFonts w:hint="eastAsia" w:asciiTheme="minorEastAsia" w:hAnsiTheme="minorEastAsia" w:eastAsiaTheme="minorEastAsia"/>
                <w:sz w:val="24"/>
              </w:rPr>
              <w:t>类基金份额的基金资产净值的0.30</w:t>
            </w:r>
            <w:r>
              <w:rPr>
                <w:rFonts w:asciiTheme="minorEastAsia" w:hAnsiTheme="minorEastAsia" w:eastAsiaTheme="minorEastAsia"/>
                <w:sz w:val="24"/>
              </w:rPr>
              <w:t>%</w:t>
            </w:r>
            <w:r>
              <w:rPr>
                <w:rFonts w:hint="eastAsia" w:asciiTheme="minorEastAsia" w:hAnsiTheme="minorEastAsia" w:eastAsiaTheme="minorEastAsia"/>
                <w:sz w:val="24"/>
              </w:rPr>
              <w:t>年费率计提</w:t>
            </w:r>
            <w:r>
              <w:rPr>
                <w:rFonts w:hint="eastAsia" w:asciiTheme="minorEastAsia" w:hAnsiTheme="minorEastAsia" w:eastAsiaTheme="minorEastAsia"/>
                <w:b/>
                <w:bCs/>
                <w:sz w:val="24"/>
                <w:u w:val="single"/>
              </w:rPr>
              <w:t>，</w:t>
            </w:r>
            <w:r>
              <w:rPr>
                <w:rFonts w:hint="eastAsia"/>
                <w:b/>
                <w:bCs/>
                <w:sz w:val="24"/>
                <w:u w:val="single"/>
              </w:rPr>
              <w:t>E类基金份额的销售服务费按前一日E类基金份额的基金资产净值的0.01%年费率计提</w:t>
            </w:r>
            <w:r>
              <w:rPr>
                <w:rFonts w:hint="eastAsia" w:asciiTheme="minorEastAsia" w:hAnsiTheme="minorEastAsia" w:eastAsiaTheme="minorEastAsia"/>
                <w:b/>
                <w:bCs/>
                <w:sz w:val="24"/>
                <w:u w:val="single"/>
              </w:rPr>
              <w:t>。</w:t>
            </w:r>
            <w:r>
              <w:rPr>
                <w:rFonts w:hint="eastAsia" w:asciiTheme="minorEastAsia" w:hAnsiTheme="minorEastAsia" w:eastAsiaTheme="minorEastAsia"/>
                <w:b w:val="0"/>
                <w:bCs w:val="0"/>
                <w:sz w:val="24"/>
                <w:u w:val="none"/>
              </w:rPr>
              <w:t>销售服务费的计算方法如下</w:t>
            </w:r>
            <w:r>
              <w:rPr>
                <w:rFonts w:hint="eastAsia" w:asciiTheme="minorEastAsia" w:hAnsiTheme="minorEastAsia" w:eastAsiaTheme="minorEastAsia"/>
                <w:sz w:val="24"/>
              </w:rPr>
              <w:t>：</w:t>
            </w:r>
            <w:r>
              <w:rPr>
                <w:rFonts w:hint="eastAsia" w:ascii="宋体" w:hAnsi="宋体" w:eastAsia="宋体" w:cs="宋体"/>
                <w:sz w:val="24"/>
                <w:szCs w:val="24"/>
              </w:rPr>
              <w:t xml:space="preserve"> </w:t>
            </w:r>
          </w:p>
          <w:p w14:paraId="1F3796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H=E×</w:t>
            </w:r>
            <w:r>
              <w:rPr>
                <w:rFonts w:hint="eastAsia" w:ascii="宋体" w:hAnsi="宋体" w:eastAsia="宋体" w:cs="宋体"/>
                <w:b/>
                <w:bCs/>
                <w:sz w:val="24"/>
                <w:szCs w:val="24"/>
                <w:u w:val="single"/>
              </w:rPr>
              <w:t>该类基金份额年销售服务费率</w:t>
            </w:r>
            <w:r>
              <w:rPr>
                <w:rFonts w:hint="eastAsia" w:ascii="宋体" w:hAnsi="宋体" w:eastAsia="宋体" w:cs="宋体"/>
                <w:sz w:val="24"/>
                <w:szCs w:val="24"/>
              </w:rPr>
              <w:t>÷当年天数</w:t>
            </w:r>
          </w:p>
          <w:p w14:paraId="3F07375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H为</w:t>
            </w:r>
            <w:r>
              <w:rPr>
                <w:rFonts w:hint="eastAsia" w:ascii="宋体" w:hAnsi="宋体" w:eastAsia="宋体" w:cs="宋体"/>
                <w:b/>
                <w:bCs/>
                <w:sz w:val="24"/>
                <w:szCs w:val="24"/>
                <w:u w:val="single"/>
              </w:rPr>
              <w:t>该类</w:t>
            </w:r>
            <w:r>
              <w:rPr>
                <w:rFonts w:hint="eastAsia" w:ascii="宋体" w:hAnsi="宋体" w:eastAsia="宋体" w:cs="宋体"/>
                <w:sz w:val="24"/>
                <w:szCs w:val="24"/>
              </w:rPr>
              <w:t>基金份额每日应计提的销售服务费</w:t>
            </w:r>
          </w:p>
          <w:p w14:paraId="446C5312">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E为</w:t>
            </w:r>
            <w:r>
              <w:rPr>
                <w:rFonts w:hint="eastAsia" w:ascii="宋体" w:hAnsi="宋体" w:eastAsia="宋体" w:cs="宋体"/>
                <w:b/>
                <w:bCs/>
                <w:sz w:val="24"/>
                <w:szCs w:val="24"/>
                <w:u w:val="single"/>
              </w:rPr>
              <w:t>该类</w:t>
            </w:r>
            <w:r>
              <w:rPr>
                <w:rFonts w:hint="eastAsia" w:ascii="宋体" w:hAnsi="宋体" w:eastAsia="宋体" w:cs="宋体"/>
                <w:sz w:val="24"/>
                <w:szCs w:val="24"/>
              </w:rPr>
              <w:t>基金份额前一日基金资产净值</w:t>
            </w:r>
          </w:p>
        </w:tc>
      </w:tr>
      <w:tr w14:paraId="59E6E588">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4" w:type="dxa"/>
          </w:tcPr>
          <w:p w14:paraId="29DC1A70">
            <w:pPr>
              <w:rPr>
                <w:rFonts w:hint="eastAsia" w:ascii="宋体" w:hAnsi="宋体" w:eastAsia="宋体" w:cs="宋体"/>
                <w:b/>
                <w:sz w:val="24"/>
                <w:szCs w:val="24"/>
              </w:rPr>
            </w:pPr>
            <w:r>
              <w:rPr>
                <w:rFonts w:hint="eastAsia" w:ascii="宋体" w:hAnsi="宋体" w:eastAsia="宋体" w:cs="宋体"/>
                <w:b/>
                <w:sz w:val="24"/>
                <w:szCs w:val="24"/>
              </w:rPr>
              <w:t>第十六部分  基金的收益与分配</w:t>
            </w:r>
          </w:p>
        </w:tc>
        <w:tc>
          <w:tcPr>
            <w:tcW w:w="4127" w:type="dxa"/>
          </w:tcPr>
          <w:p w14:paraId="3A674A47">
            <w:pPr>
              <w:autoSpaceDE w:val="0"/>
              <w:autoSpaceDN w:val="0"/>
              <w:spacing w:line="0" w:lineRule="atLeast"/>
              <w:ind w:firstLine="480" w:firstLineChars="200"/>
              <w:textAlignment w:val="bottom"/>
              <w:rPr>
                <w:rFonts w:hint="eastAsia" w:ascii="宋体" w:hAnsi="宋体" w:eastAsia="宋体" w:cs="宋体"/>
                <w:sz w:val="24"/>
                <w:szCs w:val="24"/>
              </w:rPr>
            </w:pPr>
            <w:r>
              <w:rPr>
                <w:rFonts w:hint="eastAsia" w:ascii="宋体" w:hAnsi="宋体" w:eastAsia="宋体" w:cs="宋体"/>
                <w:bCs/>
                <w:color w:val="000000" w:themeColor="text1"/>
                <w:sz w:val="24"/>
                <w:szCs w:val="24"/>
                <w14:textFill>
                  <w14:solidFill>
                    <w14:schemeClr w14:val="tx1"/>
                  </w14:solidFill>
                </w14:textFill>
              </w:rPr>
              <w:t>三、基金收益分配原则</w:t>
            </w:r>
          </w:p>
          <w:p w14:paraId="288F4445">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基金收益分配方式分两种：现金分红与红利再投资，投资者可选择现金红利或将现金红利自动转为相应类别的基金份额进行再投资，且基金份额持有人可对基金份额分别选择不同的分红方式；若投资者不选择，本基金默认的收益分配方式是现金分红；</w:t>
            </w:r>
          </w:p>
          <w:p w14:paraId="558EE2D1">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2、由于本基金A类基金份额不收取销售服务费，C类基金份额收取销售服务费，各基金份额类别对应的可分配收益将有所不同。本基金同一类别每一基金份额享有同等分配权；</w:t>
            </w:r>
          </w:p>
          <w:p w14:paraId="78E90C8F">
            <w:pPr>
              <w:autoSpaceDE w:val="0"/>
              <w:autoSpaceDN w:val="0"/>
              <w:spacing w:line="0" w:lineRule="atLeast"/>
              <w:ind w:firstLine="480" w:firstLineChars="200"/>
              <w:textAlignment w:val="bottom"/>
              <w:rPr>
                <w:rFonts w:hint="eastAsia" w:ascii="宋体" w:hAnsi="宋体" w:eastAsia="宋体" w:cs="宋体"/>
                <w:bCs/>
                <w:sz w:val="24"/>
                <w:szCs w:val="24"/>
              </w:rPr>
            </w:pPr>
          </w:p>
        </w:tc>
        <w:tc>
          <w:tcPr>
            <w:tcW w:w="4127" w:type="dxa"/>
          </w:tcPr>
          <w:p w14:paraId="0D7752AC">
            <w:pPr>
              <w:autoSpaceDE w:val="0"/>
              <w:autoSpaceDN w:val="0"/>
              <w:spacing w:line="0" w:lineRule="atLeast"/>
              <w:ind w:firstLine="480" w:firstLineChars="200"/>
              <w:textAlignment w:val="bottom"/>
              <w:rPr>
                <w:rFonts w:hint="eastAsia" w:ascii="宋体" w:hAnsi="宋体" w:eastAsia="宋体" w:cs="宋体"/>
                <w:sz w:val="24"/>
                <w:szCs w:val="24"/>
              </w:rPr>
            </w:pPr>
            <w:r>
              <w:rPr>
                <w:rFonts w:hint="eastAsia" w:ascii="宋体" w:hAnsi="宋体" w:eastAsia="宋体" w:cs="宋体"/>
                <w:bCs/>
                <w:color w:val="000000" w:themeColor="text1"/>
                <w:sz w:val="24"/>
                <w:szCs w:val="24"/>
                <w14:textFill>
                  <w14:solidFill>
                    <w14:schemeClr w14:val="tx1"/>
                  </w14:solidFill>
                </w14:textFill>
              </w:rPr>
              <w:t>三、基金收益分配原则</w:t>
            </w:r>
          </w:p>
          <w:p w14:paraId="3A737E9F">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1、本基金收益分配方式分两种：现金分红与红利再投资，投资者可选择现金红利或将现金红利自动转为相应类别的基金份额进行再投资，且基金份额持有人可对</w:t>
            </w:r>
            <w:r>
              <w:rPr>
                <w:rFonts w:hint="eastAsia" w:asciiTheme="minorEastAsia" w:hAnsiTheme="minorEastAsia" w:eastAsiaTheme="minorEastAsia"/>
                <w:b/>
                <w:bCs/>
                <w:sz w:val="24"/>
                <w:u w:val="single"/>
              </w:rPr>
              <w:t>各类</w:t>
            </w:r>
            <w:r>
              <w:rPr>
                <w:rFonts w:hint="eastAsia" w:asciiTheme="minorEastAsia" w:hAnsiTheme="minorEastAsia" w:eastAsiaTheme="minorEastAsia"/>
                <w:sz w:val="24"/>
              </w:rPr>
              <w:t>基金份额分别选择不同的分红方式；若投资者不选择，本基金默认的收益分配方式是现金分红；</w:t>
            </w:r>
          </w:p>
          <w:p w14:paraId="759771C7">
            <w:pPr>
              <w:adjustRightInd w:val="0"/>
              <w:snapToGrid w:val="0"/>
              <w:spacing w:line="360" w:lineRule="auto"/>
              <w:ind w:firstLine="480" w:firstLineChars="200"/>
              <w:rPr>
                <w:rFonts w:hint="eastAsia" w:ascii="宋体" w:hAnsi="宋体" w:eastAsia="宋体" w:cs="宋体"/>
                <w:bCs/>
                <w:sz w:val="24"/>
                <w:szCs w:val="24"/>
              </w:rPr>
            </w:pPr>
            <w:r>
              <w:rPr>
                <w:rFonts w:hint="eastAsia" w:asciiTheme="minorEastAsia" w:hAnsiTheme="minorEastAsia" w:eastAsiaTheme="minorEastAsia"/>
                <w:sz w:val="24"/>
              </w:rPr>
              <w:t>2、由于本基金A类基金份额不收取销售服务费，C类基金份额</w:t>
            </w:r>
            <w:r>
              <w:rPr>
                <w:rFonts w:hint="eastAsia" w:asciiTheme="minorEastAsia" w:hAnsiTheme="minorEastAsia" w:eastAsiaTheme="minorEastAsia"/>
                <w:b/>
                <w:bCs/>
                <w:sz w:val="24"/>
                <w:u w:val="single"/>
              </w:rPr>
              <w:t>和E类基金份额</w:t>
            </w:r>
            <w:r>
              <w:rPr>
                <w:rFonts w:hint="eastAsia" w:asciiTheme="minorEastAsia" w:hAnsiTheme="minorEastAsia" w:eastAsiaTheme="minorEastAsia"/>
                <w:sz w:val="24"/>
              </w:rPr>
              <w:t>收取销售服务费，各基金份额类别对应的可分配收益将有所不同。本基金同一类别每一基金份额享有同等分配权；</w:t>
            </w:r>
          </w:p>
        </w:tc>
      </w:tr>
      <w:tr w14:paraId="4676B296">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4" w:type="dxa"/>
          </w:tcPr>
          <w:p w14:paraId="4B3EB9CB">
            <w:pPr>
              <w:rPr>
                <w:rFonts w:hint="eastAsia" w:ascii="宋体" w:hAnsi="宋体" w:eastAsia="宋体" w:cs="宋体"/>
                <w:b/>
                <w:sz w:val="24"/>
                <w:szCs w:val="24"/>
              </w:rPr>
            </w:pPr>
            <w:r>
              <w:rPr>
                <w:rFonts w:hint="eastAsia" w:ascii="宋体" w:hAnsi="宋体" w:eastAsia="宋体" w:cs="宋体"/>
                <w:b/>
                <w:sz w:val="24"/>
                <w:szCs w:val="24"/>
              </w:rPr>
              <w:t>第二十四部分 基金合同内容摘要</w:t>
            </w:r>
          </w:p>
        </w:tc>
        <w:tc>
          <w:tcPr>
            <w:tcW w:w="4127" w:type="dxa"/>
          </w:tcPr>
          <w:p w14:paraId="169FB904">
            <w:pPr>
              <w:spacing w:line="0" w:lineRule="atLeast"/>
              <w:rPr>
                <w:rFonts w:hint="eastAsia" w:ascii="宋体" w:hAnsi="宋体" w:eastAsia="宋体" w:cs="宋体"/>
                <w:bCs/>
                <w:sz w:val="24"/>
                <w:szCs w:val="24"/>
              </w:rPr>
            </w:pPr>
          </w:p>
        </w:tc>
        <w:tc>
          <w:tcPr>
            <w:tcW w:w="4127" w:type="dxa"/>
          </w:tcPr>
          <w:p w14:paraId="36B8F0F9">
            <w:pPr>
              <w:spacing w:line="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基金合同内容摘要修改同基金合同正文部分内容</w:t>
            </w:r>
          </w:p>
        </w:tc>
      </w:tr>
    </w:tbl>
    <w:p w14:paraId="08D4FE36">
      <w:pPr>
        <w:snapToGrid w:val="0"/>
        <w:spacing w:before="156" w:beforeLines="50" w:after="156" w:afterLines="50"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附件2：《托管协议》修订对照表</w:t>
      </w:r>
    </w:p>
    <w:tbl>
      <w:tblPr>
        <w:tblStyle w:val="10"/>
        <w:tblW w:w="9350" w:type="dxa"/>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148"/>
        <w:gridCol w:w="4388"/>
      </w:tblGrid>
      <w:tr w14:paraId="6AC1B54C">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Pr>
          <w:p w14:paraId="07A22B5A">
            <w:pPr>
              <w:jc w:val="center"/>
              <w:rPr>
                <w:rFonts w:hint="eastAsia" w:ascii="宋体" w:hAnsi="宋体" w:eastAsia="宋体" w:cs="宋体"/>
                <w:b/>
                <w:sz w:val="24"/>
                <w:szCs w:val="24"/>
              </w:rPr>
            </w:pPr>
            <w:r>
              <w:rPr>
                <w:rFonts w:hint="eastAsia" w:ascii="宋体" w:hAnsi="宋体" w:eastAsia="宋体" w:cs="宋体"/>
                <w:b/>
                <w:sz w:val="24"/>
                <w:szCs w:val="24"/>
              </w:rPr>
              <w:t>章节</w:t>
            </w:r>
          </w:p>
        </w:tc>
        <w:tc>
          <w:tcPr>
            <w:tcW w:w="4148" w:type="dxa"/>
          </w:tcPr>
          <w:p w14:paraId="3C017511">
            <w:pPr>
              <w:autoSpaceDE w:val="0"/>
              <w:autoSpaceDN w:val="0"/>
              <w:spacing w:line="0" w:lineRule="atLeast"/>
              <w:jc w:val="center"/>
              <w:textAlignment w:val="bottom"/>
              <w:rPr>
                <w:rFonts w:hint="eastAsia" w:ascii="宋体" w:hAnsi="宋体" w:eastAsia="宋体" w:cs="宋体"/>
                <w:b/>
                <w:sz w:val="24"/>
                <w:szCs w:val="24"/>
              </w:rPr>
            </w:pPr>
            <w:r>
              <w:rPr>
                <w:rFonts w:hint="eastAsia" w:ascii="宋体" w:hAnsi="宋体" w:eastAsia="宋体" w:cs="宋体"/>
                <w:b/>
                <w:sz w:val="24"/>
                <w:szCs w:val="24"/>
              </w:rPr>
              <w:t>原托管协议内容</w:t>
            </w:r>
          </w:p>
        </w:tc>
        <w:tc>
          <w:tcPr>
            <w:tcW w:w="4388" w:type="dxa"/>
          </w:tcPr>
          <w:p w14:paraId="2C60FD22">
            <w:pPr>
              <w:autoSpaceDE w:val="0"/>
              <w:autoSpaceDN w:val="0"/>
              <w:spacing w:line="0" w:lineRule="atLeast"/>
              <w:jc w:val="center"/>
              <w:textAlignment w:val="bottom"/>
              <w:rPr>
                <w:rFonts w:hint="eastAsia" w:ascii="宋体" w:hAnsi="宋体" w:eastAsia="宋体" w:cs="宋体"/>
                <w:b/>
                <w:sz w:val="24"/>
                <w:szCs w:val="24"/>
              </w:rPr>
            </w:pPr>
            <w:r>
              <w:rPr>
                <w:rFonts w:hint="eastAsia" w:ascii="宋体" w:hAnsi="宋体" w:eastAsia="宋体" w:cs="宋体"/>
                <w:b/>
                <w:sz w:val="24"/>
                <w:szCs w:val="24"/>
              </w:rPr>
              <w:t>修订后托管协议内容</w:t>
            </w:r>
          </w:p>
        </w:tc>
      </w:tr>
      <w:tr w14:paraId="6993ACF1">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Pr>
          <w:p w14:paraId="3C432B42">
            <w:pPr>
              <w:rPr>
                <w:rFonts w:hint="eastAsia" w:ascii="宋体" w:hAnsi="宋体" w:eastAsia="宋体" w:cs="宋体"/>
                <w:b/>
                <w:sz w:val="24"/>
                <w:szCs w:val="24"/>
              </w:rPr>
            </w:pPr>
            <w:r>
              <w:rPr>
                <w:rFonts w:hint="eastAsia" w:ascii="宋体" w:hAnsi="宋体" w:eastAsia="宋体" w:cs="宋体"/>
                <w:b/>
                <w:sz w:val="24"/>
                <w:szCs w:val="24"/>
              </w:rPr>
              <w:t>九、基金收益分配</w:t>
            </w:r>
          </w:p>
        </w:tc>
        <w:tc>
          <w:tcPr>
            <w:tcW w:w="4148" w:type="dxa"/>
          </w:tcPr>
          <w:p w14:paraId="4D82A9B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（一）基金收益分配的原则</w:t>
            </w:r>
          </w:p>
          <w:p w14:paraId="214A3122">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本基金收益分配方式分两种：现金分红与红利再投资，投资者可选择现金红利或将现金红利自动转为相应类别的基金份额进行再投资，且基金份额持有人可对基金份额分别选择不同的分红方式；若投资者不选择，本基金默认的收益分配方式是现金分红；</w:t>
            </w:r>
          </w:p>
          <w:p w14:paraId="60144BB3">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2、由于本基金A类基金份额不收取销售服务费，C类基金份额收取销售服务费，各基金份额类别对应的可分配收益将有所不同。本基金同一类别每一基金份额享有同等分配权；</w:t>
            </w:r>
          </w:p>
          <w:p w14:paraId="1225B5E8">
            <w:pPr>
              <w:adjustRightInd w:val="0"/>
              <w:snapToGrid w:val="0"/>
              <w:spacing w:line="360" w:lineRule="auto"/>
              <w:ind w:firstLine="480" w:firstLineChars="200"/>
              <w:rPr>
                <w:rFonts w:hint="eastAsia" w:ascii="宋体" w:hAnsi="宋体" w:eastAsia="宋体" w:cs="宋体"/>
                <w:bCs/>
                <w:sz w:val="24"/>
                <w:szCs w:val="24"/>
              </w:rPr>
            </w:pPr>
          </w:p>
        </w:tc>
        <w:tc>
          <w:tcPr>
            <w:tcW w:w="4388" w:type="dxa"/>
          </w:tcPr>
          <w:p w14:paraId="4B2664BC">
            <w:pPr>
              <w:adjustRightInd w:val="0"/>
              <w:snapToGrid w:val="0"/>
              <w:spacing w:line="360" w:lineRule="auto"/>
              <w:ind w:firstLine="480" w:firstLineChars="200"/>
              <w:rPr>
                <w:rFonts w:hint="eastAsia" w:ascii="宋体" w:hAnsi="宋体" w:eastAsia="宋体" w:cs="宋体"/>
                <w:sz w:val="24"/>
                <w:szCs w:val="24"/>
              </w:rPr>
            </w:pPr>
            <w:bookmarkStart w:id="0" w:name="_Toc22454462"/>
            <w:bookmarkStart w:id="1" w:name="_Toc48703913"/>
            <w:r>
              <w:rPr>
                <w:rFonts w:hint="eastAsia" w:ascii="宋体" w:hAnsi="宋体" w:eastAsia="宋体" w:cs="宋体"/>
                <w:sz w:val="24"/>
                <w:szCs w:val="24"/>
              </w:rPr>
              <w:t>（一）基金收益分配</w:t>
            </w:r>
            <w:bookmarkEnd w:id="0"/>
            <w:bookmarkEnd w:id="1"/>
            <w:r>
              <w:rPr>
                <w:rFonts w:hint="eastAsia" w:ascii="宋体" w:hAnsi="宋体" w:eastAsia="宋体" w:cs="宋体"/>
                <w:sz w:val="24"/>
                <w:szCs w:val="24"/>
              </w:rPr>
              <w:t>的原则</w:t>
            </w:r>
          </w:p>
          <w:p w14:paraId="0D54D571">
            <w:pPr>
              <w:adjustRightInd w:val="0"/>
              <w:snapToGrid w:val="0"/>
              <w:spacing w:line="360" w:lineRule="auto"/>
              <w:ind w:firstLine="480" w:firstLineChars="200"/>
              <w:rPr>
                <w:rFonts w:hint="eastAsia" w:ascii="宋体" w:hAnsi="宋体" w:eastAsia="宋体" w:cs="宋体"/>
                <w:sz w:val="24"/>
                <w:szCs w:val="24"/>
                <w:lang w:eastAsia="zh-CN"/>
              </w:rPr>
            </w:pPr>
            <w:bookmarkStart w:id="2" w:name="_Hlt80958353"/>
            <w:bookmarkEnd w:id="2"/>
            <w:r>
              <w:rPr>
                <w:rFonts w:hint="eastAsia" w:ascii="宋体" w:hAnsi="宋体" w:eastAsia="宋体" w:cs="宋体"/>
                <w:sz w:val="24"/>
                <w:szCs w:val="24"/>
                <w:lang w:eastAsia="zh-CN"/>
              </w:rPr>
              <w:t>1、本基金收益分配方式分两种：现金分红与红利再投资，投资者可选择现金红利或将现金红利自动转为相应类别的基金份额进行再投资，且基金份额持有人可对</w:t>
            </w:r>
            <w:r>
              <w:rPr>
                <w:rFonts w:hint="eastAsia" w:ascii="宋体" w:hAnsi="宋体" w:eastAsia="宋体" w:cs="宋体"/>
                <w:b/>
                <w:bCs/>
                <w:sz w:val="24"/>
                <w:szCs w:val="24"/>
                <w:u w:val="single"/>
                <w:lang w:eastAsia="zh-CN"/>
              </w:rPr>
              <w:t>各类</w:t>
            </w:r>
            <w:r>
              <w:rPr>
                <w:rFonts w:hint="eastAsia" w:ascii="宋体" w:hAnsi="宋体" w:eastAsia="宋体" w:cs="宋体"/>
                <w:sz w:val="24"/>
                <w:szCs w:val="24"/>
                <w:lang w:eastAsia="zh-CN"/>
              </w:rPr>
              <w:t>基金份额分别选择不同的分红方式；若投资者不选择，本基金默认的收益分配方式是现金分红；</w:t>
            </w:r>
          </w:p>
          <w:p w14:paraId="1461C0A5">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2、由于本基金A类基金份额不收取销售服务费，C类基金份额</w:t>
            </w:r>
            <w:r>
              <w:rPr>
                <w:rFonts w:hint="eastAsia" w:ascii="宋体" w:hAnsi="宋体" w:eastAsia="宋体" w:cs="宋体"/>
                <w:b/>
                <w:bCs/>
                <w:sz w:val="24"/>
                <w:szCs w:val="24"/>
                <w:u w:val="single"/>
                <w:lang w:eastAsia="zh-CN"/>
              </w:rPr>
              <w:t>和E类基金份额</w:t>
            </w:r>
            <w:r>
              <w:rPr>
                <w:rFonts w:hint="eastAsia" w:ascii="宋体" w:hAnsi="宋体" w:eastAsia="宋体" w:cs="宋体"/>
                <w:sz w:val="24"/>
                <w:szCs w:val="24"/>
                <w:lang w:eastAsia="zh-CN"/>
              </w:rPr>
              <w:t>收取销售服务费，各基金份额类别对应的可分配收益将有所不同。本基金同一类别每一基金份额享有同等分配权；</w:t>
            </w:r>
          </w:p>
          <w:p w14:paraId="59F85CEA">
            <w:pPr>
              <w:adjustRightInd w:val="0"/>
              <w:snapToGrid w:val="0"/>
              <w:spacing w:line="360" w:lineRule="auto"/>
              <w:ind w:firstLine="480" w:firstLineChars="200"/>
              <w:rPr>
                <w:rFonts w:hint="eastAsia" w:ascii="宋体" w:hAnsi="宋体" w:eastAsia="宋体" w:cs="宋体"/>
                <w:bCs/>
                <w:sz w:val="24"/>
                <w:szCs w:val="24"/>
              </w:rPr>
            </w:pPr>
          </w:p>
        </w:tc>
      </w:tr>
      <w:tr w14:paraId="6F7EC9A3">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Pr>
          <w:p w14:paraId="0C295440">
            <w:pPr>
              <w:rPr>
                <w:rFonts w:hint="eastAsia" w:ascii="宋体" w:hAnsi="宋体" w:eastAsia="宋体" w:cs="宋体"/>
                <w:b/>
                <w:sz w:val="24"/>
                <w:szCs w:val="24"/>
              </w:rPr>
            </w:pPr>
            <w:r>
              <w:rPr>
                <w:rFonts w:hint="eastAsia" w:ascii="宋体" w:hAnsi="宋体" w:eastAsia="宋体" w:cs="宋体"/>
                <w:b/>
                <w:sz w:val="24"/>
                <w:szCs w:val="24"/>
              </w:rPr>
              <w:t>十一、基金费用</w:t>
            </w:r>
          </w:p>
        </w:tc>
        <w:tc>
          <w:tcPr>
            <w:tcW w:w="4148" w:type="dxa"/>
          </w:tcPr>
          <w:p w14:paraId="31246F4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（三）销售服务费的计提比例和计提方法</w:t>
            </w:r>
          </w:p>
          <w:p w14:paraId="6DC5B61C">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本基金A类基金份额不收取销售服务费，C类基金份额的销售服务费年费率为0.30%。</w:t>
            </w:r>
          </w:p>
          <w:p w14:paraId="4C185EB9">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本基金</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销售服务费按前一日C类基金份额的基金资产净值的0.30%年费率计提。销售服务费的计算方法如下：</w:t>
            </w:r>
          </w:p>
          <w:p w14:paraId="168DD50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H＝E×</w:t>
            </w:r>
            <w:r>
              <w:rPr>
                <w:rFonts w:hint="eastAsia" w:ascii="宋体" w:hAnsi="宋体" w:eastAsia="宋体" w:cs="宋体"/>
                <w:b/>
                <w:bCs/>
                <w:strike/>
                <w:dstrike w:val="0"/>
                <w:sz w:val="24"/>
                <w:szCs w:val="24"/>
              </w:rPr>
              <w:t>0.</w:t>
            </w:r>
            <w:r>
              <w:rPr>
                <w:rFonts w:hint="eastAsia" w:ascii="宋体" w:hAnsi="宋体" w:eastAsia="宋体" w:cs="宋体"/>
                <w:b/>
                <w:bCs/>
                <w:strike/>
                <w:dstrike w:val="0"/>
                <w:sz w:val="24"/>
                <w:szCs w:val="24"/>
                <w:lang w:val="en-US" w:eastAsia="zh-CN"/>
              </w:rPr>
              <w:t>3</w:t>
            </w:r>
            <w:r>
              <w:rPr>
                <w:rFonts w:hint="eastAsia" w:ascii="宋体" w:hAnsi="宋体" w:eastAsia="宋体" w:cs="宋体"/>
                <w:b/>
                <w:bCs/>
                <w:strike/>
                <w:dstrike w:val="0"/>
                <w:sz w:val="24"/>
                <w:szCs w:val="24"/>
              </w:rPr>
              <w:t>0%</w:t>
            </w:r>
            <w:r>
              <w:rPr>
                <w:rFonts w:hint="eastAsia" w:ascii="宋体" w:hAnsi="宋体" w:eastAsia="宋体" w:cs="宋体"/>
                <w:sz w:val="24"/>
                <w:szCs w:val="24"/>
              </w:rPr>
              <w:t>÷当年天数</w:t>
            </w:r>
          </w:p>
          <w:p w14:paraId="5787FDF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H为</w:t>
            </w:r>
            <w:r>
              <w:rPr>
                <w:rFonts w:hint="eastAsia" w:ascii="宋体" w:hAnsi="宋体" w:eastAsia="宋体" w:cs="宋体"/>
                <w:b/>
                <w:bCs/>
                <w:strike/>
                <w:dstrike w:val="0"/>
                <w:sz w:val="24"/>
                <w:szCs w:val="24"/>
                <w:lang w:val="en-US" w:eastAsia="zh-CN"/>
              </w:rPr>
              <w:t>C</w:t>
            </w:r>
            <w:r>
              <w:rPr>
                <w:rFonts w:hint="eastAsia" w:ascii="宋体" w:hAnsi="宋体" w:eastAsia="宋体" w:cs="宋体"/>
                <w:b/>
                <w:bCs/>
                <w:strike/>
                <w:dstrike w:val="0"/>
                <w:sz w:val="24"/>
                <w:szCs w:val="24"/>
              </w:rPr>
              <w:t>类</w:t>
            </w:r>
            <w:r>
              <w:rPr>
                <w:rFonts w:hint="eastAsia" w:ascii="宋体" w:hAnsi="宋体" w:eastAsia="宋体" w:cs="宋体"/>
                <w:sz w:val="24"/>
                <w:szCs w:val="24"/>
              </w:rPr>
              <w:t>基金份额每日应计提的销售服务费</w:t>
            </w:r>
          </w:p>
          <w:p w14:paraId="07FD260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E为</w:t>
            </w:r>
            <w:r>
              <w:rPr>
                <w:rFonts w:hint="eastAsia" w:ascii="宋体" w:hAnsi="宋体" w:eastAsia="宋体" w:cs="宋体"/>
                <w:b/>
                <w:bCs/>
                <w:strike/>
                <w:dstrike w:val="0"/>
                <w:sz w:val="24"/>
                <w:szCs w:val="24"/>
                <w:lang w:val="en-US" w:eastAsia="zh-CN"/>
              </w:rPr>
              <w:t>C</w:t>
            </w:r>
            <w:r>
              <w:rPr>
                <w:rFonts w:hint="eastAsia" w:ascii="宋体" w:hAnsi="宋体" w:eastAsia="宋体" w:cs="宋体"/>
                <w:b/>
                <w:bCs/>
                <w:strike/>
                <w:dstrike w:val="0"/>
                <w:sz w:val="24"/>
                <w:szCs w:val="24"/>
              </w:rPr>
              <w:t>类</w:t>
            </w:r>
            <w:r>
              <w:rPr>
                <w:rFonts w:hint="eastAsia" w:ascii="宋体" w:hAnsi="宋体" w:eastAsia="宋体" w:cs="宋体"/>
                <w:sz w:val="24"/>
                <w:szCs w:val="24"/>
              </w:rPr>
              <w:t>基金份额前一日基金资产净值</w:t>
            </w:r>
          </w:p>
          <w:p w14:paraId="4FD71894">
            <w:pPr>
              <w:adjustRightInd w:val="0"/>
              <w:snapToGrid w:val="0"/>
              <w:spacing w:line="360" w:lineRule="auto"/>
              <w:ind w:firstLine="480" w:firstLineChars="200"/>
              <w:rPr>
                <w:rFonts w:hint="eastAsia" w:ascii="宋体" w:hAnsi="宋体" w:eastAsia="宋体" w:cs="宋体"/>
                <w:sz w:val="24"/>
                <w:szCs w:val="24"/>
              </w:rPr>
            </w:pPr>
          </w:p>
          <w:p w14:paraId="4EE098E1">
            <w:pPr>
              <w:adjustRightInd w:val="0"/>
              <w:snapToGrid w:val="0"/>
              <w:spacing w:line="360" w:lineRule="auto"/>
              <w:ind w:firstLine="480" w:firstLineChars="200"/>
              <w:rPr>
                <w:rFonts w:hint="eastAsia" w:ascii="宋体" w:hAnsi="宋体" w:eastAsia="宋体" w:cs="宋体"/>
                <w:sz w:val="24"/>
                <w:szCs w:val="24"/>
              </w:rPr>
            </w:pPr>
          </w:p>
          <w:p w14:paraId="4035717B">
            <w:pPr>
              <w:adjustRightInd w:val="0"/>
              <w:snapToGrid w:val="0"/>
              <w:spacing w:line="360" w:lineRule="auto"/>
              <w:ind w:firstLine="480" w:firstLineChars="200"/>
              <w:rPr>
                <w:rFonts w:hint="eastAsia" w:ascii="宋体" w:hAnsi="宋体" w:eastAsia="宋体" w:cs="宋体"/>
                <w:sz w:val="24"/>
                <w:szCs w:val="24"/>
              </w:rPr>
            </w:pPr>
          </w:p>
        </w:tc>
        <w:tc>
          <w:tcPr>
            <w:tcW w:w="4388" w:type="dxa"/>
          </w:tcPr>
          <w:p w14:paraId="3CA78B9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（三）销售服务费的计提比例和计提方法</w:t>
            </w:r>
          </w:p>
          <w:p w14:paraId="2AFDFD82">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本基金A类基金份额不收取销售服务费，C类基金份额的销售服务费年费率为0.30%</w:t>
            </w:r>
            <w:r>
              <w:rPr>
                <w:rFonts w:hint="eastAsia" w:ascii="宋体" w:hAnsi="宋体" w:eastAsia="宋体" w:cs="宋体"/>
                <w:b/>
                <w:bCs/>
                <w:sz w:val="24"/>
                <w:szCs w:val="24"/>
                <w:u w:val="single"/>
                <w:lang w:eastAsia="zh-CN"/>
              </w:rPr>
              <w:t>、E类基金份额的销售服务费年费率为0.01%</w:t>
            </w:r>
            <w:r>
              <w:rPr>
                <w:rFonts w:hint="eastAsia" w:ascii="宋体" w:hAnsi="宋体" w:eastAsia="宋体" w:cs="宋体"/>
                <w:sz w:val="24"/>
                <w:szCs w:val="24"/>
                <w:lang w:eastAsia="zh-CN"/>
              </w:rPr>
              <w:t>。</w:t>
            </w:r>
          </w:p>
          <w:p w14:paraId="739AC174">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本基金</w:t>
            </w:r>
            <w:r>
              <w:rPr>
                <w:rFonts w:hint="eastAsia" w:ascii="宋体" w:hAnsi="宋体" w:eastAsia="宋体" w:cs="宋体"/>
                <w:b/>
                <w:bCs/>
                <w:sz w:val="24"/>
                <w:szCs w:val="24"/>
                <w:u w:val="single"/>
                <w:lang w:eastAsia="zh-CN"/>
              </w:rPr>
              <w:t>C类基金份额的</w:t>
            </w:r>
            <w:r>
              <w:rPr>
                <w:rFonts w:hint="eastAsia" w:ascii="宋体" w:hAnsi="宋体" w:eastAsia="宋体" w:cs="宋体"/>
                <w:sz w:val="24"/>
                <w:szCs w:val="24"/>
                <w:lang w:eastAsia="zh-CN"/>
              </w:rPr>
              <w:t>销售服务费按前一日C类基金份额的基金资产净值的0.30%年费率计提</w:t>
            </w:r>
            <w:r>
              <w:rPr>
                <w:rFonts w:hint="eastAsia" w:ascii="宋体" w:hAnsi="宋体" w:eastAsia="宋体" w:cs="宋体"/>
                <w:b/>
                <w:bCs/>
                <w:sz w:val="24"/>
                <w:szCs w:val="24"/>
                <w:u w:val="single"/>
                <w:lang w:eastAsia="zh-CN"/>
              </w:rPr>
              <w:t>，E类基金份额的销售服务费按前一日E类基金份额的基金资产净值的0.01%年费率计提</w:t>
            </w:r>
            <w:r>
              <w:rPr>
                <w:rFonts w:hint="eastAsia" w:ascii="宋体" w:hAnsi="宋体" w:eastAsia="宋体" w:cs="宋体"/>
                <w:sz w:val="24"/>
                <w:szCs w:val="24"/>
                <w:lang w:eastAsia="zh-CN"/>
              </w:rPr>
              <w:t xml:space="preserve">。销售服务费的计算方法如下： </w:t>
            </w:r>
          </w:p>
          <w:p w14:paraId="30A5669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H＝E×</w:t>
            </w:r>
            <w:r>
              <w:rPr>
                <w:rFonts w:hint="eastAsia" w:ascii="宋体" w:hAnsi="宋体" w:eastAsia="宋体" w:cs="宋体"/>
                <w:b/>
                <w:bCs/>
                <w:sz w:val="24"/>
                <w:szCs w:val="24"/>
                <w:u w:val="single"/>
              </w:rPr>
              <w:t>该类基金份额年销售服务费率</w:t>
            </w:r>
            <w:r>
              <w:rPr>
                <w:rFonts w:hint="eastAsia" w:ascii="宋体" w:hAnsi="宋体" w:eastAsia="宋体" w:cs="宋体"/>
                <w:sz w:val="24"/>
                <w:szCs w:val="24"/>
              </w:rPr>
              <w:t>÷当年天数</w:t>
            </w:r>
          </w:p>
          <w:p w14:paraId="548F48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H为</w:t>
            </w:r>
            <w:r>
              <w:rPr>
                <w:rFonts w:hint="eastAsia" w:ascii="宋体" w:hAnsi="宋体" w:eastAsia="宋体" w:cs="宋体"/>
                <w:b/>
                <w:bCs/>
                <w:sz w:val="24"/>
                <w:szCs w:val="24"/>
                <w:u w:val="single"/>
              </w:rPr>
              <w:t>该类</w:t>
            </w:r>
            <w:r>
              <w:rPr>
                <w:rFonts w:hint="eastAsia" w:ascii="宋体" w:hAnsi="宋体" w:eastAsia="宋体" w:cs="宋体"/>
                <w:sz w:val="24"/>
                <w:szCs w:val="24"/>
              </w:rPr>
              <w:t>基金份额每日应计提的销售服务费</w:t>
            </w:r>
          </w:p>
          <w:p w14:paraId="17B5562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E为</w:t>
            </w:r>
            <w:r>
              <w:rPr>
                <w:rFonts w:hint="eastAsia" w:ascii="宋体" w:hAnsi="宋体" w:eastAsia="宋体" w:cs="宋体"/>
                <w:b/>
                <w:bCs/>
                <w:sz w:val="24"/>
                <w:szCs w:val="24"/>
                <w:u w:val="single"/>
              </w:rPr>
              <w:t>该类</w:t>
            </w:r>
            <w:r>
              <w:rPr>
                <w:rFonts w:hint="eastAsia" w:ascii="宋体" w:hAnsi="宋体" w:eastAsia="宋体" w:cs="宋体"/>
                <w:sz w:val="24"/>
                <w:szCs w:val="24"/>
              </w:rPr>
              <w:t>基金份额前一日基金资产净值</w:t>
            </w:r>
          </w:p>
          <w:p w14:paraId="52AFCCFC">
            <w:pPr>
              <w:adjustRightInd w:val="0"/>
              <w:snapToGrid w:val="0"/>
              <w:spacing w:line="360" w:lineRule="auto"/>
              <w:ind w:firstLine="480" w:firstLineChars="200"/>
              <w:rPr>
                <w:rFonts w:hint="eastAsia" w:ascii="宋体" w:hAnsi="宋体" w:eastAsia="宋体" w:cs="宋体"/>
                <w:sz w:val="24"/>
                <w:szCs w:val="24"/>
              </w:rPr>
            </w:pPr>
          </w:p>
        </w:tc>
      </w:tr>
    </w:tbl>
    <w:p w14:paraId="3D333A13">
      <w:pPr>
        <w:spacing w:line="360" w:lineRule="auto"/>
        <w:rPr>
          <w:rFonts w:hint="eastAsia" w:ascii="宋体" w:hAnsi="宋体" w:eastAsia="宋体" w:cs="宋体"/>
          <w:sz w:val="24"/>
          <w:szCs w:val="24"/>
        </w:rPr>
      </w:pPr>
    </w:p>
    <w:p w14:paraId="1A08AFE2">
      <w:pPr>
        <w:rPr>
          <w:rFonts w:ascii="宋体" w:hAnsi="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044F2"/>
    <w:multiLevelType w:val="multilevel"/>
    <w:tmpl w:val="34D044F2"/>
    <w:lvl w:ilvl="0" w:tentative="0">
      <w:start w:val="1"/>
      <w:numFmt w:val="japaneseCounting"/>
      <w:lvlText w:val="%1、"/>
      <w:lvlJc w:val="left"/>
      <w:pPr>
        <w:ind w:left="510" w:hanging="51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5BBCEE"/>
    <w:multiLevelType w:val="singleLevel"/>
    <w:tmpl w:val="445BBCEE"/>
    <w:lvl w:ilvl="0" w:tentative="0">
      <w:start w:val="3"/>
      <w:numFmt w:val="decimal"/>
      <w:suff w:val="nothing"/>
      <w:lvlText w:val="%1）"/>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hNzFkNWVhMWE5NGMyZWFlYjNiN2ZkZjExOGM2OGIifQ=="/>
  </w:docVars>
  <w:rsids>
    <w:rsidRoot w:val="00CD5A60"/>
    <w:rsid w:val="00115866"/>
    <w:rsid w:val="0014771E"/>
    <w:rsid w:val="0018472A"/>
    <w:rsid w:val="001B0F5D"/>
    <w:rsid w:val="00242C2A"/>
    <w:rsid w:val="002B5549"/>
    <w:rsid w:val="00312EF4"/>
    <w:rsid w:val="003573C8"/>
    <w:rsid w:val="003F749D"/>
    <w:rsid w:val="004B1B09"/>
    <w:rsid w:val="006141CF"/>
    <w:rsid w:val="00675A3D"/>
    <w:rsid w:val="007147F0"/>
    <w:rsid w:val="00717ED0"/>
    <w:rsid w:val="007655DE"/>
    <w:rsid w:val="0076630E"/>
    <w:rsid w:val="007C7B82"/>
    <w:rsid w:val="007E4390"/>
    <w:rsid w:val="008D43D2"/>
    <w:rsid w:val="00914D03"/>
    <w:rsid w:val="0098028D"/>
    <w:rsid w:val="00A523A0"/>
    <w:rsid w:val="00A74851"/>
    <w:rsid w:val="00A816ED"/>
    <w:rsid w:val="00AD1EBD"/>
    <w:rsid w:val="00B417EC"/>
    <w:rsid w:val="00B92DBF"/>
    <w:rsid w:val="00C257BD"/>
    <w:rsid w:val="00CC3658"/>
    <w:rsid w:val="00CD5A60"/>
    <w:rsid w:val="00CD758E"/>
    <w:rsid w:val="00D63FB6"/>
    <w:rsid w:val="00E473A8"/>
    <w:rsid w:val="00E67580"/>
    <w:rsid w:val="00F00D62"/>
    <w:rsid w:val="031F2D2C"/>
    <w:rsid w:val="043160E5"/>
    <w:rsid w:val="059D498C"/>
    <w:rsid w:val="067B1F30"/>
    <w:rsid w:val="067C79B2"/>
    <w:rsid w:val="099506BB"/>
    <w:rsid w:val="0C1323BC"/>
    <w:rsid w:val="0ECB24BE"/>
    <w:rsid w:val="0F5D0D44"/>
    <w:rsid w:val="16BA66D8"/>
    <w:rsid w:val="178B572B"/>
    <w:rsid w:val="1D6C1B5C"/>
    <w:rsid w:val="1E7205DF"/>
    <w:rsid w:val="1F4249BB"/>
    <w:rsid w:val="254002AB"/>
    <w:rsid w:val="298F503A"/>
    <w:rsid w:val="2F907296"/>
    <w:rsid w:val="334B694A"/>
    <w:rsid w:val="339C35B9"/>
    <w:rsid w:val="38922686"/>
    <w:rsid w:val="3A5276CE"/>
    <w:rsid w:val="3AD9450D"/>
    <w:rsid w:val="3B01546C"/>
    <w:rsid w:val="3B4071FB"/>
    <w:rsid w:val="3BE64ED1"/>
    <w:rsid w:val="3BF321CD"/>
    <w:rsid w:val="3E6D1878"/>
    <w:rsid w:val="3F240CD5"/>
    <w:rsid w:val="410036CE"/>
    <w:rsid w:val="47466EFF"/>
    <w:rsid w:val="486000FB"/>
    <w:rsid w:val="4A7D4374"/>
    <w:rsid w:val="4BBA3B22"/>
    <w:rsid w:val="4C473333"/>
    <w:rsid w:val="5667743C"/>
    <w:rsid w:val="56893008"/>
    <w:rsid w:val="58782F9D"/>
    <w:rsid w:val="59E57715"/>
    <w:rsid w:val="5A305B79"/>
    <w:rsid w:val="5D5B7670"/>
    <w:rsid w:val="60F31084"/>
    <w:rsid w:val="65085FAC"/>
    <w:rsid w:val="67AE64D7"/>
    <w:rsid w:val="69C53915"/>
    <w:rsid w:val="6A39597A"/>
    <w:rsid w:val="734A40EF"/>
    <w:rsid w:val="741E57F3"/>
    <w:rsid w:val="77235FAD"/>
    <w:rsid w:val="77AB6793"/>
    <w:rsid w:val="79E53DD1"/>
    <w:rsid w:val="7CD014D5"/>
    <w:rsid w:val="7DDB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unhideWhenUsed/>
    <w:qFormat/>
    <w:uiPriority w:val="99"/>
    <w:rPr>
      <w:sz w:val="18"/>
      <w:szCs w:val="18"/>
    </w:rPr>
  </w:style>
  <w:style w:type="paragraph" w:styleId="5">
    <w:name w:val="annotation text"/>
    <w:basedOn w:val="1"/>
    <w:link w:val="19"/>
    <w:qFormat/>
    <w:uiPriority w:val="0"/>
    <w:pPr>
      <w:jc w:val="left"/>
    </w:pPr>
    <w:rPr>
      <w:szCs w:val="20"/>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5"/>
    <w:next w:val="5"/>
    <w:link w:val="31"/>
    <w:semiHidden/>
    <w:unhideWhenUsed/>
    <w:qFormat/>
    <w:uiPriority w:val="99"/>
    <w:rPr>
      <w:b/>
      <w:bCs/>
      <w:szCs w:val="24"/>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qFormat/>
    <w:uiPriority w:val="0"/>
    <w:rPr>
      <w:sz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paragraph" w:styleId="17">
    <w:name w:val="List Paragraph"/>
    <w:basedOn w:val="1"/>
    <w:qFormat/>
    <w:uiPriority w:val="99"/>
    <w:pPr>
      <w:ind w:firstLine="420" w:firstLineChars="200"/>
    </w:pPr>
  </w:style>
  <w:style w:type="character" w:customStyle="1" w:styleId="18">
    <w:name w:val="批注框文本 字符"/>
    <w:basedOn w:val="12"/>
    <w:link w:val="2"/>
    <w:semiHidden/>
    <w:qFormat/>
    <w:uiPriority w:val="99"/>
    <w:rPr>
      <w:rFonts w:ascii="Times New Roman" w:hAnsi="Times New Roman" w:eastAsia="宋体" w:cs="Times New Roman"/>
      <w:sz w:val="18"/>
      <w:szCs w:val="18"/>
    </w:rPr>
  </w:style>
  <w:style w:type="character" w:customStyle="1" w:styleId="19">
    <w:name w:val="批注文字 字符"/>
    <w:basedOn w:val="12"/>
    <w:link w:val="5"/>
    <w:semiHidden/>
    <w:qFormat/>
    <w:uiPriority w:val="0"/>
    <w:rPr>
      <w:rFonts w:ascii="Times New Roman" w:hAnsi="Times New Roman" w:eastAsia="宋体" w:cs="Times New Roman"/>
      <w:szCs w:val="20"/>
    </w:rPr>
  </w:style>
  <w:style w:type="paragraph" w:customStyle="1" w:styleId="20">
    <w:name w:val="Char Char Char Char1"/>
    <w:basedOn w:val="1"/>
    <w:qFormat/>
    <w:uiPriority w:val="0"/>
    <w:rPr>
      <w:szCs w:val="20"/>
    </w:rPr>
  </w:style>
  <w:style w:type="paragraph" w:customStyle="1" w:styleId="21">
    <w:name w:val="Char Char Char Char11"/>
    <w:basedOn w:val="1"/>
    <w:qFormat/>
    <w:uiPriority w:val="0"/>
    <w:rPr>
      <w:szCs w:val="20"/>
    </w:rPr>
  </w:style>
  <w:style w:type="paragraph" w:customStyle="1" w:styleId="22">
    <w:name w:val="Char Char"/>
    <w:basedOn w:val="1"/>
    <w:qFormat/>
    <w:uiPriority w:val="0"/>
    <w:rPr>
      <w:szCs w:val="20"/>
    </w:rPr>
  </w:style>
  <w:style w:type="paragraph" w:customStyle="1" w:styleId="23">
    <w:name w:val="Char Char1"/>
    <w:basedOn w:val="1"/>
    <w:qFormat/>
    <w:uiPriority w:val="0"/>
    <w:rPr>
      <w:szCs w:val="20"/>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paragraph" w:customStyle="1" w:styleId="25">
    <w:name w:val="列出段落1"/>
    <w:basedOn w:val="1"/>
    <w:qFormat/>
    <w:uiPriority w:val="34"/>
    <w:pPr>
      <w:ind w:firstLine="420" w:firstLineChars="200"/>
    </w:pPr>
    <w:rPr>
      <w:rFonts w:ascii="Calibri" w:hAnsi="Calibri"/>
      <w:szCs w:val="22"/>
    </w:rPr>
  </w:style>
  <w:style w:type="paragraph" w:customStyle="1" w:styleId="26">
    <w:name w:val="列出段落2"/>
    <w:basedOn w:val="1"/>
    <w:qFormat/>
    <w:uiPriority w:val="99"/>
    <w:pPr>
      <w:ind w:firstLine="420" w:firstLineChars="200"/>
    </w:pPr>
    <w:rPr>
      <w:rFonts w:ascii="Calibri" w:hAnsi="Calibri"/>
      <w:szCs w:val="22"/>
    </w:rPr>
  </w:style>
  <w:style w:type="paragraph" w:customStyle="1" w:styleId="27">
    <w:name w:val="Char Char2"/>
    <w:basedOn w:val="1"/>
    <w:qFormat/>
    <w:uiPriority w:val="0"/>
    <w:rPr>
      <w:szCs w:val="20"/>
    </w:rPr>
  </w:style>
  <w:style w:type="paragraph" w:customStyle="1" w:styleId="28">
    <w:name w:val="列出段落3"/>
    <w:basedOn w:val="1"/>
    <w:qFormat/>
    <w:uiPriority w:val="99"/>
    <w:pPr>
      <w:ind w:firstLine="420" w:firstLineChars="200"/>
    </w:pPr>
    <w:rPr>
      <w:rFonts w:ascii="Calibri" w:hAnsi="Calibri"/>
      <w:szCs w:val="22"/>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标题 2 字符"/>
    <w:basedOn w:val="12"/>
    <w:link w:val="4"/>
    <w:qFormat/>
    <w:uiPriority w:val="0"/>
    <w:rPr>
      <w:rFonts w:ascii="Arial" w:hAnsi="Arial" w:eastAsia="黑体" w:cs="Times New Roman"/>
      <w:b/>
      <w:bCs/>
      <w:sz w:val="32"/>
      <w:szCs w:val="32"/>
    </w:rPr>
  </w:style>
  <w:style w:type="character" w:customStyle="1" w:styleId="31">
    <w:name w:val="批注主题 字符"/>
    <w:basedOn w:val="19"/>
    <w:link w:val="9"/>
    <w:semiHidden/>
    <w:qFormat/>
    <w:uiPriority w:val="99"/>
    <w:rPr>
      <w:rFonts w:ascii="Times New Roman" w:hAnsi="Times New Roman" w:eastAsia="宋体" w:cs="Times New Roman"/>
      <w:b/>
      <w:bCs/>
      <w:szCs w:val="24"/>
    </w:rPr>
  </w:style>
  <w:style w:type="character" w:customStyle="1" w:styleId="32">
    <w:name w:val="del"/>
    <w:qFormat/>
    <w:uiPriority w:val="0"/>
    <w:rPr>
      <w:rFonts w:ascii="宋体" w:hAnsi="宋体" w:eastAsia="宋体"/>
      <w:b/>
      <w:strike/>
      <w:sz w:val="24"/>
    </w:rPr>
  </w:style>
  <w:style w:type="character" w:customStyle="1" w:styleId="33">
    <w:name w:val="add"/>
    <w:qFormat/>
    <w:uiPriority w:val="0"/>
    <w:rPr>
      <w:rFonts w:ascii="宋体" w:hAnsi="宋体" w:eastAsia="宋体"/>
      <w:b/>
      <w:sz w:val="24"/>
      <w:u w:val="single"/>
    </w:rPr>
  </w:style>
  <w:style w:type="character" w:customStyle="1" w:styleId="34">
    <w:name w:val="normal1"/>
    <w:qFormat/>
    <w:uiPriority w:val="0"/>
    <w:rPr>
      <w:rFonts w:ascii="宋体" w:hAnsi="宋体" w:eastAsia="宋体"/>
      <w:sz w:val="24"/>
    </w:rPr>
  </w:style>
  <w:style w:type="paragraph" w:customStyle="1" w:styleId="35">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标题 1 字符"/>
    <w:basedOn w:val="12"/>
    <w:link w:val="3"/>
    <w:qFormat/>
    <w:uiPriority w:val="9"/>
    <w:rPr>
      <w:b/>
      <w:bCs/>
      <w:kern w:val="44"/>
      <w:sz w:val="44"/>
      <w:szCs w:val="44"/>
    </w:rPr>
  </w:style>
  <w:style w:type="paragraph" w:customStyle="1" w:styleId="3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8DC1E-5620-4F8A-A2EF-ED482F860069}">
  <ds:schemaRefs/>
</ds:datastoreItem>
</file>

<file path=docProps/app.xml><?xml version="1.0" encoding="utf-8"?>
<Properties xmlns="http://schemas.openxmlformats.org/officeDocument/2006/extended-properties" xmlns:vt="http://schemas.openxmlformats.org/officeDocument/2006/docPropsVTypes">
  <Template>Normal.dotm</Template>
  <Pages>9</Pages>
  <Words>897</Words>
  <Characters>5115</Characters>
  <Lines>42</Lines>
  <Paragraphs>11</Paragraphs>
  <TotalTime>17</TotalTime>
  <ScaleCrop>false</ScaleCrop>
  <LinksUpToDate>false</LinksUpToDate>
  <CharactersWithSpaces>6001</CharactersWithSpaces>
  <Application>WPS Office_12.8.2.19795_F1E327BC-269C-435d-A152-05C5408002CA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2025-01-15T02:39:00Z</dcterms:created>
  <dc:creator>汤玲</dc:creator>
  <cp:lastModifiedBy>tangl</cp:lastModifiedBy>
  <cp:lastPrinted>2021-01-19T09:13:00Z</cp:lastPrinted>
  <dcterms:modified xsi:type="dcterms:W3CDTF">2025-04-11T05:41:32Z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0466BFC51ECB48AC87741B1964A63E00</vt:lpwstr>
  </property>
</Properties>
</file>