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C169B">
      <w:pPr>
        <w:spacing w:after="240"/>
        <w:rPr>
          <w:rFonts w:eastAsia="Times New Roman"/>
          <w:lang w:val="en-US" w:eastAsia="zh-CN" w:bidi="ar-SA"/>
        </w:rPr>
      </w:pPr>
      <w:r>
        <w:rPr>
          <w:lang w:val="en-US" w:eastAsia="zh-CN" w:bidi="ar-SA"/>
        </w:rPr>
        <w:t> </w:t>
      </w:r>
    </w:p>
    <w:p w:rsidR="00000000" w:rsidRDefault="001C169B">
      <w:pPr>
        <w:spacing w:line="360" w:lineRule="auto"/>
        <w:jc w:val="center"/>
        <w:rPr>
          <w:rFonts w:eastAsia="Times New Roman"/>
          <w:sz w:val="30"/>
          <w:szCs w:val="30"/>
          <w:lang w:val="en-US" w:eastAsia="zh-CN" w:bidi="ar-SA"/>
        </w:rPr>
      </w:pPr>
      <w:r>
        <w:rPr>
          <w:rFonts w:ascii="SimSun" w:eastAsia="SimSun" w:hAnsi="SimSun" w:cs="SimSun"/>
          <w:b/>
          <w:bCs/>
          <w:sz w:val="30"/>
          <w:szCs w:val="30"/>
          <w:lang w:val="en-US" w:eastAsia="zh-CN" w:bidi="ar-SA"/>
        </w:rPr>
        <w:t>鹏华基金管理有限公司</w:t>
      </w:r>
      <w:r>
        <w:rPr>
          <w:rFonts w:ascii="SimSun" w:eastAsia="SimSun" w:hAnsi="SimSun" w:cs="SimSun"/>
          <w:b/>
          <w:bCs/>
          <w:sz w:val="30"/>
          <w:szCs w:val="30"/>
          <w:lang w:val="en-US" w:eastAsia="zh-CN" w:bidi="ar-SA"/>
        </w:rPr>
        <w:t xml:space="preserve"> </w:t>
      </w:r>
    </w:p>
    <w:p w:rsidR="00000000" w:rsidRDefault="001C169B">
      <w:pPr>
        <w:spacing w:line="360" w:lineRule="auto"/>
        <w:jc w:val="center"/>
        <w:rPr>
          <w:rFonts w:eastAsia="Times New Roman"/>
          <w:sz w:val="30"/>
          <w:szCs w:val="30"/>
          <w:lang w:val="en-US" w:eastAsia="zh-CN" w:bidi="ar-SA"/>
        </w:rPr>
      </w:pPr>
      <w:r>
        <w:rPr>
          <w:rFonts w:ascii="SimSun" w:eastAsia="SimSun" w:hAnsi="SimSun" w:cs="SimSun"/>
          <w:b/>
          <w:bCs/>
          <w:sz w:val="30"/>
          <w:szCs w:val="30"/>
          <w:lang w:val="en-US" w:eastAsia="zh-CN" w:bidi="ar-SA"/>
        </w:rPr>
        <w:t>关于旗下基金持有的股票停牌后估值方法变更的提示性公告</w:t>
      </w:r>
      <w:r>
        <w:rPr>
          <w:rFonts w:ascii="SimSun" w:eastAsia="SimSun" w:hAnsi="SimSun" w:cs="SimSun"/>
          <w:b/>
          <w:bCs/>
          <w:sz w:val="30"/>
          <w:szCs w:val="30"/>
          <w:lang w:val="en-US" w:eastAsia="zh-CN" w:bidi="ar-SA"/>
        </w:rPr>
        <w:t xml:space="preserve"> </w:t>
      </w:r>
    </w:p>
    <w:p w:rsidR="00000000" w:rsidRDefault="001C169B">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 </w:t>
      </w:r>
    </w:p>
    <w:p w:rsidR="00000000" w:rsidRDefault="001C169B">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根据中国证监会</w:t>
      </w:r>
      <w:r>
        <w:rPr>
          <w:rFonts w:ascii="SimSun" w:eastAsia="SimSun" w:hAnsi="SimSun" w:cs="SimSun"/>
          <w:sz w:val="21"/>
          <w:szCs w:val="21"/>
          <w:lang w:val="en-US" w:eastAsia="zh-CN" w:bidi="ar-SA"/>
        </w:rPr>
        <w:t>2017</w:t>
      </w:r>
      <w:r>
        <w:rPr>
          <w:rFonts w:ascii="SimSun" w:eastAsia="SimSun" w:hAnsi="SimSun" w:cs="SimSun"/>
          <w:sz w:val="21"/>
          <w:szCs w:val="21"/>
          <w:lang w:val="en-US" w:eastAsia="zh-CN" w:bidi="ar-SA"/>
        </w:rPr>
        <w:t>年</w:t>
      </w:r>
      <w:r>
        <w:rPr>
          <w:rFonts w:ascii="SimSun" w:eastAsia="SimSun" w:hAnsi="SimSun" w:cs="SimSun"/>
          <w:sz w:val="21"/>
          <w:szCs w:val="21"/>
          <w:lang w:val="en-US" w:eastAsia="zh-CN" w:bidi="ar-SA"/>
        </w:rPr>
        <w:t>9</w:t>
      </w:r>
      <w:r>
        <w:rPr>
          <w:rFonts w:ascii="SimSun" w:eastAsia="SimSun" w:hAnsi="SimSun" w:cs="SimSun"/>
          <w:sz w:val="21"/>
          <w:szCs w:val="21"/>
          <w:lang w:val="en-US" w:eastAsia="zh-CN" w:bidi="ar-SA"/>
        </w:rPr>
        <w:t>月</w:t>
      </w:r>
      <w:r>
        <w:rPr>
          <w:rFonts w:ascii="SimSun" w:eastAsia="SimSun" w:hAnsi="SimSun" w:cs="SimSun"/>
          <w:sz w:val="21"/>
          <w:szCs w:val="21"/>
          <w:lang w:val="en-US" w:eastAsia="zh-CN" w:bidi="ar-SA"/>
        </w:rPr>
        <w:t>5</w:t>
      </w:r>
      <w:r>
        <w:rPr>
          <w:rFonts w:ascii="SimSun" w:eastAsia="SimSun" w:hAnsi="SimSun" w:cs="SimSun"/>
          <w:sz w:val="21"/>
          <w:szCs w:val="21"/>
          <w:lang w:val="en-US" w:eastAsia="zh-CN" w:bidi="ar-SA"/>
        </w:rPr>
        <w:t>日下发的</w:t>
      </w:r>
      <w:r>
        <w:rPr>
          <w:rFonts w:ascii="SimSun" w:eastAsia="SimSun" w:hAnsi="SimSun" w:cs="SimSun"/>
          <w:sz w:val="21"/>
          <w:szCs w:val="21"/>
          <w:lang w:val="en-US" w:eastAsia="zh-CN" w:bidi="ar-SA"/>
        </w:rPr>
        <w:t>[2017]13</w:t>
      </w:r>
      <w:r>
        <w:rPr>
          <w:rFonts w:ascii="SimSun" w:eastAsia="SimSun" w:hAnsi="SimSun" w:cs="SimSun"/>
          <w:sz w:val="21"/>
          <w:szCs w:val="21"/>
          <w:lang w:val="en-US" w:eastAsia="zh-CN" w:bidi="ar-SA"/>
        </w:rPr>
        <w:t>号《中国证监会关于证券投资基金估值业务的指导意见》（简称</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指导意见</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）、中国证券投资基金业协会</w:t>
      </w:r>
      <w:r>
        <w:rPr>
          <w:rFonts w:ascii="SimSun" w:eastAsia="SimSun" w:hAnsi="SimSun" w:cs="SimSun"/>
          <w:sz w:val="21"/>
          <w:szCs w:val="21"/>
          <w:lang w:val="en-US" w:eastAsia="zh-CN" w:bidi="ar-SA"/>
        </w:rPr>
        <w:t>2013</w:t>
      </w:r>
      <w:r>
        <w:rPr>
          <w:rFonts w:ascii="SimSun" w:eastAsia="SimSun" w:hAnsi="SimSun" w:cs="SimSun"/>
          <w:sz w:val="21"/>
          <w:szCs w:val="21"/>
          <w:lang w:val="en-US" w:eastAsia="zh-CN" w:bidi="ar-SA"/>
        </w:rPr>
        <w:t>年</w:t>
      </w:r>
      <w:r>
        <w:rPr>
          <w:rFonts w:ascii="SimSun" w:eastAsia="SimSun" w:hAnsi="SimSun" w:cs="SimSun"/>
          <w:sz w:val="21"/>
          <w:szCs w:val="21"/>
          <w:lang w:val="en-US" w:eastAsia="zh-CN" w:bidi="ar-SA"/>
        </w:rPr>
        <w:t>5</w:t>
      </w:r>
      <w:r>
        <w:rPr>
          <w:rFonts w:ascii="SimSun" w:eastAsia="SimSun" w:hAnsi="SimSun" w:cs="SimSun"/>
          <w:sz w:val="21"/>
          <w:szCs w:val="21"/>
          <w:lang w:val="en-US" w:eastAsia="zh-CN" w:bidi="ar-SA"/>
        </w:rPr>
        <w:t>月</w:t>
      </w:r>
      <w:r>
        <w:rPr>
          <w:rFonts w:ascii="SimSun" w:eastAsia="SimSun" w:hAnsi="SimSun" w:cs="SimSun"/>
          <w:sz w:val="21"/>
          <w:szCs w:val="21"/>
          <w:lang w:val="en-US" w:eastAsia="zh-CN" w:bidi="ar-SA"/>
        </w:rPr>
        <w:t>20</w:t>
      </w:r>
      <w:r>
        <w:rPr>
          <w:rFonts w:ascii="SimSun" w:eastAsia="SimSun" w:hAnsi="SimSun" w:cs="SimSun"/>
          <w:sz w:val="21"/>
          <w:szCs w:val="21"/>
          <w:lang w:val="en-US" w:eastAsia="zh-CN" w:bidi="ar-SA"/>
        </w:rPr>
        <w:t>日下发的</w:t>
      </w:r>
      <w:r>
        <w:rPr>
          <w:rFonts w:ascii="SimSun" w:eastAsia="SimSun" w:hAnsi="SimSun" w:cs="SimSun"/>
          <w:sz w:val="21"/>
          <w:szCs w:val="21"/>
          <w:lang w:val="en-US" w:eastAsia="zh-CN" w:bidi="ar-SA"/>
        </w:rPr>
        <w:t>[2013]13</w:t>
      </w:r>
      <w:r>
        <w:rPr>
          <w:rFonts w:ascii="SimSun" w:eastAsia="SimSun" w:hAnsi="SimSun" w:cs="SimSun"/>
          <w:sz w:val="21"/>
          <w:szCs w:val="21"/>
          <w:lang w:val="en-US" w:eastAsia="zh-CN" w:bidi="ar-SA"/>
        </w:rPr>
        <w:t>号《关于发布中基协（</w:t>
      </w:r>
      <w:r>
        <w:rPr>
          <w:rFonts w:ascii="SimSun" w:eastAsia="SimSun" w:hAnsi="SimSun" w:cs="SimSun"/>
          <w:sz w:val="21"/>
          <w:szCs w:val="21"/>
          <w:lang w:val="en-US" w:eastAsia="zh-CN" w:bidi="ar-SA"/>
        </w:rPr>
        <w:t>AMAC</w:t>
      </w:r>
      <w:r>
        <w:rPr>
          <w:rFonts w:ascii="SimSun" w:eastAsia="SimSun" w:hAnsi="SimSun" w:cs="SimSun"/>
          <w:sz w:val="21"/>
          <w:szCs w:val="21"/>
          <w:lang w:val="en-US" w:eastAsia="zh-CN" w:bidi="ar-SA"/>
        </w:rPr>
        <w:t>）基金行业股票估值指数的通知》及鹏华基金管理有限公司（以下简称</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本公司</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）停牌股票的估值政策和程序，经与相关托管银行协商一致，决定于</w:t>
      </w:r>
      <w:r>
        <w:rPr>
          <w:rFonts w:ascii="SimSun" w:eastAsia="SimSun" w:hAnsi="SimSun" w:cs="SimSun"/>
          <w:sz w:val="21"/>
          <w:szCs w:val="21"/>
          <w:lang w:val="en-US" w:eastAsia="zh-CN" w:bidi="ar-SA"/>
        </w:rPr>
        <w:t>2025</w:t>
      </w:r>
      <w:r>
        <w:rPr>
          <w:rFonts w:ascii="SimSun" w:eastAsia="SimSun" w:hAnsi="SimSun" w:cs="SimSun"/>
          <w:sz w:val="21"/>
          <w:szCs w:val="21"/>
          <w:lang w:val="en-US" w:eastAsia="zh-CN" w:bidi="ar-SA"/>
        </w:rPr>
        <w:t>年</w:t>
      </w:r>
      <w:r>
        <w:rPr>
          <w:rFonts w:ascii="SimSun" w:eastAsia="SimSun" w:hAnsi="SimSun" w:cs="SimSun"/>
          <w:sz w:val="21"/>
          <w:szCs w:val="21"/>
          <w:lang w:val="en-US" w:eastAsia="zh-CN" w:bidi="ar-SA"/>
        </w:rPr>
        <w:t>04</w:t>
      </w:r>
      <w:r>
        <w:rPr>
          <w:rFonts w:ascii="SimSun" w:eastAsia="SimSun" w:hAnsi="SimSun" w:cs="SimSun"/>
          <w:sz w:val="21"/>
          <w:szCs w:val="21"/>
          <w:lang w:val="en-US" w:eastAsia="zh-CN" w:bidi="ar-SA"/>
        </w:rPr>
        <w:t>月</w:t>
      </w:r>
      <w:r>
        <w:rPr>
          <w:rFonts w:ascii="SimSun" w:eastAsia="SimSun" w:hAnsi="SimSun" w:cs="SimSun"/>
          <w:sz w:val="21"/>
          <w:szCs w:val="21"/>
          <w:lang w:val="en-US" w:eastAsia="zh-CN" w:bidi="ar-SA"/>
        </w:rPr>
        <w:t>11</w:t>
      </w:r>
      <w:r>
        <w:rPr>
          <w:rFonts w:ascii="SimSun" w:eastAsia="SimSun" w:hAnsi="SimSun" w:cs="SimSun"/>
          <w:sz w:val="21"/>
          <w:szCs w:val="21"/>
          <w:lang w:val="en-US" w:eastAsia="zh-CN" w:bidi="ar-SA"/>
        </w:rPr>
        <w:t>日起对本公司旗下基金（</w:t>
      </w:r>
      <w:r>
        <w:rPr>
          <w:rFonts w:ascii="SimSun" w:eastAsia="SimSun" w:hAnsi="SimSun" w:cs="SimSun"/>
          <w:sz w:val="21"/>
          <w:szCs w:val="21"/>
          <w:lang w:val="en-US" w:eastAsia="zh-CN" w:bidi="ar-SA"/>
        </w:rPr>
        <w:t>ETF</w:t>
      </w:r>
      <w:r>
        <w:rPr>
          <w:rFonts w:ascii="SimSun" w:eastAsia="SimSun" w:hAnsi="SimSun" w:cs="SimSun"/>
          <w:sz w:val="21"/>
          <w:szCs w:val="21"/>
          <w:lang w:val="en-US" w:eastAsia="zh-CN" w:bidi="ar-SA"/>
        </w:rPr>
        <w:t>基金除外）所持有的以下停牌</w:t>
      </w:r>
      <w:r>
        <w:rPr>
          <w:rFonts w:ascii="SimSun" w:eastAsia="SimSun" w:hAnsi="SimSun" w:cs="SimSun"/>
          <w:sz w:val="21"/>
          <w:szCs w:val="21"/>
          <w:lang w:val="en-US" w:eastAsia="zh-CN" w:bidi="ar-SA"/>
        </w:rPr>
        <w:t>股票采用</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指数收益法</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进行估值。待以下停牌股票复牌且其交易体现了活跃市场交易特征之日起，恢复采用当日收盘价进行估值，届时不再另行公告。敬请投资者予以关注：</w:t>
      </w:r>
    </w:p>
    <w:p w:rsidR="00000000" w:rsidRDefault="001C169B">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停牌股票明细</w:t>
      </w:r>
    </w:p>
    <w:tbl>
      <w:tblPr>
        <w:tblW w:w="4000" w:type="pct"/>
        <w:jc w:val="center"/>
        <w:tblInd w:w="30" w:type="dxa"/>
        <w:tblCellMar>
          <w:left w:w="0" w:type="dxa"/>
          <w:right w:w="0" w:type="dxa"/>
        </w:tblCellMar>
        <w:tblLook w:val="04A0"/>
      </w:tblPr>
      <w:tblGrid>
        <w:gridCol w:w="3016"/>
        <w:gridCol w:w="4507"/>
      </w:tblGrid>
      <w:tr w:rsidR="00000000">
        <w:trPr>
          <w:jc w:val="center"/>
        </w:trPr>
        <w:tc>
          <w:tcPr>
            <w:tcW w:w="3090"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1C169B">
            <w:pPr>
              <w:jc w:val="center"/>
              <w:rPr>
                <w:rFonts w:eastAsia="Times New Roman"/>
                <w:sz w:val="21"/>
                <w:szCs w:val="21"/>
                <w:lang w:val="en-US" w:eastAsia="zh-CN" w:bidi="ar-SA"/>
              </w:rPr>
            </w:pPr>
            <w:r>
              <w:rPr>
                <w:rFonts w:ascii="SimSun" w:eastAsia="SimSun" w:hAnsi="SimSun" w:cs="SimSun"/>
                <w:b/>
                <w:bCs/>
                <w:sz w:val="21"/>
                <w:szCs w:val="21"/>
                <w:lang w:val="en-US" w:eastAsia="zh-CN" w:bidi="ar-SA"/>
              </w:rPr>
              <w:t>股票代码</w:t>
            </w:r>
          </w:p>
        </w:tc>
        <w:tc>
          <w:tcPr>
            <w:tcW w:w="4642"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1C169B">
            <w:pPr>
              <w:jc w:val="center"/>
              <w:rPr>
                <w:rFonts w:eastAsia="Times New Roman"/>
                <w:sz w:val="21"/>
                <w:szCs w:val="21"/>
                <w:lang w:val="en-US" w:eastAsia="zh-CN" w:bidi="ar-SA"/>
              </w:rPr>
            </w:pPr>
            <w:r>
              <w:rPr>
                <w:rFonts w:ascii="SimSun" w:eastAsia="SimSun" w:hAnsi="SimSun" w:cs="SimSun"/>
                <w:b/>
                <w:bCs/>
                <w:sz w:val="21"/>
                <w:szCs w:val="21"/>
                <w:lang w:val="en-US" w:eastAsia="zh-CN" w:bidi="ar-SA"/>
              </w:rPr>
              <w:t>股票名称</w:t>
            </w:r>
          </w:p>
        </w:tc>
      </w:tr>
      <w:tr w:rsidR="00000000">
        <w:trPr>
          <w:jc w:val="center"/>
        </w:trPr>
        <w:tc>
          <w:tcPr>
            <w:tcW w:w="3090"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1C169B">
            <w:pPr>
              <w:jc w:val="center"/>
              <w:rPr>
                <w:rFonts w:eastAsia="Times New Roman"/>
                <w:sz w:val="21"/>
                <w:szCs w:val="21"/>
                <w:lang w:val="en-US" w:eastAsia="zh-CN" w:bidi="ar-SA"/>
              </w:rPr>
            </w:pPr>
            <w:r>
              <w:rPr>
                <w:rFonts w:ascii="SimSun" w:eastAsia="SimSun" w:hAnsi="SimSun" w:cs="SimSun"/>
                <w:sz w:val="21"/>
                <w:szCs w:val="21"/>
                <w:lang w:val="en-US" w:eastAsia="zh-CN" w:bidi="ar-SA"/>
              </w:rPr>
              <w:t>301486</w:t>
            </w:r>
          </w:p>
        </w:tc>
        <w:tc>
          <w:tcPr>
            <w:tcW w:w="3090"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1C169B">
            <w:pPr>
              <w:jc w:val="center"/>
              <w:rPr>
                <w:rFonts w:eastAsia="Times New Roman"/>
                <w:sz w:val="21"/>
                <w:szCs w:val="21"/>
                <w:lang w:val="en-US" w:eastAsia="zh-CN" w:bidi="ar-SA"/>
              </w:rPr>
            </w:pPr>
            <w:r>
              <w:rPr>
                <w:rFonts w:ascii="SimSun" w:eastAsia="SimSun" w:hAnsi="SimSun" w:cs="SimSun"/>
                <w:sz w:val="21"/>
                <w:szCs w:val="21"/>
                <w:lang w:val="en-US" w:eastAsia="zh-CN" w:bidi="ar-SA"/>
              </w:rPr>
              <w:t>致尚科技</w:t>
            </w:r>
          </w:p>
        </w:tc>
      </w:tr>
    </w:tbl>
    <w:p w:rsidR="00000000" w:rsidRDefault="001C169B">
      <w:pPr>
        <w:spacing w:line="360" w:lineRule="auto"/>
        <w:ind w:firstLine="420"/>
        <w:jc w:val="both"/>
        <w:rPr>
          <w:rFonts w:eastAsia="Times New Roman"/>
          <w:lang w:val="en-US" w:eastAsia="zh-CN" w:bidi="ar-SA"/>
        </w:rPr>
      </w:pPr>
      <w:r>
        <w:rPr>
          <w:rFonts w:ascii="Calibri" w:eastAsia="Calibri" w:hAnsi="Calibri" w:cs="Calibri"/>
          <w:lang w:val="en-US" w:eastAsia="zh-CN" w:bidi="ar-SA"/>
        </w:rPr>
        <w:t> </w:t>
      </w:r>
    </w:p>
    <w:p w:rsidR="00000000" w:rsidRDefault="001C169B">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本公司旗下基金将严格按照《企业会计准则》、指导意见、中国证监会相关规定和基金合同中关于估值的约定对基金所持有的投资品种进行估值，请广大投资者关注。</w:t>
      </w:r>
    </w:p>
    <w:p w:rsidR="00000000" w:rsidRDefault="001C169B">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投资者可登陆我公司网站（</w:t>
      </w:r>
      <w:hyperlink r:id="rId7" w:history="1">
        <w:r>
          <w:rPr>
            <w:rFonts w:ascii="SimSun" w:eastAsia="SimSun" w:hAnsi="SimSun" w:cs="SimSun"/>
            <w:color w:val="000000"/>
            <w:sz w:val="21"/>
            <w:szCs w:val="21"/>
            <w:lang w:val="en-US" w:eastAsia="zh-CN" w:bidi="ar-SA"/>
          </w:rPr>
          <w:t>http://www.phfund</w:t>
        </w:r>
        <w:r>
          <w:rPr>
            <w:rFonts w:ascii="SimSun" w:eastAsia="SimSun" w:hAnsi="SimSun" w:cs="SimSun"/>
            <w:color w:val="000000"/>
            <w:sz w:val="21"/>
            <w:szCs w:val="21"/>
            <w:lang w:val="en-US" w:eastAsia="zh-CN" w:bidi="ar-SA"/>
          </w:rPr>
          <w:t>.com.cn</w:t>
        </w:r>
      </w:hyperlink>
      <w:r>
        <w:rPr>
          <w:rFonts w:ascii="SimSun" w:eastAsia="SimSun" w:hAnsi="SimSun" w:cs="SimSun"/>
          <w:sz w:val="21"/>
          <w:szCs w:val="21"/>
          <w:lang w:val="en-US" w:eastAsia="zh-CN" w:bidi="ar-SA"/>
        </w:rPr>
        <w:t>）或拨打客户服务电话</w:t>
      </w:r>
      <w:r>
        <w:rPr>
          <w:rFonts w:ascii="SimSun" w:eastAsia="SimSun" w:hAnsi="SimSun" w:cs="SimSun"/>
          <w:sz w:val="21"/>
          <w:szCs w:val="21"/>
          <w:lang w:val="en-US" w:eastAsia="zh-CN" w:bidi="ar-SA"/>
        </w:rPr>
        <w:t>400-6788-999</w:t>
      </w:r>
      <w:r>
        <w:rPr>
          <w:rFonts w:ascii="SimSun" w:eastAsia="SimSun" w:hAnsi="SimSun" w:cs="SimSun"/>
          <w:sz w:val="21"/>
          <w:szCs w:val="21"/>
          <w:lang w:val="en-US" w:eastAsia="zh-CN" w:bidi="ar-SA"/>
        </w:rPr>
        <w:t>或</w:t>
      </w:r>
      <w:r>
        <w:rPr>
          <w:rFonts w:ascii="SimSun" w:eastAsia="SimSun" w:hAnsi="SimSun" w:cs="SimSun"/>
          <w:sz w:val="21"/>
          <w:szCs w:val="21"/>
          <w:lang w:val="en-US" w:eastAsia="zh-CN" w:bidi="ar-SA"/>
        </w:rPr>
        <w:t>400-6788-533</w:t>
      </w:r>
      <w:r>
        <w:rPr>
          <w:rFonts w:ascii="SimSun" w:eastAsia="SimSun" w:hAnsi="SimSun" w:cs="SimSun"/>
          <w:sz w:val="21"/>
          <w:szCs w:val="21"/>
          <w:lang w:val="en-US" w:eastAsia="zh-CN" w:bidi="ar-SA"/>
        </w:rPr>
        <w:t>咨询或查阅相关信息。</w:t>
      </w:r>
    </w:p>
    <w:p w:rsidR="00000000" w:rsidRDefault="001C169B">
      <w:pPr>
        <w:spacing w:line="360" w:lineRule="auto"/>
        <w:ind w:firstLine="420"/>
        <w:jc w:val="both"/>
        <w:rPr>
          <w:rFonts w:eastAsia="Times New Roman"/>
          <w:sz w:val="21"/>
          <w:szCs w:val="21"/>
          <w:lang w:val="en-US" w:eastAsia="zh-CN" w:bidi="ar-SA"/>
        </w:rPr>
      </w:pPr>
    </w:p>
    <w:p w:rsidR="00000000" w:rsidRDefault="001C169B">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特此公告。</w:t>
      </w:r>
    </w:p>
    <w:p w:rsidR="00000000" w:rsidRDefault="001C169B">
      <w:pPr>
        <w:spacing w:line="360" w:lineRule="auto"/>
        <w:jc w:val="right"/>
        <w:rPr>
          <w:rFonts w:eastAsia="Times New Roman"/>
          <w:lang w:val="en-US" w:eastAsia="zh-CN" w:bidi="ar-SA"/>
        </w:rPr>
      </w:pPr>
      <w:r>
        <w:rPr>
          <w:rFonts w:ascii="SimSun" w:eastAsia="SimSun" w:hAnsi="SimSun" w:cs="SimSun"/>
          <w:lang w:val="en-US" w:eastAsia="zh-CN" w:bidi="ar-SA"/>
        </w:rPr>
        <w:t>鹏华基金管理有限公司</w:t>
      </w:r>
    </w:p>
    <w:p w:rsidR="00000000" w:rsidRDefault="001C169B">
      <w:pPr>
        <w:spacing w:line="360" w:lineRule="auto"/>
        <w:jc w:val="right"/>
        <w:rPr>
          <w:rFonts w:eastAsia="Times New Roman"/>
          <w:lang w:val="en-US" w:eastAsia="zh-CN" w:bidi="ar-SA"/>
        </w:rPr>
      </w:pPr>
      <w:r>
        <w:rPr>
          <w:rFonts w:ascii="SimSun" w:eastAsia="SimSun" w:hAnsi="SimSun" w:cs="SimSun"/>
          <w:lang w:val="en-US" w:eastAsia="zh-CN" w:bidi="ar-SA"/>
        </w:rPr>
        <w:t>2025</w:t>
      </w:r>
      <w:r>
        <w:rPr>
          <w:rFonts w:ascii="SimSun" w:eastAsia="SimSun" w:hAnsi="SimSun" w:cs="SimSun"/>
          <w:lang w:val="en-US" w:eastAsia="zh-CN" w:bidi="ar-SA"/>
        </w:rPr>
        <w:t>年</w:t>
      </w:r>
      <w:r>
        <w:rPr>
          <w:rFonts w:ascii="SimSun" w:eastAsia="SimSun" w:hAnsi="SimSun" w:cs="SimSun"/>
          <w:lang w:val="en-US" w:eastAsia="zh-CN" w:bidi="ar-SA"/>
        </w:rPr>
        <w:t>04</w:t>
      </w:r>
      <w:r>
        <w:rPr>
          <w:rFonts w:ascii="SimSun" w:eastAsia="SimSun" w:hAnsi="SimSun" w:cs="SimSun"/>
          <w:lang w:val="en-US" w:eastAsia="zh-CN" w:bidi="ar-SA"/>
        </w:rPr>
        <w:t>月</w:t>
      </w:r>
      <w:r>
        <w:rPr>
          <w:rFonts w:ascii="SimSun" w:eastAsia="SimSun" w:hAnsi="SimSun" w:cs="SimSun"/>
          <w:lang w:val="en-US" w:eastAsia="zh-CN" w:bidi="ar-SA"/>
        </w:rPr>
        <w:t>12</w:t>
      </w:r>
      <w:r>
        <w:rPr>
          <w:rFonts w:ascii="SimSun" w:eastAsia="SimSun" w:hAnsi="SimSun" w:cs="SimSun"/>
          <w:lang w:val="en-US" w:eastAsia="zh-CN" w:bidi="ar-SA"/>
        </w:rPr>
        <w:t>日</w:t>
      </w:r>
    </w:p>
    <w:p w:rsidR="00A77B3E" w:rsidRDefault="00A77B3E"/>
    <w:sectPr w:rsidR="00A77B3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C169B">
      <w:r>
        <w:separator/>
      </w:r>
    </w:p>
  </w:endnote>
  <w:endnote w:type="continuationSeparator" w:id="0">
    <w:p w:rsidR="00000000" w:rsidRDefault="001C1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169B">
    <w:pPr>
      <w:jc w:val="center"/>
    </w:pPr>
    <w:r>
      <w:rPr>
        <w:rFonts w:ascii="宋体" w:eastAsia="宋体" w:hAnsi="宋体" w:cs="宋体"/>
        <w:sz w:val="18"/>
      </w:rPr>
      <w:fldChar w:fldCharType="begin"/>
    </w:r>
    <w:r>
      <w:rPr>
        <w:rFonts w:ascii="宋体" w:eastAsia="宋体" w:hAnsi="宋体" w:cs="宋体"/>
        <w:sz w:val="18"/>
      </w:rPr>
      <w:instrText xml:space="preserve"> PAGE </w:instrText>
    </w:r>
    <w:r>
      <w:rPr>
        <w:rFonts w:ascii="宋体" w:eastAsia="宋体" w:hAnsi="宋体" w:cs="宋体"/>
        <w:sz w:val="18"/>
      </w:rPr>
      <w:fldChar w:fldCharType="separate"/>
    </w:r>
    <w:r>
      <w:rPr>
        <w:rFonts w:ascii="宋体" w:eastAsia="宋体" w:hAnsi="宋体" w:cs="宋体"/>
        <w:noProof/>
        <w:sz w:val="18"/>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C169B">
      <w:r>
        <w:separator/>
      </w:r>
    </w:p>
  </w:footnote>
  <w:footnote w:type="continuationSeparator" w:id="0">
    <w:p w:rsidR="00000000" w:rsidRDefault="001C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C169B"/>
    <w:rsid w:val="00A77B3E"/>
    <w:rsid w:val="00CA2A5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
    <w:name w:val="toc 1"/>
    <w:basedOn w:val="a"/>
    <w:next w:val="a"/>
    <w:autoRedefine/>
    <w:rsid w:val="00805BCE"/>
    <w:pPr>
      <w:spacing w:line="360" w:lineRule="auto"/>
    </w:pPr>
    <w:rPr>
      <w:rFonts w:ascii="宋体" w:eastAsia="宋体" w:hAnsi="宋体" w:cs="宋体"/>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hfund.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ZHONGM</dc:creator>
  <cp:keywords/>
  <cp:lastModifiedBy>ZHONGM</cp:lastModifiedBy>
  <cp:revision>2</cp:revision>
  <cp:lastPrinted>1601-01-01T00:00:00Z</cp:lastPrinted>
  <dcterms:created xsi:type="dcterms:W3CDTF">2025-04-11T16:01:00Z</dcterms:created>
  <dcterms:modified xsi:type="dcterms:W3CDTF">2025-04-11T16:01:00Z</dcterms:modified>
</cp:coreProperties>
</file>