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CA4" w:rsidRPr="001F12D1" w:rsidRDefault="005C1A93" w:rsidP="00141CA4">
      <w:pPr>
        <w:pStyle w:val="font14"/>
        <w:jc w:val="center"/>
        <w:rPr>
          <w:rFonts w:asciiTheme="majorEastAsia" w:eastAsiaTheme="majorEastAsia" w:hAnsiTheme="majorEastAsia"/>
        </w:rPr>
      </w:pPr>
      <w:r w:rsidRPr="001F12D1">
        <w:rPr>
          <w:rStyle w:val="a8"/>
          <w:rFonts w:asciiTheme="majorEastAsia" w:eastAsiaTheme="majorEastAsia" w:hAnsiTheme="majorEastAsia" w:hint="eastAsia"/>
          <w:sz w:val="24"/>
          <w:szCs w:val="24"/>
        </w:rPr>
        <w:t>易方达基金管理有限公司</w:t>
      </w:r>
      <w:r w:rsidRPr="00C251FE">
        <w:rPr>
          <w:rStyle w:val="a8"/>
          <w:rFonts w:asciiTheme="majorEastAsia" w:eastAsiaTheme="majorEastAsia" w:hAnsiTheme="majorEastAsia" w:hint="eastAsia"/>
          <w:sz w:val="24"/>
          <w:szCs w:val="24"/>
        </w:rPr>
        <w:t>关于旗下基金关联交易事项的公告</w:t>
      </w:r>
    </w:p>
    <w:p w:rsidR="00EA1C9E" w:rsidRDefault="005C1A93" w:rsidP="001F2973">
      <w:pPr>
        <w:pStyle w:val="Default"/>
        <w:spacing w:line="360" w:lineRule="auto"/>
        <w:ind w:firstLineChars="210" w:firstLine="504"/>
        <w:rPr>
          <w:rFonts w:asciiTheme="majorEastAsia" w:eastAsiaTheme="majorEastAsia" w:hAnsiTheme="majorEastAsia"/>
        </w:rPr>
      </w:pPr>
      <w:r w:rsidRPr="006B6352">
        <w:rPr>
          <w:rFonts w:asciiTheme="majorEastAsia" w:eastAsiaTheme="majorEastAsia" w:hAnsiTheme="majorEastAsia" w:hint="eastAsia"/>
        </w:rPr>
        <w:t>根据《公开募集证券投资基金运作管理办法》《公开募集证券投资基金信息披露管理办法》及相关法律法规、基金合同及招募说明书等规定，在履行规定审批程序并经基金托管人同意后，</w:t>
      </w:r>
      <w:r>
        <w:rPr>
          <w:rFonts w:asciiTheme="majorEastAsia" w:eastAsiaTheme="majorEastAsia" w:hAnsiTheme="majorEastAsia" w:hint="eastAsia"/>
        </w:rPr>
        <w:t>易方达基金管理有限公司旗下部分</w:t>
      </w:r>
      <w:r w:rsidR="003B4F45">
        <w:rPr>
          <w:rFonts w:asciiTheme="majorEastAsia" w:eastAsiaTheme="majorEastAsia" w:hAnsiTheme="majorEastAsia" w:hint="eastAsia"/>
        </w:rPr>
        <w:t>公募</w:t>
      </w:r>
      <w:r>
        <w:rPr>
          <w:rFonts w:asciiTheme="majorEastAsia" w:eastAsiaTheme="majorEastAsia" w:hAnsiTheme="majorEastAsia" w:hint="eastAsia"/>
        </w:rPr>
        <w:t>基金</w:t>
      </w:r>
      <w:r w:rsidRPr="001F12D1">
        <w:rPr>
          <w:rFonts w:asciiTheme="majorEastAsia" w:eastAsiaTheme="majorEastAsia" w:hAnsiTheme="majorEastAsia" w:hint="eastAsia"/>
        </w:rPr>
        <w:t>参</w:t>
      </w:r>
      <w:r w:rsidRPr="00923081">
        <w:rPr>
          <w:rFonts w:asciiTheme="majorEastAsia" w:eastAsiaTheme="majorEastAsia" w:hAnsiTheme="majorEastAsia" w:hint="eastAsia"/>
        </w:rPr>
        <w:t>与</w:t>
      </w:r>
      <w:r w:rsidRPr="001F12D1">
        <w:rPr>
          <w:rFonts w:asciiTheme="majorEastAsia" w:eastAsiaTheme="majorEastAsia" w:hAnsiTheme="majorEastAsia" w:hint="eastAsia"/>
        </w:rPr>
        <w:t>了</w:t>
      </w:r>
      <w:r w:rsidR="001F2973" w:rsidRPr="001F2973">
        <w:rPr>
          <w:rFonts w:asciiTheme="majorEastAsia" w:eastAsiaTheme="majorEastAsia" w:hAnsiTheme="majorEastAsia" w:hint="eastAsia"/>
          <w:bCs/>
        </w:rPr>
        <w:t>宏工科技股份有限公司</w:t>
      </w:r>
      <w:r w:rsidRPr="00A54315">
        <w:rPr>
          <w:rFonts w:asciiTheme="majorEastAsia" w:eastAsiaTheme="majorEastAsia" w:hAnsiTheme="majorEastAsia" w:hint="eastAsia"/>
          <w:bCs/>
        </w:rPr>
        <w:t>（以下简称“</w:t>
      </w:r>
      <w:r w:rsidR="001F2973" w:rsidRPr="001F2973">
        <w:rPr>
          <w:rFonts w:asciiTheme="majorEastAsia" w:eastAsiaTheme="majorEastAsia" w:hAnsiTheme="majorEastAsia" w:hint="eastAsia"/>
          <w:bCs/>
        </w:rPr>
        <w:t>宏工科技</w:t>
      </w:r>
      <w:r w:rsidRPr="00A54315">
        <w:rPr>
          <w:rFonts w:asciiTheme="majorEastAsia" w:eastAsiaTheme="majorEastAsia" w:hAnsiTheme="majorEastAsia" w:hint="eastAsia"/>
          <w:bCs/>
        </w:rPr>
        <w:t>”）</w:t>
      </w:r>
      <w:r w:rsidRPr="001F12D1">
        <w:rPr>
          <w:rFonts w:asciiTheme="majorEastAsia" w:eastAsiaTheme="majorEastAsia" w:hAnsiTheme="majorEastAsia" w:hint="eastAsia"/>
        </w:rPr>
        <w:t>首次公开发行股票的</w:t>
      </w:r>
      <w:r w:rsidR="003B4F45">
        <w:rPr>
          <w:rFonts w:asciiTheme="majorEastAsia" w:eastAsiaTheme="majorEastAsia" w:hAnsiTheme="majorEastAsia" w:hint="eastAsia"/>
        </w:rPr>
        <w:t>网下</w:t>
      </w:r>
      <w:r w:rsidRPr="001F12D1">
        <w:rPr>
          <w:rFonts w:asciiTheme="majorEastAsia" w:eastAsiaTheme="majorEastAsia" w:hAnsiTheme="majorEastAsia" w:hint="eastAsia"/>
        </w:rPr>
        <w:t>申购</w:t>
      </w:r>
      <w:r>
        <w:rPr>
          <w:rFonts w:asciiTheme="majorEastAsia" w:eastAsiaTheme="majorEastAsia" w:hAnsiTheme="majorEastAsia" w:hint="eastAsia"/>
        </w:rPr>
        <w:t>。</w:t>
      </w:r>
      <w:r w:rsidR="001F2973" w:rsidRPr="001F2973">
        <w:rPr>
          <w:rFonts w:asciiTheme="majorEastAsia" w:eastAsiaTheme="majorEastAsia" w:hAnsiTheme="majorEastAsia" w:hint="eastAsia"/>
          <w:bCs/>
        </w:rPr>
        <w:t>宏工科技</w:t>
      </w:r>
      <w:r w:rsidRPr="001F12D1">
        <w:rPr>
          <w:rFonts w:asciiTheme="majorEastAsia" w:eastAsiaTheme="majorEastAsia" w:hAnsiTheme="majorEastAsia" w:hint="eastAsia"/>
        </w:rPr>
        <w:t>本次发行的</w:t>
      </w:r>
      <w:r w:rsidR="001F2973" w:rsidRPr="001F2973">
        <w:rPr>
          <w:rFonts w:asciiTheme="majorEastAsia" w:eastAsiaTheme="majorEastAsia" w:hAnsiTheme="majorEastAsia" w:hint="eastAsia"/>
        </w:rPr>
        <w:t>联席</w:t>
      </w:r>
      <w:r w:rsidR="001F2973" w:rsidRPr="00225437">
        <w:rPr>
          <w:rFonts w:asciiTheme="majorEastAsia" w:eastAsiaTheme="majorEastAsia" w:hAnsiTheme="majorEastAsia" w:hint="eastAsia"/>
        </w:rPr>
        <w:t>主承销商</w:t>
      </w:r>
      <w:r w:rsidR="001F2973" w:rsidRPr="001F2973">
        <w:rPr>
          <w:rFonts w:asciiTheme="majorEastAsia" w:eastAsiaTheme="majorEastAsia" w:hAnsiTheme="majorEastAsia" w:hint="eastAsia"/>
        </w:rPr>
        <w:t>广发证券股份有限公司</w:t>
      </w:r>
      <w:r w:rsidR="001F2973">
        <w:rPr>
          <w:rFonts w:asciiTheme="majorEastAsia" w:eastAsiaTheme="majorEastAsia" w:hAnsiTheme="majorEastAsia" w:hint="eastAsia"/>
        </w:rPr>
        <w:t>为基金管理人的非控股股东；</w:t>
      </w:r>
      <w:r w:rsidR="00E32581" w:rsidRPr="00E32581">
        <w:rPr>
          <w:rFonts w:asciiTheme="majorEastAsia" w:eastAsiaTheme="majorEastAsia" w:hAnsiTheme="majorEastAsia" w:hint="eastAsia"/>
        </w:rPr>
        <w:t>同时，宏工科技本次发行的联席主承销商中信证券股份有限公司为易方达基金管理有限公司旗下部分公募基金的托管人。</w:t>
      </w:r>
      <w:r w:rsidR="001F2973" w:rsidRPr="001F2973">
        <w:rPr>
          <w:rFonts w:asciiTheme="majorEastAsia" w:eastAsiaTheme="majorEastAsia" w:hAnsiTheme="majorEastAsia" w:hint="eastAsia"/>
          <w:bCs/>
        </w:rPr>
        <w:t>宏工科技</w:t>
      </w:r>
      <w:r w:rsidR="001F2973" w:rsidRPr="001F2973">
        <w:rPr>
          <w:rFonts w:asciiTheme="majorEastAsia" w:eastAsiaTheme="majorEastAsia" w:hAnsiTheme="majorEastAsia" w:hint="eastAsia"/>
        </w:rPr>
        <w:t>本次发行价格为</w:t>
      </w:r>
      <w:r w:rsidR="001F2973" w:rsidRPr="001F2973">
        <w:rPr>
          <w:rFonts w:asciiTheme="majorEastAsia" w:eastAsiaTheme="majorEastAsia" w:hAnsiTheme="majorEastAsia"/>
        </w:rPr>
        <w:t>26.60</w:t>
      </w:r>
      <w:r w:rsidR="001F2973" w:rsidRPr="001F2973">
        <w:rPr>
          <w:rFonts w:asciiTheme="majorEastAsia" w:eastAsiaTheme="majorEastAsia" w:hAnsiTheme="majorEastAsia" w:hint="eastAsia"/>
        </w:rPr>
        <w:t>元/股，由发行人和联席主承销商根据初步询价结果，综合考虑剩余报价及拟申购数量、有效认购倍数、发行人所处行业、市场情况、同行业上市公司估值水平、募集资金需求及承销风险等因素协商确定。</w:t>
      </w:r>
    </w:p>
    <w:p w:rsidR="00141CA4" w:rsidRDefault="005C1A93" w:rsidP="00141CA4">
      <w:pPr>
        <w:pStyle w:val="Default"/>
        <w:spacing w:line="360" w:lineRule="auto"/>
        <w:ind w:firstLineChars="210" w:firstLine="504"/>
        <w:rPr>
          <w:rFonts w:asciiTheme="majorEastAsia" w:eastAsiaTheme="majorEastAsia" w:hAnsiTheme="majorEastAsia"/>
        </w:rPr>
      </w:pPr>
      <w:r w:rsidRPr="001F2973">
        <w:rPr>
          <w:rFonts w:asciiTheme="majorEastAsia" w:eastAsiaTheme="majorEastAsia" w:hAnsiTheme="majorEastAsia" w:hint="eastAsia"/>
        </w:rPr>
        <w:t>现将获配结果披露如下表：</w:t>
      </w:r>
    </w:p>
    <w:p w:rsidR="001F2973" w:rsidRDefault="001F2973" w:rsidP="001F2973">
      <w:pPr>
        <w:pStyle w:val="Default"/>
        <w:spacing w:line="360" w:lineRule="auto"/>
        <w:rPr>
          <w:rFonts w:asciiTheme="majorEastAsia" w:eastAsiaTheme="majorEastAsia" w:hAnsiTheme="majorEastAsia"/>
        </w:rPr>
      </w:pPr>
    </w:p>
    <w:tbl>
      <w:tblPr>
        <w:tblW w:w="829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2"/>
        <w:gridCol w:w="1418"/>
        <w:gridCol w:w="1417"/>
        <w:gridCol w:w="1399"/>
      </w:tblGrid>
      <w:tr w:rsidR="00926343" w:rsidTr="00376CCE">
        <w:trPr>
          <w:trHeight w:val="550"/>
        </w:trPr>
        <w:tc>
          <w:tcPr>
            <w:tcW w:w="4062" w:type="dxa"/>
            <w:shd w:val="clear" w:color="auto" w:fill="auto"/>
            <w:vAlign w:val="center"/>
            <w:hideMark/>
          </w:tcPr>
          <w:p w:rsidR="00F80586" w:rsidRPr="009D5618" w:rsidRDefault="005C1A93" w:rsidP="009D5618">
            <w:pPr>
              <w:widowControl/>
              <w:jc w:val="center"/>
              <w:rPr>
                <w:rFonts w:ascii="宋体" w:hAnsi="宋体" w:cs="宋体"/>
                <w:color w:val="000000"/>
                <w:kern w:val="0"/>
                <w:szCs w:val="21"/>
              </w:rPr>
            </w:pPr>
            <w:r w:rsidRPr="009D5618">
              <w:rPr>
                <w:rFonts w:ascii="宋体" w:hAnsi="宋体" w:cs="宋体" w:hint="eastAsia"/>
                <w:color w:val="000000"/>
                <w:kern w:val="0"/>
                <w:szCs w:val="21"/>
              </w:rPr>
              <w:t>基金名称</w:t>
            </w:r>
          </w:p>
        </w:tc>
        <w:tc>
          <w:tcPr>
            <w:tcW w:w="1418" w:type="dxa"/>
            <w:shd w:val="clear" w:color="auto" w:fill="auto"/>
            <w:vAlign w:val="center"/>
            <w:hideMark/>
          </w:tcPr>
          <w:p w:rsidR="00F80586" w:rsidRPr="009D5618" w:rsidRDefault="005C1A93" w:rsidP="009D5618">
            <w:pPr>
              <w:widowControl/>
              <w:jc w:val="center"/>
              <w:rPr>
                <w:rFonts w:ascii="宋体" w:hAnsi="宋体" w:cs="宋体"/>
                <w:color w:val="000000"/>
                <w:kern w:val="0"/>
                <w:szCs w:val="21"/>
              </w:rPr>
            </w:pPr>
            <w:r w:rsidRPr="009D5618">
              <w:rPr>
                <w:rFonts w:ascii="宋体" w:hAnsi="宋体" w:cs="宋体" w:hint="eastAsia"/>
                <w:color w:val="000000"/>
                <w:kern w:val="0"/>
                <w:szCs w:val="21"/>
              </w:rPr>
              <w:t>获配数量（股）</w:t>
            </w:r>
          </w:p>
        </w:tc>
        <w:tc>
          <w:tcPr>
            <w:tcW w:w="1417" w:type="dxa"/>
            <w:shd w:val="clear" w:color="auto" w:fill="auto"/>
            <w:vAlign w:val="center"/>
            <w:hideMark/>
          </w:tcPr>
          <w:p w:rsidR="00F80586" w:rsidRPr="009D5618" w:rsidRDefault="005C1A93" w:rsidP="009D5618">
            <w:pPr>
              <w:widowControl/>
              <w:jc w:val="center"/>
              <w:rPr>
                <w:rFonts w:ascii="宋体" w:hAnsi="宋体" w:cs="宋体"/>
                <w:color w:val="000000"/>
                <w:kern w:val="0"/>
                <w:szCs w:val="21"/>
              </w:rPr>
            </w:pPr>
            <w:r w:rsidRPr="009D5618">
              <w:rPr>
                <w:rFonts w:ascii="宋体" w:hAnsi="宋体" w:cs="宋体" w:hint="eastAsia"/>
                <w:color w:val="000000"/>
                <w:kern w:val="0"/>
                <w:szCs w:val="21"/>
              </w:rPr>
              <w:t>获配金额（元）</w:t>
            </w:r>
          </w:p>
        </w:tc>
        <w:tc>
          <w:tcPr>
            <w:tcW w:w="1399" w:type="dxa"/>
          </w:tcPr>
          <w:p w:rsidR="00F80586" w:rsidRPr="009D5618" w:rsidRDefault="005C1A93" w:rsidP="009D5618">
            <w:pPr>
              <w:widowControl/>
              <w:jc w:val="center"/>
              <w:rPr>
                <w:rFonts w:ascii="宋体" w:hAnsi="宋体" w:cs="宋体"/>
                <w:color w:val="000000"/>
                <w:kern w:val="0"/>
                <w:szCs w:val="21"/>
              </w:rPr>
            </w:pPr>
            <w:r>
              <w:rPr>
                <w:rFonts w:ascii="宋体" w:hAnsi="宋体" w:cs="宋体" w:hint="eastAsia"/>
                <w:color w:val="000000"/>
                <w:kern w:val="0"/>
                <w:szCs w:val="21"/>
              </w:rPr>
              <w:t>基金托管人是否为中信证券</w:t>
            </w:r>
          </w:p>
        </w:tc>
      </w:tr>
      <w:tr w:rsidR="00926343" w:rsidTr="00C32233">
        <w:trPr>
          <w:trHeight w:val="290"/>
        </w:trPr>
        <w:tc>
          <w:tcPr>
            <w:tcW w:w="4062" w:type="dxa"/>
            <w:shd w:val="clear" w:color="auto" w:fill="auto"/>
            <w:vAlign w:val="center"/>
            <w:hideMark/>
          </w:tcPr>
          <w:p w:rsidR="00F80586" w:rsidRPr="009D5618" w:rsidRDefault="005C1A93" w:rsidP="009D5618">
            <w:pPr>
              <w:widowControl/>
              <w:jc w:val="center"/>
              <w:rPr>
                <w:rFonts w:ascii="宋体" w:hAnsi="宋体" w:cs="宋体"/>
                <w:color w:val="000000"/>
                <w:kern w:val="0"/>
                <w:szCs w:val="21"/>
              </w:rPr>
            </w:pPr>
            <w:bookmarkStart w:id="0" w:name="_GoBack" w:colFirst="1" w:colLast="1"/>
            <w:r w:rsidRPr="009D5618">
              <w:rPr>
                <w:rFonts w:ascii="宋体" w:hAnsi="宋体" w:cs="宋体" w:hint="eastAsia"/>
                <w:color w:val="000000"/>
                <w:kern w:val="0"/>
                <w:szCs w:val="21"/>
              </w:rPr>
              <w:t>易方达中证创新药产业交易型开放式指数证券投资基金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9D5618">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550"/>
        </w:trPr>
        <w:tc>
          <w:tcPr>
            <w:tcW w:w="4062" w:type="dxa"/>
            <w:shd w:val="clear" w:color="auto" w:fill="auto"/>
            <w:vAlign w:val="center"/>
            <w:hideMark/>
          </w:tcPr>
          <w:p w:rsidR="00F80586" w:rsidRPr="009D5618" w:rsidRDefault="005C1A93" w:rsidP="009D5618">
            <w:pPr>
              <w:widowControl/>
              <w:jc w:val="center"/>
              <w:rPr>
                <w:rFonts w:ascii="宋体" w:hAnsi="宋体" w:cs="宋体"/>
                <w:color w:val="000000"/>
                <w:kern w:val="0"/>
                <w:szCs w:val="21"/>
              </w:rPr>
            </w:pPr>
            <w:r w:rsidRPr="009D5618">
              <w:rPr>
                <w:rFonts w:ascii="宋体" w:hAnsi="宋体" w:cs="宋体" w:hint="eastAsia"/>
                <w:color w:val="000000"/>
                <w:kern w:val="0"/>
                <w:szCs w:val="21"/>
              </w:rPr>
              <w:t>易方达</w:t>
            </w:r>
            <w:r w:rsidRPr="009D5618">
              <w:rPr>
                <w:rFonts w:ascii="宋体" w:hAnsi="宋体" w:cs="宋体" w:hint="eastAsia"/>
                <w:color w:val="000000"/>
                <w:kern w:val="0"/>
                <w:szCs w:val="21"/>
              </w:rPr>
              <w:t>MSCI</w:t>
            </w:r>
            <w:r w:rsidRPr="009D5618">
              <w:rPr>
                <w:rFonts w:ascii="宋体" w:hAnsi="宋体" w:cs="宋体" w:hint="eastAsia"/>
                <w:color w:val="000000"/>
                <w:kern w:val="0"/>
                <w:szCs w:val="21"/>
              </w:rPr>
              <w:t>中国</w:t>
            </w:r>
            <w:r w:rsidRPr="009D5618">
              <w:rPr>
                <w:rFonts w:ascii="宋体" w:hAnsi="宋体" w:cs="宋体" w:hint="eastAsia"/>
                <w:color w:val="000000"/>
                <w:kern w:val="0"/>
                <w:szCs w:val="21"/>
              </w:rPr>
              <w:t>A</w:t>
            </w:r>
            <w:r w:rsidRPr="009D5618">
              <w:rPr>
                <w:rFonts w:ascii="宋体" w:hAnsi="宋体" w:cs="宋体" w:hint="eastAsia"/>
                <w:color w:val="000000"/>
                <w:kern w:val="0"/>
                <w:szCs w:val="21"/>
              </w:rPr>
              <w:t>股国际通交易型开放式指数证券投资基金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9D5618">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F80586"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9D5618">
            <w:pPr>
              <w:widowControl/>
              <w:jc w:val="center"/>
              <w:rPr>
                <w:rFonts w:ascii="宋体" w:hAnsi="宋体" w:cs="宋体"/>
                <w:color w:val="000000"/>
                <w:kern w:val="0"/>
                <w:szCs w:val="21"/>
              </w:rPr>
            </w:pPr>
            <w:r w:rsidRPr="009D5618">
              <w:rPr>
                <w:rFonts w:ascii="宋体" w:hAnsi="宋体" w:cs="宋体" w:hint="eastAsia"/>
                <w:color w:val="000000"/>
                <w:kern w:val="0"/>
                <w:szCs w:val="21"/>
              </w:rPr>
              <w:t>易方达新收益灵活配置混合型证券投资基金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9D5618">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550"/>
        </w:trPr>
        <w:tc>
          <w:tcPr>
            <w:tcW w:w="4062" w:type="dxa"/>
            <w:shd w:val="clear" w:color="auto" w:fill="auto"/>
            <w:vAlign w:val="center"/>
            <w:hideMark/>
          </w:tcPr>
          <w:p w:rsidR="00F80586" w:rsidRPr="009D5618" w:rsidRDefault="005C1A93" w:rsidP="009D5618">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易方达中证消费电子主题交易型开放式指数证券投资基金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9D5618">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9D5618">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w:t>
            </w:r>
            <w:r w:rsidRPr="009D5618">
              <w:rPr>
                <w:rFonts w:ascii="宋体" w:hAnsi="宋体" w:cs="宋体" w:hint="eastAsia"/>
                <w:color w:val="000000"/>
                <w:kern w:val="0"/>
                <w:szCs w:val="21"/>
              </w:rPr>
              <w:t>800</w:t>
            </w:r>
            <w:r w:rsidRPr="009D5618">
              <w:rPr>
                <w:rFonts w:ascii="宋体" w:hAnsi="宋体" w:cs="宋体" w:hint="eastAsia"/>
                <w:color w:val="000000"/>
                <w:kern w:val="0"/>
                <w:szCs w:val="21"/>
              </w:rPr>
              <w:t>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9D5618">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9D5618">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易方达中证医疗交易型开放式指数证券投资基金</w:t>
            </w:r>
          </w:p>
        </w:tc>
        <w:tc>
          <w:tcPr>
            <w:tcW w:w="1418" w:type="dxa"/>
            <w:shd w:val="clear" w:color="auto" w:fill="auto"/>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auto" w:fill="auto"/>
            <w:noWrap/>
            <w:vAlign w:val="center"/>
            <w:hideMark/>
          </w:tcPr>
          <w:p w:rsidR="00F80586" w:rsidRPr="009D5618" w:rsidRDefault="005C1A93" w:rsidP="009D5618">
            <w:pPr>
              <w:widowControl/>
              <w:jc w:val="center"/>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vAlign w:val="center"/>
          </w:tcPr>
          <w:p w:rsidR="00F80586" w:rsidRPr="009D5618" w:rsidRDefault="005C1A93" w:rsidP="00F80586">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易方达中证红利低波动交易型开放式指数证券投资基金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易方达瑞信灵活配置混合型证券投资基金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55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易方达沪深</w:t>
            </w:r>
            <w:r w:rsidRPr="009D5618">
              <w:rPr>
                <w:rFonts w:ascii="宋体" w:hAnsi="宋体" w:cs="宋体" w:hint="eastAsia"/>
                <w:color w:val="000000"/>
                <w:kern w:val="0"/>
                <w:szCs w:val="21"/>
              </w:rPr>
              <w:t>300</w:t>
            </w:r>
            <w:r w:rsidRPr="009D5618">
              <w:rPr>
                <w:rFonts w:ascii="宋体" w:hAnsi="宋体" w:cs="宋体" w:hint="eastAsia"/>
                <w:color w:val="000000"/>
                <w:kern w:val="0"/>
                <w:szCs w:val="21"/>
              </w:rPr>
              <w:t>非银行金融交易型开放式指数证券投资基金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易方达沪深</w:t>
            </w:r>
            <w:r w:rsidRPr="009D5618">
              <w:rPr>
                <w:rFonts w:ascii="宋体" w:hAnsi="宋体" w:cs="宋体" w:hint="eastAsia"/>
                <w:color w:val="000000"/>
                <w:kern w:val="0"/>
                <w:szCs w:val="21"/>
              </w:rPr>
              <w:t>300</w:t>
            </w:r>
            <w:r w:rsidRPr="009D5618">
              <w:rPr>
                <w:rFonts w:ascii="宋体" w:hAnsi="宋体" w:cs="宋体" w:hint="eastAsia"/>
                <w:color w:val="000000"/>
                <w:kern w:val="0"/>
                <w:szCs w:val="21"/>
              </w:rPr>
              <w:t>交易型开放式指数发起式证券投资基金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易方达深证</w:t>
            </w:r>
            <w:r w:rsidRPr="009D5618">
              <w:rPr>
                <w:rFonts w:ascii="宋体" w:hAnsi="宋体" w:cs="宋体" w:hint="eastAsia"/>
                <w:color w:val="000000"/>
                <w:kern w:val="0"/>
                <w:szCs w:val="21"/>
              </w:rPr>
              <w:t>100</w:t>
            </w:r>
            <w:r w:rsidRPr="009D5618">
              <w:rPr>
                <w:rFonts w:ascii="宋体" w:hAnsi="宋体" w:cs="宋体" w:hint="eastAsia"/>
                <w:color w:val="000000"/>
                <w:kern w:val="0"/>
                <w:szCs w:val="21"/>
              </w:rPr>
              <w:t>交易型开放式指数证券投</w:t>
            </w:r>
            <w:r w:rsidRPr="009D5618">
              <w:rPr>
                <w:rFonts w:ascii="宋体" w:hAnsi="宋体" w:cs="宋体" w:hint="eastAsia"/>
                <w:color w:val="000000"/>
                <w:kern w:val="0"/>
                <w:szCs w:val="21"/>
              </w:rPr>
              <w:lastRenderedPageBreak/>
              <w:t>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lastRenderedPageBreak/>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lastRenderedPageBreak/>
              <w:t>易方达中证万得生物科技指数证券投资基金（</w:t>
            </w:r>
            <w:r w:rsidRPr="009D5618">
              <w:rPr>
                <w:rFonts w:ascii="宋体" w:hAnsi="宋体" w:cs="宋体" w:hint="eastAsia"/>
                <w:color w:val="000000"/>
                <w:kern w:val="0"/>
                <w:szCs w:val="21"/>
              </w:rPr>
              <w:t>LOF</w:t>
            </w:r>
            <w:r w:rsidRPr="009D5618">
              <w:rPr>
                <w:rFonts w:ascii="宋体" w:hAnsi="宋体" w:cs="宋体" w:hint="eastAsia"/>
                <w:color w:val="000000"/>
                <w:kern w:val="0"/>
                <w:szCs w:val="21"/>
              </w:rPr>
              <w:t>）</w:t>
            </w:r>
          </w:p>
        </w:tc>
        <w:tc>
          <w:tcPr>
            <w:tcW w:w="1418" w:type="dxa"/>
            <w:shd w:val="clear" w:color="auto" w:fill="auto"/>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auto" w:fill="auto"/>
            <w:noWrap/>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vAlign w:val="center"/>
          </w:tcPr>
          <w:p w:rsidR="00F80586" w:rsidRPr="009D5618" w:rsidRDefault="005C1A93" w:rsidP="00F80586">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易方达中小企业</w:t>
            </w:r>
            <w:r w:rsidRPr="009D5618">
              <w:rPr>
                <w:rFonts w:ascii="宋体" w:hAnsi="宋体" w:cs="宋体" w:hint="eastAsia"/>
                <w:color w:val="000000"/>
                <w:kern w:val="0"/>
                <w:szCs w:val="21"/>
              </w:rPr>
              <w:t>100</w:t>
            </w:r>
            <w:r w:rsidRPr="009D5618">
              <w:rPr>
                <w:rFonts w:ascii="宋体" w:hAnsi="宋体" w:cs="宋体" w:hint="eastAsia"/>
                <w:color w:val="000000"/>
                <w:kern w:val="0"/>
                <w:szCs w:val="21"/>
              </w:rPr>
              <w:t>指数证券投资基金（</w:t>
            </w:r>
            <w:r w:rsidRPr="009D5618">
              <w:rPr>
                <w:rFonts w:ascii="宋体" w:hAnsi="宋体" w:cs="宋体" w:hint="eastAsia"/>
                <w:color w:val="000000"/>
                <w:kern w:val="0"/>
                <w:szCs w:val="21"/>
              </w:rPr>
              <w:t>LOF</w:t>
            </w:r>
            <w:r w:rsidRPr="009D5618">
              <w:rPr>
                <w:rFonts w:ascii="宋体" w:hAnsi="宋体" w:cs="宋体" w:hint="eastAsia"/>
                <w:color w:val="000000"/>
                <w:kern w:val="0"/>
                <w:szCs w:val="21"/>
              </w:rPr>
              <w:t>）</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1,325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35,245.00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易方达安心回馈混合型证券投资基金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易方达稳健增长混合型证券投资基金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55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易方达国证信息技术创新主题交易型开放式指数证券投资基金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易方达创业板中盘</w:t>
            </w:r>
            <w:r w:rsidRPr="009D5618">
              <w:rPr>
                <w:rFonts w:ascii="宋体" w:hAnsi="宋体" w:cs="宋体" w:hint="eastAsia"/>
                <w:color w:val="000000"/>
                <w:kern w:val="0"/>
                <w:szCs w:val="21"/>
              </w:rPr>
              <w:t>200</w:t>
            </w:r>
            <w:r w:rsidRPr="009D5618">
              <w:rPr>
                <w:rFonts w:ascii="宋体" w:hAnsi="宋体" w:cs="宋体" w:hint="eastAsia"/>
                <w:color w:val="000000"/>
                <w:kern w:val="0"/>
                <w:szCs w:val="21"/>
              </w:rPr>
              <w:t>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w:t>
            </w:r>
            <w:r w:rsidRPr="009D5618">
              <w:rPr>
                <w:rFonts w:ascii="宋体" w:hAnsi="宋体" w:cs="宋体" w:hint="eastAsia"/>
                <w:color w:val="000000"/>
                <w:kern w:val="0"/>
                <w:szCs w:val="21"/>
              </w:rPr>
              <w:t>A500</w:t>
            </w:r>
            <w:r w:rsidRPr="009D5618">
              <w:rPr>
                <w:rFonts w:ascii="宋体" w:hAnsi="宋体" w:cs="宋体" w:hint="eastAsia"/>
                <w:color w:val="000000"/>
                <w:kern w:val="0"/>
                <w:szCs w:val="21"/>
              </w:rPr>
              <w:t>交易型开放式指数证券投资基金</w:t>
            </w:r>
          </w:p>
        </w:tc>
        <w:tc>
          <w:tcPr>
            <w:tcW w:w="1418" w:type="dxa"/>
            <w:shd w:val="clear" w:color="auto" w:fill="auto"/>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auto" w:fill="auto"/>
            <w:noWrap/>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vAlign w:val="center"/>
          </w:tcPr>
          <w:p w:rsidR="00F80586" w:rsidRPr="009D5618" w:rsidRDefault="005C1A93" w:rsidP="00F80586">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易方达中证光伏产业交易型开放式指数证券投资基金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1,273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33,861.80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易方达安盈回报混合型证券投资基金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55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易方达中证生物科技主题交易型开放式指数证券投资基金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易方达中证稀土产业交易型开放式指数证券投资基金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易方达新鑫灵活配置混合型证券投资基金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55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易方达中证云计算与大数据主题交易型开放式指数证券投资基金</w:t>
            </w:r>
          </w:p>
        </w:tc>
        <w:tc>
          <w:tcPr>
            <w:tcW w:w="1418" w:type="dxa"/>
            <w:shd w:val="clear" w:color="auto" w:fill="auto"/>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auto" w:fill="auto"/>
            <w:noWrap/>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vAlign w:val="center"/>
          </w:tcPr>
          <w:p w:rsidR="00F80586" w:rsidRPr="009D5618" w:rsidRDefault="005C1A93" w:rsidP="00F80586">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易方达深证</w:t>
            </w:r>
            <w:r w:rsidRPr="009D5618">
              <w:rPr>
                <w:rFonts w:ascii="宋体" w:hAnsi="宋体" w:cs="宋体" w:hint="eastAsia"/>
                <w:color w:val="000000"/>
                <w:kern w:val="0"/>
                <w:szCs w:val="21"/>
              </w:rPr>
              <w:t>50</w:t>
            </w:r>
            <w:r w:rsidRPr="009D5618">
              <w:rPr>
                <w:rFonts w:ascii="宋体" w:hAnsi="宋体" w:cs="宋体" w:hint="eastAsia"/>
                <w:color w:val="000000"/>
                <w:kern w:val="0"/>
                <w:szCs w:val="21"/>
              </w:rPr>
              <w:t>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55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易方达中证国企一带一路交易型开放式指数证券投资基金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易方达瑞景灵活配置混合型证券投资基金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易方达中证红利交易型开放式指数证券投资基金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易方达创业板交易型开放式指数证券投资基金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易方达悦兴一年持有期混合型证券投资基金</w:t>
            </w:r>
          </w:p>
        </w:tc>
        <w:tc>
          <w:tcPr>
            <w:tcW w:w="1418" w:type="dxa"/>
            <w:shd w:val="clear" w:color="auto" w:fill="auto"/>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auto" w:fill="auto"/>
            <w:noWrap/>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vAlign w:val="center"/>
          </w:tcPr>
          <w:p w:rsidR="00F80586" w:rsidRPr="009D5618" w:rsidRDefault="005C1A93" w:rsidP="00F80586">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易方达中证软件服务交易型开放式指数证券投资基金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1,325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35,245.00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易方达中证军工交易型开放式指数证券投资基金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w:t>
            </w:r>
            <w:r w:rsidRPr="009D5618">
              <w:rPr>
                <w:rFonts w:ascii="宋体" w:hAnsi="宋体" w:cs="宋体" w:hint="eastAsia"/>
                <w:color w:val="000000"/>
                <w:kern w:val="0"/>
                <w:szCs w:val="21"/>
              </w:rPr>
              <w:t>500</w:t>
            </w:r>
            <w:r w:rsidRPr="009D5618">
              <w:rPr>
                <w:rFonts w:ascii="宋体" w:hAnsi="宋体" w:cs="宋体" w:hint="eastAsia"/>
                <w:color w:val="000000"/>
                <w:kern w:val="0"/>
                <w:szCs w:val="21"/>
              </w:rPr>
              <w:t>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易方达国证新能源电池交易型开放式指数证券投资基金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1,143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30,403.80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易方达中证军工指数证券投资基金（</w:t>
            </w:r>
            <w:r w:rsidRPr="009D5618">
              <w:rPr>
                <w:rFonts w:ascii="宋体" w:hAnsi="宋体" w:cs="宋体" w:hint="eastAsia"/>
                <w:color w:val="000000"/>
                <w:kern w:val="0"/>
                <w:szCs w:val="21"/>
              </w:rPr>
              <w:t>LOF</w:t>
            </w:r>
            <w:r w:rsidRPr="009D5618">
              <w:rPr>
                <w:rFonts w:ascii="宋体" w:hAnsi="宋体" w:cs="宋体" w:hint="eastAsia"/>
                <w:color w:val="000000"/>
                <w:kern w:val="0"/>
                <w:szCs w:val="21"/>
              </w:rPr>
              <w:t>）</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lastRenderedPageBreak/>
              <w:t>易方达新利灵活配置混合型证券投资基金</w:t>
            </w:r>
          </w:p>
        </w:tc>
        <w:tc>
          <w:tcPr>
            <w:tcW w:w="1418" w:type="dxa"/>
            <w:shd w:val="clear" w:color="auto" w:fill="auto"/>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auto" w:fill="auto"/>
            <w:noWrap/>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vAlign w:val="center"/>
          </w:tcPr>
          <w:p w:rsidR="00F80586" w:rsidRPr="009D5618" w:rsidRDefault="005C1A93" w:rsidP="00F80586">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55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易方达中证半导体材料设备主题交易型开放式指数证券投资基金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55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w:t>
            </w:r>
            <w:r w:rsidRPr="009D5618">
              <w:rPr>
                <w:rFonts w:ascii="宋体" w:hAnsi="宋体" w:cs="宋体" w:hint="eastAsia"/>
                <w:color w:val="000000"/>
                <w:kern w:val="0"/>
                <w:szCs w:val="21"/>
              </w:rPr>
              <w:t>A500</w:t>
            </w:r>
            <w:r w:rsidRPr="009D5618">
              <w:rPr>
                <w:rFonts w:ascii="宋体" w:hAnsi="宋体" w:cs="宋体" w:hint="eastAsia"/>
                <w:color w:val="000000"/>
                <w:kern w:val="0"/>
                <w:szCs w:val="21"/>
              </w:rPr>
              <w:t>交易型开放式指数证券投资基金联接基金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易方达中证家电龙头交易型开放式指数证券投资基金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1,169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31,095.40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易方达创业板成长交易型开放式指数证券投资基金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831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22,104.60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是</w:t>
            </w:r>
          </w:p>
        </w:tc>
      </w:tr>
      <w:tr w:rsidR="00926343" w:rsidTr="00C32233">
        <w:trPr>
          <w:trHeight w:val="55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易方达中证全指证券公司交易型开放式指数证券投资基金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易方达中证芯片产业交易型开放式指数证券投资基金</w:t>
            </w:r>
          </w:p>
        </w:tc>
        <w:tc>
          <w:tcPr>
            <w:tcW w:w="1418" w:type="dxa"/>
            <w:shd w:val="clear" w:color="auto" w:fill="auto"/>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auto" w:fill="auto"/>
            <w:noWrap/>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vAlign w:val="center"/>
          </w:tcPr>
          <w:p w:rsidR="00F80586" w:rsidRPr="009D5618" w:rsidRDefault="005C1A93" w:rsidP="00F80586">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w:t>
            </w:r>
            <w:r w:rsidRPr="009D5618">
              <w:rPr>
                <w:rFonts w:ascii="宋体" w:hAnsi="宋体" w:cs="宋体" w:hint="eastAsia"/>
                <w:color w:val="000000"/>
                <w:kern w:val="0"/>
                <w:szCs w:val="21"/>
              </w:rPr>
              <w:t>A50</w:t>
            </w:r>
            <w:r w:rsidRPr="009D5618">
              <w:rPr>
                <w:rFonts w:ascii="宋体" w:hAnsi="宋体" w:cs="宋体" w:hint="eastAsia"/>
                <w:color w:val="000000"/>
                <w:kern w:val="0"/>
                <w:szCs w:val="21"/>
              </w:rPr>
              <w:t>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55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易方达中证智能电动汽车交易型开放式指数证券投资基金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909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24,179.40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易方达中证电信主题交易型开放式指数证券投资基金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是</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易方达瑞锦灵活配置混合型发起式证券投资基金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55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易方达中证国新央企科技引领交易型开放式指数证券投资基金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易方达中证万得并购重组指数证券投资基金（</w:t>
            </w:r>
            <w:r w:rsidRPr="009D5618">
              <w:rPr>
                <w:rFonts w:ascii="宋体" w:hAnsi="宋体" w:cs="宋体" w:hint="eastAsia"/>
                <w:color w:val="000000"/>
                <w:kern w:val="0"/>
                <w:szCs w:val="21"/>
              </w:rPr>
              <w:t>LOF</w:t>
            </w:r>
            <w:r w:rsidRPr="009D5618">
              <w:rPr>
                <w:rFonts w:ascii="宋体" w:hAnsi="宋体" w:cs="宋体" w:hint="eastAsia"/>
                <w:color w:val="000000"/>
                <w:kern w:val="0"/>
                <w:szCs w:val="21"/>
              </w:rPr>
              <w:t>）</w:t>
            </w:r>
          </w:p>
        </w:tc>
        <w:tc>
          <w:tcPr>
            <w:tcW w:w="1418" w:type="dxa"/>
            <w:shd w:val="clear" w:color="auto" w:fill="auto"/>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auto" w:fill="auto"/>
            <w:noWrap/>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vAlign w:val="center"/>
          </w:tcPr>
          <w:p w:rsidR="00F80586" w:rsidRPr="009D5618" w:rsidRDefault="005C1A93" w:rsidP="00F80586">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易方达中证全指证券公司指数证券投资基金（</w:t>
            </w:r>
            <w:r w:rsidRPr="009D5618">
              <w:rPr>
                <w:rFonts w:ascii="宋体" w:hAnsi="宋体" w:cs="宋体" w:hint="eastAsia"/>
                <w:color w:val="000000"/>
                <w:kern w:val="0"/>
                <w:szCs w:val="21"/>
              </w:rPr>
              <w:t>LOF</w:t>
            </w:r>
            <w:r w:rsidRPr="009D5618">
              <w:rPr>
                <w:rFonts w:ascii="宋体" w:hAnsi="宋体" w:cs="宋体" w:hint="eastAsia"/>
                <w:color w:val="000000"/>
                <w:kern w:val="0"/>
                <w:szCs w:val="21"/>
              </w:rPr>
              <w:t>）</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易方达稳健回报混合型证券投资基金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55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易方达中证人工智能主题交易型开放式指数证券投资基金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易方达裕惠回报定期开放式混合型发起式证券投资基金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w:t>
            </w:r>
            <w:r w:rsidRPr="009D5618">
              <w:rPr>
                <w:rFonts w:ascii="宋体" w:hAnsi="宋体" w:cs="宋体" w:hint="eastAsia"/>
                <w:color w:val="000000"/>
                <w:kern w:val="0"/>
                <w:szCs w:val="21"/>
              </w:rPr>
              <w:t>1000</w:t>
            </w:r>
            <w:r w:rsidRPr="009D5618">
              <w:rPr>
                <w:rFonts w:ascii="宋体" w:hAnsi="宋体" w:cs="宋体" w:hint="eastAsia"/>
                <w:color w:val="000000"/>
                <w:kern w:val="0"/>
                <w:szCs w:val="21"/>
              </w:rPr>
              <w:t>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55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w:t>
            </w:r>
            <w:r w:rsidRPr="009D5618">
              <w:rPr>
                <w:rFonts w:ascii="宋体" w:hAnsi="宋体" w:cs="宋体" w:hint="eastAsia"/>
                <w:color w:val="000000"/>
                <w:kern w:val="0"/>
                <w:szCs w:val="21"/>
              </w:rPr>
              <w:t>MSCI</w:t>
            </w:r>
            <w:r w:rsidRPr="009D5618">
              <w:rPr>
                <w:rFonts w:ascii="宋体" w:hAnsi="宋体" w:cs="宋体" w:hint="eastAsia"/>
                <w:color w:val="000000"/>
                <w:kern w:val="0"/>
                <w:szCs w:val="21"/>
              </w:rPr>
              <w:t>中国</w:t>
            </w:r>
            <w:r w:rsidRPr="009D5618">
              <w:rPr>
                <w:rFonts w:ascii="宋体" w:hAnsi="宋体" w:cs="宋体" w:hint="eastAsia"/>
                <w:color w:val="000000"/>
                <w:kern w:val="0"/>
                <w:szCs w:val="21"/>
              </w:rPr>
              <w:t>A50</w:t>
            </w:r>
            <w:r w:rsidRPr="009D5618">
              <w:rPr>
                <w:rFonts w:ascii="宋体" w:hAnsi="宋体" w:cs="宋体" w:hint="eastAsia"/>
                <w:color w:val="000000"/>
                <w:kern w:val="0"/>
                <w:szCs w:val="21"/>
              </w:rPr>
              <w:t>互联互通交易型开放式指数证券投资基金</w:t>
            </w:r>
          </w:p>
        </w:tc>
        <w:tc>
          <w:tcPr>
            <w:tcW w:w="1418" w:type="dxa"/>
            <w:shd w:val="clear" w:color="auto" w:fill="auto"/>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auto" w:fill="auto"/>
            <w:noWrap/>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vAlign w:val="center"/>
          </w:tcPr>
          <w:p w:rsidR="00F80586" w:rsidRPr="009D5618" w:rsidRDefault="005C1A93" w:rsidP="00F80586">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55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易方达中证长江保护主题交易型开放式指数证券投资基金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是</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w:t>
            </w:r>
            <w:r w:rsidRPr="009D5618">
              <w:rPr>
                <w:rFonts w:ascii="宋体" w:hAnsi="宋体" w:cs="宋体" w:hint="eastAsia"/>
                <w:color w:val="000000"/>
                <w:kern w:val="0"/>
                <w:szCs w:val="21"/>
              </w:rPr>
              <w:t>500</w:t>
            </w:r>
            <w:r w:rsidRPr="009D5618">
              <w:rPr>
                <w:rFonts w:ascii="宋体" w:hAnsi="宋体" w:cs="宋体" w:hint="eastAsia"/>
                <w:color w:val="000000"/>
                <w:kern w:val="0"/>
                <w:szCs w:val="21"/>
              </w:rPr>
              <w:t>质量成长交易型开放式指数证券投资基金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55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易方达沪深</w:t>
            </w:r>
            <w:r w:rsidRPr="009D5618">
              <w:rPr>
                <w:rFonts w:ascii="宋体" w:hAnsi="宋体" w:cs="宋体" w:hint="eastAsia"/>
                <w:color w:val="000000"/>
                <w:kern w:val="0"/>
                <w:szCs w:val="21"/>
              </w:rPr>
              <w:t>300</w:t>
            </w:r>
            <w:r w:rsidRPr="009D5618">
              <w:rPr>
                <w:rFonts w:ascii="宋体" w:hAnsi="宋体" w:cs="宋体" w:hint="eastAsia"/>
                <w:color w:val="000000"/>
                <w:kern w:val="0"/>
                <w:szCs w:val="21"/>
              </w:rPr>
              <w:t>交易型开放式指数发起式证券投资基金联接基金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易方达恒盛</w:t>
            </w:r>
            <w:r w:rsidRPr="009D5618">
              <w:rPr>
                <w:rFonts w:ascii="宋体" w:hAnsi="宋体" w:cs="宋体" w:hint="eastAsia"/>
                <w:color w:val="000000"/>
                <w:kern w:val="0"/>
                <w:szCs w:val="21"/>
              </w:rPr>
              <w:t>3</w:t>
            </w:r>
            <w:r w:rsidRPr="009D5618">
              <w:rPr>
                <w:rFonts w:ascii="宋体" w:hAnsi="宋体" w:cs="宋体" w:hint="eastAsia"/>
                <w:color w:val="000000"/>
                <w:kern w:val="0"/>
                <w:szCs w:val="21"/>
              </w:rPr>
              <w:t>个月定期开放混合型发起式证券投资基金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易方达沪深</w:t>
            </w:r>
            <w:r w:rsidRPr="009D5618">
              <w:rPr>
                <w:rFonts w:ascii="宋体" w:hAnsi="宋体" w:cs="宋体" w:hint="eastAsia"/>
                <w:color w:val="000000"/>
                <w:kern w:val="0"/>
                <w:szCs w:val="21"/>
              </w:rPr>
              <w:t>300</w:t>
            </w:r>
            <w:r w:rsidRPr="009D5618">
              <w:rPr>
                <w:rFonts w:ascii="宋体" w:hAnsi="宋体" w:cs="宋体" w:hint="eastAsia"/>
                <w:color w:val="000000"/>
                <w:kern w:val="0"/>
                <w:szCs w:val="21"/>
              </w:rPr>
              <w:t>医药卫生交易型开放式指数证券投资基金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55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易方达中证内地低碳经济主题交易型开放式指数证券投资基金</w:t>
            </w:r>
          </w:p>
        </w:tc>
        <w:tc>
          <w:tcPr>
            <w:tcW w:w="1418" w:type="dxa"/>
            <w:shd w:val="clear" w:color="auto" w:fill="auto"/>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auto" w:fill="auto"/>
            <w:noWrap/>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vAlign w:val="center"/>
          </w:tcPr>
          <w:p w:rsidR="00F80586" w:rsidRPr="009D5618" w:rsidRDefault="005C1A93" w:rsidP="00F80586">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易方达中证科技</w:t>
            </w:r>
            <w:r w:rsidRPr="009D5618">
              <w:rPr>
                <w:rFonts w:ascii="宋体" w:hAnsi="宋体" w:cs="宋体" w:hint="eastAsia"/>
                <w:color w:val="000000"/>
                <w:kern w:val="0"/>
                <w:szCs w:val="21"/>
              </w:rPr>
              <w:t>50</w:t>
            </w:r>
            <w:r w:rsidRPr="009D5618">
              <w:rPr>
                <w:rFonts w:ascii="宋体" w:hAnsi="宋体" w:cs="宋体" w:hint="eastAsia"/>
                <w:color w:val="000000"/>
                <w:kern w:val="0"/>
                <w:szCs w:val="21"/>
              </w:rPr>
              <w:t>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易方达中证新能源交易型开放式指数证券投资基金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易方达中证银行交易型开放式指数证券投资基金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55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易方达中证上海环交所碳中和交易型开放式指数证券投资基金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易方达创业板交易型开放式指数证券投资基金联接基金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易方达磐泰一年持有期混合型证券投资基金</w:t>
            </w:r>
          </w:p>
        </w:tc>
        <w:tc>
          <w:tcPr>
            <w:tcW w:w="1418" w:type="dxa"/>
            <w:shd w:val="clear" w:color="auto" w:fill="auto"/>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w:t>
            </w:r>
            <w:r w:rsidRPr="009D5618">
              <w:rPr>
                <w:rFonts w:ascii="宋体" w:hAnsi="宋体" w:cs="宋体" w:hint="eastAsia"/>
                <w:color w:val="000000"/>
                <w:kern w:val="0"/>
                <w:szCs w:val="21"/>
              </w:rPr>
              <w:t xml:space="preserve"> </w:t>
            </w:r>
          </w:p>
        </w:tc>
        <w:tc>
          <w:tcPr>
            <w:tcW w:w="1417" w:type="dxa"/>
            <w:shd w:val="clear" w:color="auto" w:fill="auto"/>
            <w:noWrap/>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vAlign w:val="center"/>
          </w:tcPr>
          <w:p w:rsidR="00F80586" w:rsidRPr="009D5618" w:rsidRDefault="005C1A93" w:rsidP="00F80586">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易方达稳健增利混合型证券投资基金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易方达国证机器人产业交易型开放式指数证券投资基金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926343" w:rsidTr="00C32233">
        <w:trPr>
          <w:trHeight w:val="290"/>
        </w:trPr>
        <w:tc>
          <w:tcPr>
            <w:tcW w:w="4062" w:type="dxa"/>
            <w:shd w:val="clear" w:color="auto" w:fill="auto"/>
            <w:vAlign w:val="center"/>
            <w:hideMark/>
          </w:tcPr>
          <w:p w:rsidR="00F80586" w:rsidRPr="009D5618" w:rsidRDefault="005C1A93" w:rsidP="00F80586">
            <w:pPr>
              <w:widowControl/>
              <w:jc w:val="center"/>
              <w:rPr>
                <w:rFonts w:ascii="宋体" w:hAnsi="宋体" w:cs="宋体"/>
                <w:color w:val="000000"/>
                <w:kern w:val="0"/>
                <w:szCs w:val="21"/>
              </w:rPr>
            </w:pPr>
            <w:r w:rsidRPr="009D5618">
              <w:rPr>
                <w:rFonts w:ascii="宋体" w:hAnsi="宋体" w:cs="宋体" w:hint="eastAsia"/>
                <w:color w:val="000000"/>
                <w:kern w:val="0"/>
                <w:szCs w:val="21"/>
              </w:rPr>
              <w:t>易方达中证科创创业</w:t>
            </w:r>
            <w:r w:rsidRPr="009D5618">
              <w:rPr>
                <w:rFonts w:ascii="宋体" w:hAnsi="宋体" w:cs="宋体" w:hint="eastAsia"/>
                <w:color w:val="000000"/>
                <w:kern w:val="0"/>
                <w:szCs w:val="21"/>
              </w:rPr>
              <w:t>50</w:t>
            </w:r>
            <w:r w:rsidRPr="009D5618">
              <w:rPr>
                <w:rFonts w:ascii="宋体" w:hAnsi="宋体" w:cs="宋体" w:hint="eastAsia"/>
                <w:color w:val="000000"/>
                <w:kern w:val="0"/>
                <w:szCs w:val="21"/>
              </w:rPr>
              <w:t>交易型开放式指数证券投资基金</w:t>
            </w:r>
          </w:p>
        </w:tc>
        <w:tc>
          <w:tcPr>
            <w:tcW w:w="1418" w:type="dxa"/>
            <w:shd w:val="clear" w:color="000000" w:fill="FFFFFF"/>
            <w:noWrap/>
            <w:vAlign w:val="center"/>
            <w:hideMark/>
          </w:tcPr>
          <w:p w:rsidR="00F80586" w:rsidRPr="009D5618" w:rsidRDefault="005C1A93" w:rsidP="00C32233">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1,429 </w:t>
            </w:r>
          </w:p>
        </w:tc>
        <w:tc>
          <w:tcPr>
            <w:tcW w:w="1417" w:type="dxa"/>
            <w:shd w:val="clear" w:color="000000" w:fill="FFFFFF"/>
            <w:noWrap/>
            <w:vAlign w:val="center"/>
            <w:hideMark/>
          </w:tcPr>
          <w:p w:rsidR="00F80586" w:rsidRPr="009D5618" w:rsidRDefault="005C1A93" w:rsidP="00F80586">
            <w:pPr>
              <w:widowControl/>
              <w:jc w:val="right"/>
              <w:rPr>
                <w:rFonts w:ascii="宋体" w:hAnsi="宋体" w:cs="宋体"/>
                <w:color w:val="000000"/>
                <w:kern w:val="0"/>
                <w:szCs w:val="21"/>
              </w:rPr>
            </w:pPr>
            <w:r w:rsidRPr="009D5618">
              <w:rPr>
                <w:rFonts w:ascii="宋体" w:hAnsi="宋体" w:cs="宋体" w:hint="eastAsia"/>
                <w:color w:val="000000"/>
                <w:kern w:val="0"/>
                <w:szCs w:val="21"/>
              </w:rPr>
              <w:t xml:space="preserve">  38,011.40 </w:t>
            </w:r>
          </w:p>
        </w:tc>
        <w:tc>
          <w:tcPr>
            <w:tcW w:w="1399" w:type="dxa"/>
            <w:shd w:val="clear" w:color="000000" w:fill="FFFFFF"/>
            <w:vAlign w:val="center"/>
          </w:tcPr>
          <w:p w:rsidR="00F80586" w:rsidRPr="009D5618" w:rsidRDefault="005C1A93">
            <w:pPr>
              <w:widowControl/>
              <w:jc w:val="center"/>
              <w:rPr>
                <w:rFonts w:ascii="宋体" w:hAnsi="宋体" w:cs="宋体"/>
                <w:color w:val="000000"/>
                <w:kern w:val="0"/>
                <w:szCs w:val="21"/>
              </w:rPr>
            </w:pPr>
            <w:r>
              <w:rPr>
                <w:rFonts w:ascii="宋体" w:hAnsi="宋体" w:cs="宋体" w:hint="eastAsia"/>
                <w:color w:val="000000"/>
                <w:kern w:val="0"/>
                <w:szCs w:val="21"/>
              </w:rPr>
              <w:t>否</w:t>
            </w:r>
          </w:p>
        </w:tc>
      </w:tr>
      <w:bookmarkEnd w:id="0"/>
    </w:tbl>
    <w:p w:rsidR="001F2973" w:rsidRPr="001F2973" w:rsidRDefault="001F2973" w:rsidP="001F2973">
      <w:pPr>
        <w:pStyle w:val="Default"/>
        <w:spacing w:line="360" w:lineRule="auto"/>
        <w:rPr>
          <w:rFonts w:asciiTheme="majorEastAsia" w:eastAsiaTheme="majorEastAsia" w:hAnsiTheme="majorEastAsia"/>
        </w:rPr>
      </w:pPr>
    </w:p>
    <w:p w:rsidR="00141CA4" w:rsidRPr="00923081" w:rsidRDefault="00141CA4" w:rsidP="001F2973">
      <w:pPr>
        <w:widowControl/>
        <w:spacing w:line="360" w:lineRule="auto"/>
        <w:ind w:firstLineChars="200" w:firstLine="480"/>
        <w:jc w:val="left"/>
        <w:rPr>
          <w:rFonts w:asciiTheme="majorEastAsia" w:eastAsiaTheme="majorEastAsia" w:hAnsiTheme="majorEastAsia"/>
          <w:kern w:val="0"/>
          <w:sz w:val="24"/>
          <w:szCs w:val="24"/>
        </w:rPr>
      </w:pPr>
    </w:p>
    <w:p w:rsidR="00141CA4" w:rsidRPr="001F12D1" w:rsidRDefault="005C1A93" w:rsidP="00141CA4">
      <w:pPr>
        <w:widowControl/>
        <w:spacing w:line="360" w:lineRule="auto"/>
        <w:ind w:firstLine="480"/>
        <w:jc w:val="left"/>
        <w:rPr>
          <w:rFonts w:asciiTheme="majorEastAsia" w:eastAsiaTheme="majorEastAsia" w:hAnsiTheme="majorEastAsia" w:cs="宋体"/>
          <w:kern w:val="0"/>
          <w:sz w:val="24"/>
        </w:rPr>
      </w:pPr>
      <w:r w:rsidRPr="001F12D1">
        <w:rPr>
          <w:rFonts w:asciiTheme="majorEastAsia" w:eastAsiaTheme="majorEastAsia" w:hAnsiTheme="majorEastAsia" w:cs="宋体" w:hint="eastAsia"/>
          <w:kern w:val="0"/>
          <w:sz w:val="24"/>
        </w:rPr>
        <w:t>特此公告。</w:t>
      </w:r>
    </w:p>
    <w:p w:rsidR="00141CA4" w:rsidRPr="001F12D1" w:rsidRDefault="005C1A93" w:rsidP="00141CA4">
      <w:pPr>
        <w:widowControl/>
        <w:spacing w:line="360" w:lineRule="auto"/>
        <w:ind w:firstLine="480"/>
        <w:jc w:val="left"/>
        <w:rPr>
          <w:rFonts w:asciiTheme="majorEastAsia" w:eastAsiaTheme="majorEastAsia" w:hAnsiTheme="majorEastAsia"/>
          <w:kern w:val="0"/>
          <w:sz w:val="24"/>
        </w:rPr>
      </w:pPr>
      <w:r w:rsidRPr="001F12D1">
        <w:rPr>
          <w:rFonts w:asciiTheme="majorEastAsia" w:eastAsiaTheme="majorEastAsia" w:hAnsiTheme="majorEastAsia"/>
          <w:kern w:val="0"/>
          <w:sz w:val="24"/>
        </w:rPr>
        <w:t> </w:t>
      </w:r>
    </w:p>
    <w:p w:rsidR="00141CA4" w:rsidRPr="001F12D1" w:rsidRDefault="005C1A93" w:rsidP="00141CA4">
      <w:pPr>
        <w:widowControl/>
        <w:ind w:firstLineChars="200" w:firstLine="480"/>
        <w:jc w:val="right"/>
        <w:rPr>
          <w:rFonts w:asciiTheme="majorEastAsia" w:eastAsiaTheme="majorEastAsia" w:hAnsiTheme="majorEastAsia" w:cs="宋体"/>
          <w:kern w:val="0"/>
          <w:sz w:val="24"/>
        </w:rPr>
      </w:pPr>
      <w:r w:rsidRPr="001F12D1">
        <w:rPr>
          <w:rFonts w:asciiTheme="majorEastAsia" w:eastAsiaTheme="majorEastAsia" w:hAnsiTheme="majorEastAsia"/>
          <w:kern w:val="0"/>
          <w:sz w:val="24"/>
        </w:rPr>
        <w:t xml:space="preserve">    </w:t>
      </w:r>
      <w:r w:rsidRPr="001F12D1">
        <w:rPr>
          <w:rFonts w:asciiTheme="majorEastAsia" w:eastAsiaTheme="majorEastAsia" w:hAnsiTheme="majorEastAsia" w:cs="宋体" w:hint="eastAsia"/>
          <w:kern w:val="0"/>
          <w:sz w:val="24"/>
        </w:rPr>
        <w:t xml:space="preserve">　　　　　　　</w:t>
      </w:r>
    </w:p>
    <w:p w:rsidR="00141CA4" w:rsidRPr="000C30E2" w:rsidRDefault="005C1A93" w:rsidP="00141CA4">
      <w:pPr>
        <w:widowControl/>
        <w:ind w:right="723" w:firstLineChars="200" w:firstLine="480"/>
        <w:jc w:val="right"/>
        <w:rPr>
          <w:rFonts w:asciiTheme="majorEastAsia" w:eastAsiaTheme="majorEastAsia" w:hAnsiTheme="majorEastAsia" w:cs="宋体"/>
          <w:kern w:val="0"/>
          <w:sz w:val="24"/>
        </w:rPr>
      </w:pPr>
      <w:r w:rsidRPr="000C30E2">
        <w:rPr>
          <w:rFonts w:asciiTheme="majorEastAsia" w:eastAsiaTheme="majorEastAsia" w:hAnsiTheme="majorEastAsia" w:cs="宋体" w:hint="eastAsia"/>
          <w:kern w:val="0"/>
          <w:sz w:val="24"/>
        </w:rPr>
        <w:t>易方达基金管理有限公司</w:t>
      </w:r>
    </w:p>
    <w:p w:rsidR="00141CA4" w:rsidRPr="001F12D1" w:rsidRDefault="005C1A93" w:rsidP="00141CA4">
      <w:pPr>
        <w:widowControl/>
        <w:wordWrap w:val="0"/>
        <w:ind w:right="964"/>
        <w:jc w:val="right"/>
        <w:rPr>
          <w:rFonts w:asciiTheme="majorEastAsia" w:eastAsiaTheme="majorEastAsia" w:hAnsiTheme="majorEastAsia" w:cs="宋体"/>
          <w:kern w:val="0"/>
          <w:szCs w:val="21"/>
        </w:rPr>
      </w:pPr>
      <w:r w:rsidRPr="000C30E2">
        <w:rPr>
          <w:rFonts w:asciiTheme="majorEastAsia" w:eastAsiaTheme="majorEastAsia" w:hAnsiTheme="majorEastAsia" w:cs="宋体" w:hint="eastAsia"/>
          <w:bCs/>
          <w:kern w:val="0"/>
          <w:szCs w:val="21"/>
        </w:rPr>
        <w:t>202</w:t>
      </w:r>
      <w:r w:rsidR="003B4F45" w:rsidRPr="000C30E2">
        <w:rPr>
          <w:rFonts w:asciiTheme="majorEastAsia" w:eastAsiaTheme="majorEastAsia" w:hAnsiTheme="majorEastAsia" w:cs="宋体"/>
          <w:bCs/>
          <w:kern w:val="0"/>
          <w:szCs w:val="21"/>
        </w:rPr>
        <w:t>5</w:t>
      </w:r>
      <w:r w:rsidRPr="000C30E2">
        <w:rPr>
          <w:rFonts w:asciiTheme="majorEastAsia" w:eastAsiaTheme="majorEastAsia" w:hAnsiTheme="majorEastAsia" w:cs="宋体" w:hint="eastAsia"/>
          <w:bCs/>
          <w:kern w:val="0"/>
          <w:szCs w:val="21"/>
        </w:rPr>
        <w:t>年</w:t>
      </w:r>
      <w:r w:rsidR="000C30E2" w:rsidRPr="000C30E2">
        <w:rPr>
          <w:rFonts w:asciiTheme="majorEastAsia" w:eastAsiaTheme="majorEastAsia" w:hAnsiTheme="majorEastAsia" w:cs="宋体"/>
          <w:bCs/>
          <w:kern w:val="0"/>
          <w:szCs w:val="21"/>
        </w:rPr>
        <w:t>4</w:t>
      </w:r>
      <w:r w:rsidRPr="000C30E2">
        <w:rPr>
          <w:rFonts w:asciiTheme="majorEastAsia" w:eastAsiaTheme="majorEastAsia" w:hAnsiTheme="majorEastAsia" w:cs="宋体" w:hint="eastAsia"/>
          <w:bCs/>
          <w:kern w:val="0"/>
          <w:szCs w:val="21"/>
        </w:rPr>
        <w:t>月</w:t>
      </w:r>
      <w:r w:rsidR="001F2973">
        <w:rPr>
          <w:rFonts w:asciiTheme="majorEastAsia" w:eastAsiaTheme="majorEastAsia" w:hAnsiTheme="majorEastAsia" w:cs="宋体"/>
          <w:bCs/>
          <w:kern w:val="0"/>
          <w:szCs w:val="21"/>
        </w:rPr>
        <w:t>11</w:t>
      </w:r>
      <w:r w:rsidRPr="000C30E2">
        <w:rPr>
          <w:rFonts w:asciiTheme="majorEastAsia" w:eastAsiaTheme="majorEastAsia" w:hAnsiTheme="majorEastAsia" w:cs="宋体" w:hint="eastAsia"/>
          <w:bCs/>
          <w:kern w:val="0"/>
          <w:szCs w:val="21"/>
        </w:rPr>
        <w:t>日</w:t>
      </w:r>
    </w:p>
    <w:p w:rsidR="00141CA4" w:rsidRPr="001F12D1" w:rsidRDefault="00141CA4" w:rsidP="00141CA4">
      <w:pPr>
        <w:rPr>
          <w:rFonts w:asciiTheme="majorEastAsia" w:eastAsiaTheme="majorEastAsia" w:hAnsiTheme="majorEastAsia"/>
        </w:rPr>
      </w:pPr>
    </w:p>
    <w:p w:rsidR="00141CA4" w:rsidRPr="001F12D1" w:rsidRDefault="00141CA4" w:rsidP="00141CA4">
      <w:pPr>
        <w:rPr>
          <w:rFonts w:asciiTheme="majorEastAsia" w:eastAsiaTheme="majorEastAsia" w:hAnsiTheme="majorEastAsia"/>
        </w:rPr>
      </w:pPr>
    </w:p>
    <w:p w:rsidR="00141CA4" w:rsidRPr="00177B3B" w:rsidRDefault="00141CA4" w:rsidP="00141CA4"/>
    <w:p w:rsidR="00F561F7" w:rsidRPr="00141CA4" w:rsidRDefault="00F561F7" w:rsidP="00141CA4"/>
    <w:sectPr w:rsidR="00F561F7" w:rsidRPr="00141CA4" w:rsidSect="006D05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李清芳">
    <w15:presenceInfo w15:providerId="None" w15:userId="李清芳"/>
  </w15:person>
  <w15:person w15:author="颜鹏">
    <w15:presenceInfo w15:providerId="None" w15:userId="颜鹏"/>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0F64"/>
    <w:rsid w:val="00037F8D"/>
    <w:rsid w:val="000C30E2"/>
    <w:rsid w:val="000F1B3C"/>
    <w:rsid w:val="00135C8A"/>
    <w:rsid w:val="00141CA4"/>
    <w:rsid w:val="00177B3B"/>
    <w:rsid w:val="0018047E"/>
    <w:rsid w:val="001E31BA"/>
    <w:rsid w:val="001F12D1"/>
    <w:rsid w:val="001F2973"/>
    <w:rsid w:val="00225437"/>
    <w:rsid w:val="00282BB5"/>
    <w:rsid w:val="002A29D3"/>
    <w:rsid w:val="002A4CF4"/>
    <w:rsid w:val="002C3E12"/>
    <w:rsid w:val="002E42F7"/>
    <w:rsid w:val="002F12C4"/>
    <w:rsid w:val="00304C1B"/>
    <w:rsid w:val="00351EB9"/>
    <w:rsid w:val="00376CCE"/>
    <w:rsid w:val="00390740"/>
    <w:rsid w:val="003A7524"/>
    <w:rsid w:val="003B4F45"/>
    <w:rsid w:val="003C4A13"/>
    <w:rsid w:val="003C560F"/>
    <w:rsid w:val="003F0261"/>
    <w:rsid w:val="0041754A"/>
    <w:rsid w:val="0042083E"/>
    <w:rsid w:val="00420DAD"/>
    <w:rsid w:val="00425E3F"/>
    <w:rsid w:val="00434C61"/>
    <w:rsid w:val="00445FC6"/>
    <w:rsid w:val="004713B4"/>
    <w:rsid w:val="00495D57"/>
    <w:rsid w:val="004E5A83"/>
    <w:rsid w:val="004F1B0A"/>
    <w:rsid w:val="005116B8"/>
    <w:rsid w:val="00583174"/>
    <w:rsid w:val="005972B2"/>
    <w:rsid w:val="005A69BF"/>
    <w:rsid w:val="005C1A93"/>
    <w:rsid w:val="005D572F"/>
    <w:rsid w:val="005D5CB9"/>
    <w:rsid w:val="00627AE2"/>
    <w:rsid w:val="00632910"/>
    <w:rsid w:val="00636371"/>
    <w:rsid w:val="0069676A"/>
    <w:rsid w:val="006B006F"/>
    <w:rsid w:val="006B6352"/>
    <w:rsid w:val="006C066C"/>
    <w:rsid w:val="006D05F5"/>
    <w:rsid w:val="006E11B3"/>
    <w:rsid w:val="00701E70"/>
    <w:rsid w:val="007124FD"/>
    <w:rsid w:val="0077544C"/>
    <w:rsid w:val="007A3C4F"/>
    <w:rsid w:val="007A5436"/>
    <w:rsid w:val="00923081"/>
    <w:rsid w:val="00926343"/>
    <w:rsid w:val="00937D43"/>
    <w:rsid w:val="00954324"/>
    <w:rsid w:val="00973DD4"/>
    <w:rsid w:val="009A7BB1"/>
    <w:rsid w:val="009D5618"/>
    <w:rsid w:val="009E1630"/>
    <w:rsid w:val="009F5D05"/>
    <w:rsid w:val="00A30E14"/>
    <w:rsid w:val="00A528BA"/>
    <w:rsid w:val="00A54315"/>
    <w:rsid w:val="00AD1CEF"/>
    <w:rsid w:val="00B20F09"/>
    <w:rsid w:val="00B56F95"/>
    <w:rsid w:val="00B64B98"/>
    <w:rsid w:val="00B91941"/>
    <w:rsid w:val="00BD2B93"/>
    <w:rsid w:val="00C17850"/>
    <w:rsid w:val="00C251FE"/>
    <w:rsid w:val="00C32233"/>
    <w:rsid w:val="00C35CB6"/>
    <w:rsid w:val="00C75123"/>
    <w:rsid w:val="00C85A50"/>
    <w:rsid w:val="00D11E8C"/>
    <w:rsid w:val="00D34298"/>
    <w:rsid w:val="00D40F64"/>
    <w:rsid w:val="00D576A8"/>
    <w:rsid w:val="00D75BCE"/>
    <w:rsid w:val="00DF5CDD"/>
    <w:rsid w:val="00E00FAE"/>
    <w:rsid w:val="00E32581"/>
    <w:rsid w:val="00E372B4"/>
    <w:rsid w:val="00E43A11"/>
    <w:rsid w:val="00E553F5"/>
    <w:rsid w:val="00E905FC"/>
    <w:rsid w:val="00EA1C9E"/>
    <w:rsid w:val="00EB7357"/>
    <w:rsid w:val="00EE1D32"/>
    <w:rsid w:val="00EF58BF"/>
    <w:rsid w:val="00EF791A"/>
    <w:rsid w:val="00F254EC"/>
    <w:rsid w:val="00F345D0"/>
    <w:rsid w:val="00F431E2"/>
    <w:rsid w:val="00F561F7"/>
    <w:rsid w:val="00F649D0"/>
    <w:rsid w:val="00F7041A"/>
    <w:rsid w:val="00F80586"/>
    <w:rsid w:val="00F830F1"/>
    <w:rsid w:val="00F83A04"/>
    <w:rsid w:val="00F9429C"/>
    <w:rsid w:val="00FB3A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4C61"/>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434C61"/>
    <w:rPr>
      <w:sz w:val="18"/>
      <w:szCs w:val="18"/>
    </w:rPr>
  </w:style>
  <w:style w:type="paragraph" w:styleId="a4">
    <w:name w:val="footer"/>
    <w:basedOn w:val="a"/>
    <w:link w:val="Char0"/>
    <w:uiPriority w:val="99"/>
    <w:unhideWhenUsed/>
    <w:rsid w:val="00434C61"/>
    <w:pPr>
      <w:tabs>
        <w:tab w:val="center" w:pos="4153"/>
        <w:tab w:val="right" w:pos="8306"/>
      </w:tabs>
      <w:snapToGrid w:val="0"/>
      <w:jc w:val="left"/>
    </w:pPr>
    <w:rPr>
      <w:kern w:val="0"/>
      <w:sz w:val="18"/>
      <w:szCs w:val="18"/>
    </w:rPr>
  </w:style>
  <w:style w:type="character" w:customStyle="1" w:styleId="Char0">
    <w:name w:val="页脚 Char"/>
    <w:link w:val="a4"/>
    <w:uiPriority w:val="99"/>
    <w:rsid w:val="00434C61"/>
    <w:rPr>
      <w:sz w:val="18"/>
      <w:szCs w:val="18"/>
    </w:rPr>
  </w:style>
  <w:style w:type="character" w:styleId="a5">
    <w:name w:val="annotation reference"/>
    <w:semiHidden/>
    <w:rsid w:val="00434C61"/>
    <w:rPr>
      <w:rFonts w:cs="Times New Roman"/>
      <w:sz w:val="21"/>
      <w:szCs w:val="21"/>
    </w:rPr>
  </w:style>
  <w:style w:type="paragraph" w:styleId="a6">
    <w:name w:val="annotation text"/>
    <w:basedOn w:val="a"/>
    <w:link w:val="Char1"/>
    <w:semiHidden/>
    <w:rsid w:val="00434C61"/>
    <w:pPr>
      <w:jc w:val="left"/>
    </w:pPr>
    <w:rPr>
      <w:kern w:val="0"/>
      <w:sz w:val="20"/>
      <w:szCs w:val="20"/>
    </w:rPr>
  </w:style>
  <w:style w:type="character" w:customStyle="1" w:styleId="Char1">
    <w:name w:val="批注文字 Char"/>
    <w:link w:val="a6"/>
    <w:semiHidden/>
    <w:rsid w:val="00434C61"/>
    <w:rPr>
      <w:rFonts w:ascii="Calibri" w:eastAsia="宋体" w:hAnsi="Calibri" w:cs="Times New Roman"/>
    </w:rPr>
  </w:style>
  <w:style w:type="paragraph" w:styleId="a7">
    <w:name w:val="Balloon Text"/>
    <w:basedOn w:val="a"/>
    <w:link w:val="Char2"/>
    <w:uiPriority w:val="99"/>
    <w:semiHidden/>
    <w:unhideWhenUsed/>
    <w:rsid w:val="00434C61"/>
    <w:rPr>
      <w:kern w:val="0"/>
      <w:sz w:val="18"/>
      <w:szCs w:val="18"/>
    </w:rPr>
  </w:style>
  <w:style w:type="character" w:customStyle="1" w:styleId="Char2">
    <w:name w:val="批注框文本 Char"/>
    <w:link w:val="a7"/>
    <w:uiPriority w:val="99"/>
    <w:semiHidden/>
    <w:rsid w:val="00434C61"/>
    <w:rPr>
      <w:rFonts w:ascii="Calibri" w:eastAsia="宋体" w:hAnsi="Calibri" w:cs="Times New Roman"/>
      <w:sz w:val="18"/>
      <w:szCs w:val="18"/>
    </w:rPr>
  </w:style>
  <w:style w:type="character" w:styleId="a8">
    <w:name w:val="Strong"/>
    <w:uiPriority w:val="99"/>
    <w:qFormat/>
    <w:rsid w:val="006B006F"/>
    <w:rPr>
      <w:rFonts w:ascii="Times New Roman" w:hAnsi="Times New Roman" w:cs="Times New Roman" w:hint="default"/>
      <w:b/>
      <w:bCs/>
    </w:rPr>
  </w:style>
  <w:style w:type="paragraph" w:customStyle="1" w:styleId="font14">
    <w:name w:val="font14"/>
    <w:basedOn w:val="a"/>
    <w:uiPriority w:val="99"/>
    <w:rsid w:val="006B006F"/>
    <w:pPr>
      <w:widowControl/>
      <w:spacing w:before="100" w:beforeAutospacing="1" w:after="100" w:afterAutospacing="1" w:line="360" w:lineRule="auto"/>
      <w:jc w:val="left"/>
    </w:pPr>
    <w:rPr>
      <w:rFonts w:ascii="宋体" w:hAnsi="宋体" w:cs="宋体"/>
      <w:kern w:val="0"/>
      <w:sz w:val="19"/>
      <w:szCs w:val="19"/>
    </w:rPr>
  </w:style>
  <w:style w:type="paragraph" w:customStyle="1" w:styleId="Default">
    <w:name w:val="Default"/>
    <w:rsid w:val="006B006F"/>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83E9A-B365-472E-BEEE-579430F15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3327</Characters>
  <Application>Microsoft Office Word</Application>
  <DocSecurity>4</DocSecurity>
  <Lines>27</Lines>
  <Paragraphs>7</Paragraphs>
  <ScaleCrop>false</ScaleCrop>
  <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2025-04-10T16:03:00Z</dcterms:created>
  <dcterms:modified xsi:type="dcterms:W3CDTF">2025-04-10T16:03:00Z</dcterms:modified>
</cp:coreProperties>
</file>