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655388">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655388">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4C5AC2">
      <w:pPr>
        <w:spacing w:line="360" w:lineRule="auto"/>
        <w:rPr>
          <w:rFonts w:ascii="宋体" w:eastAsia="宋体" w:hAnsi="宋体"/>
          <w:b/>
          <w:sz w:val="24"/>
          <w:szCs w:val="24"/>
        </w:rPr>
      </w:pPr>
    </w:p>
    <w:p w:rsidR="009324AD" w:rsidRDefault="00655388">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宏工科技股份有限公司(以下简称</w:t>
      </w:r>
      <w:r>
        <w:rPr>
          <w:rFonts w:ascii="宋体" w:eastAsia="宋体" w:hAnsi="宋体" w:hint="eastAsia"/>
          <w:sz w:val="24"/>
          <w:szCs w:val="24"/>
        </w:rPr>
        <w:t>“</w:t>
      </w:r>
      <w:r>
        <w:rPr>
          <w:rFonts w:ascii="宋体" w:eastAsia="宋体" w:hAnsi="宋体"/>
          <w:sz w:val="24"/>
          <w:szCs w:val="24"/>
        </w:rPr>
        <w:t>宏工科技</w:t>
      </w:r>
      <w:r>
        <w:rPr>
          <w:rFonts w:ascii="宋体" w:eastAsia="宋体" w:hAnsi="宋体" w:hint="eastAsia"/>
          <w:sz w:val="24"/>
          <w:szCs w:val="24"/>
        </w:rPr>
        <w:t>”，证券代码</w:t>
      </w:r>
      <w:r>
        <w:rPr>
          <w:rFonts w:ascii="宋体" w:eastAsia="宋体" w:hAnsi="宋体"/>
          <w:sz w:val="24"/>
          <w:szCs w:val="24"/>
        </w:rPr>
        <w:t>:301662.SZ</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主承销商广发证券股份有限公司</w:t>
      </w:r>
      <w:r>
        <w:rPr>
          <w:rFonts w:ascii="宋体" w:eastAsia="宋体" w:hAnsi="宋体" w:hint="eastAsia"/>
          <w:sz w:val="24"/>
          <w:szCs w:val="24"/>
        </w:rPr>
        <w:t>为本公司旗下</w:t>
      </w:r>
      <w:r>
        <w:rPr>
          <w:rFonts w:ascii="宋体" w:eastAsia="宋体" w:hAnsi="宋体"/>
          <w:sz w:val="24"/>
          <w:szCs w:val="24"/>
        </w:rPr>
        <w:t>博道成长智航股票型证券投资基金</w:t>
      </w:r>
      <w:r>
        <w:rPr>
          <w:rFonts w:ascii="宋体" w:eastAsia="宋体" w:hAnsi="宋体" w:hint="eastAsia"/>
          <w:sz w:val="24"/>
          <w:szCs w:val="24"/>
        </w:rPr>
        <w:t>(</w:t>
      </w:r>
      <w:r>
        <w:rPr>
          <w:rFonts w:ascii="宋体" w:eastAsia="宋体" w:hAnsi="宋体"/>
          <w:sz w:val="24"/>
          <w:szCs w:val="24"/>
        </w:rPr>
        <w:t>以下简称“博道成长智航股票”)、博道红利智航股票型证券投资基金(以下简称“博道红利智航股票”)</w:t>
      </w:r>
      <w:r>
        <w:rPr>
          <w:rFonts w:ascii="宋体" w:eastAsia="宋体" w:hAnsi="宋体" w:hint="eastAsia"/>
          <w:sz w:val="24"/>
          <w:szCs w:val="24"/>
        </w:rPr>
        <w:t>的托管人</w:t>
      </w:r>
      <w:r>
        <w:rPr>
          <w:rFonts w:ascii="宋体" w:eastAsia="宋体" w:hAnsi="宋体"/>
          <w:sz w:val="24"/>
          <w:szCs w:val="24"/>
        </w:rPr>
        <w:t>。</w:t>
      </w:r>
    </w:p>
    <w:p w:rsidR="009816F4" w:rsidRDefault="00655388">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博道成长智航股票</w:t>
      </w:r>
      <w:r>
        <w:rPr>
          <w:rFonts w:ascii="宋体" w:eastAsia="宋体" w:hAnsi="宋体" w:hint="eastAsia"/>
          <w:sz w:val="24"/>
          <w:szCs w:val="24"/>
        </w:rPr>
        <w:t>、</w:t>
      </w:r>
      <w:r>
        <w:rPr>
          <w:rFonts w:ascii="宋体" w:eastAsia="宋体" w:hAnsi="宋体"/>
          <w:sz w:val="24"/>
          <w:szCs w:val="24"/>
        </w:rPr>
        <w:t>博道红利智航股票</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655388" w:rsidP="00655388">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bookmarkStart w:id="0" w:name="_GoBack"/>
      <w:bookmarkEnd w:id="0"/>
    </w:p>
    <w:tbl>
      <w:tblPr>
        <w:tblStyle w:val="a5"/>
        <w:tblW w:w="8296" w:type="dxa"/>
        <w:tblLayout w:type="fixed"/>
        <w:tblLook w:val="04A0"/>
      </w:tblPr>
      <w:tblGrid>
        <w:gridCol w:w="2765"/>
        <w:gridCol w:w="2765"/>
        <w:gridCol w:w="2766"/>
      </w:tblGrid>
      <w:tr w:rsidR="00AE21A2">
        <w:tc>
          <w:tcPr>
            <w:tcW w:w="2765" w:type="dxa"/>
          </w:tcPr>
          <w:p w:rsidR="009324AD" w:rsidRDefault="00655388">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655388">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655388">
            <w:pPr>
              <w:rPr>
                <w:rFonts w:ascii="宋体" w:eastAsia="宋体" w:hAnsi="宋体"/>
                <w:sz w:val="24"/>
                <w:szCs w:val="24"/>
              </w:rPr>
            </w:pPr>
            <w:r>
              <w:rPr>
                <w:rFonts w:ascii="宋体" w:eastAsia="宋体" w:hAnsi="宋体" w:hint="eastAsia"/>
                <w:sz w:val="24"/>
                <w:szCs w:val="24"/>
              </w:rPr>
              <w:t>获配价格（元/股）</w:t>
            </w:r>
          </w:p>
        </w:tc>
      </w:tr>
      <w:tr w:rsidR="00AE21A2">
        <w:tc>
          <w:tcPr>
            <w:tcW w:w="2765" w:type="dxa"/>
          </w:tcPr>
          <w:p w:rsidR="009324AD" w:rsidRDefault="00655388">
            <w:pPr>
              <w:rPr>
                <w:rFonts w:ascii="宋体" w:eastAsia="宋体" w:hAnsi="宋体"/>
                <w:sz w:val="24"/>
                <w:szCs w:val="24"/>
              </w:rPr>
            </w:pPr>
            <w:r>
              <w:rPr>
                <w:rFonts w:ascii="宋体" w:eastAsia="宋体" w:hAnsi="宋体"/>
                <w:sz w:val="24"/>
                <w:szCs w:val="24"/>
              </w:rPr>
              <w:t>博道成长智航股票</w:t>
            </w:r>
          </w:p>
        </w:tc>
        <w:tc>
          <w:tcPr>
            <w:tcW w:w="2765" w:type="dxa"/>
          </w:tcPr>
          <w:p w:rsidR="009324AD" w:rsidRDefault="00655388">
            <w:pPr>
              <w:rPr>
                <w:rFonts w:ascii="宋体" w:eastAsia="宋体" w:hAnsi="宋体"/>
                <w:sz w:val="24"/>
                <w:szCs w:val="24"/>
              </w:rPr>
            </w:pPr>
            <w:r>
              <w:rPr>
                <w:rFonts w:ascii="宋体" w:eastAsia="宋体" w:hAnsi="宋体"/>
                <w:sz w:val="24"/>
                <w:szCs w:val="24"/>
              </w:rPr>
              <w:t>1,429</w:t>
            </w:r>
          </w:p>
        </w:tc>
        <w:tc>
          <w:tcPr>
            <w:tcW w:w="2766" w:type="dxa"/>
          </w:tcPr>
          <w:p w:rsidR="009324AD" w:rsidRDefault="00655388">
            <w:pPr>
              <w:rPr>
                <w:rFonts w:ascii="宋体" w:eastAsia="宋体" w:hAnsi="宋体"/>
                <w:sz w:val="24"/>
                <w:szCs w:val="24"/>
              </w:rPr>
            </w:pPr>
            <w:r>
              <w:rPr>
                <w:rFonts w:ascii="宋体" w:eastAsia="宋体" w:hAnsi="宋体"/>
                <w:sz w:val="24"/>
                <w:szCs w:val="24"/>
              </w:rPr>
              <w:t>26.60</w:t>
            </w:r>
          </w:p>
        </w:tc>
      </w:tr>
      <w:tr w:rsidR="00AE21A2">
        <w:tc>
          <w:tcPr>
            <w:tcW w:w="2765" w:type="dxa"/>
          </w:tcPr>
          <w:p w:rsidR="009324AD" w:rsidRDefault="00655388">
            <w:pPr>
              <w:rPr>
                <w:rFonts w:ascii="宋体" w:eastAsia="宋体" w:hAnsi="宋体"/>
                <w:sz w:val="24"/>
                <w:szCs w:val="24"/>
              </w:rPr>
            </w:pPr>
            <w:r>
              <w:rPr>
                <w:rFonts w:ascii="宋体" w:eastAsia="宋体" w:hAnsi="宋体"/>
                <w:sz w:val="24"/>
                <w:szCs w:val="24"/>
              </w:rPr>
              <w:t>博道红利智航股票</w:t>
            </w:r>
          </w:p>
        </w:tc>
        <w:tc>
          <w:tcPr>
            <w:tcW w:w="2765" w:type="dxa"/>
          </w:tcPr>
          <w:p w:rsidR="009324AD" w:rsidRDefault="00655388">
            <w:pPr>
              <w:rPr>
                <w:rFonts w:ascii="宋体" w:eastAsia="宋体" w:hAnsi="宋体"/>
                <w:sz w:val="24"/>
                <w:szCs w:val="24"/>
              </w:rPr>
            </w:pPr>
            <w:r>
              <w:rPr>
                <w:rFonts w:ascii="宋体" w:eastAsia="宋体" w:hAnsi="宋体"/>
                <w:sz w:val="24"/>
                <w:szCs w:val="24"/>
              </w:rPr>
              <w:t>1,429</w:t>
            </w:r>
          </w:p>
        </w:tc>
        <w:tc>
          <w:tcPr>
            <w:tcW w:w="2766" w:type="dxa"/>
          </w:tcPr>
          <w:p w:rsidR="009324AD" w:rsidRDefault="00655388">
            <w:pPr>
              <w:rPr>
                <w:rFonts w:ascii="宋体" w:eastAsia="宋体" w:hAnsi="宋体"/>
                <w:sz w:val="24"/>
                <w:szCs w:val="24"/>
              </w:rPr>
            </w:pPr>
            <w:r>
              <w:rPr>
                <w:rFonts w:ascii="宋体" w:eastAsia="宋体" w:hAnsi="宋体"/>
                <w:sz w:val="24"/>
                <w:szCs w:val="24"/>
              </w:rPr>
              <w:t>26.60</w:t>
            </w:r>
          </w:p>
        </w:tc>
      </w:tr>
    </w:tbl>
    <w:p w:rsidR="009324AD" w:rsidRDefault="004C5AC2" w:rsidP="009816F4">
      <w:pPr>
        <w:jc w:val="left"/>
        <w:rPr>
          <w:rFonts w:ascii="宋体" w:eastAsia="宋体" w:hAnsi="宋体"/>
          <w:sz w:val="24"/>
          <w:szCs w:val="24"/>
        </w:rPr>
      </w:pPr>
    </w:p>
    <w:p w:rsidR="009324AD" w:rsidRDefault="00655388">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655388">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655388" w:rsidP="00655388">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655388">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655388">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二五年四月十一日</w:t>
      </w:r>
    </w:p>
    <w:sectPr w:rsidR="009324AD" w:rsidSect="001E59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21A2"/>
    <w:rsid w:val="001E5941"/>
    <w:rsid w:val="004C5AC2"/>
    <w:rsid w:val="00655388"/>
    <w:rsid w:val="00AE2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9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E594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E594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1E59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1E5941"/>
    <w:rPr>
      <w:sz w:val="18"/>
      <w:szCs w:val="18"/>
    </w:rPr>
  </w:style>
  <w:style w:type="character" w:customStyle="1" w:styleId="Char">
    <w:name w:val="页脚 Char"/>
    <w:basedOn w:val="a0"/>
    <w:link w:val="a3"/>
    <w:uiPriority w:val="99"/>
    <w:qFormat/>
    <w:rsid w:val="001E594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52D8A-2E27-4D3B-9005-F04FAAA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4</DocSecurity>
  <Lines>5</Lines>
  <Paragraphs>1</Paragraphs>
  <ScaleCrop>false</ScaleCrop>
  <Company>Microsoft</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2025-04-10T16:01:00Z</dcterms:created>
  <dcterms:modified xsi:type="dcterms:W3CDTF">2025-04-10T16:01:00Z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