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BE04C6" w:rsidRDefault="00893436" w:rsidP="00AC3CC5">
      <w:pPr>
        <w:widowControl/>
        <w:spacing w:line="360" w:lineRule="auto"/>
        <w:jc w:val="center"/>
        <w:rPr>
          <w:rFonts w:ascii="宋体" w:eastAsia="宋体" w:hAnsi="宋体" w:cs="宋体"/>
          <w:b/>
          <w:kern w:val="0"/>
          <w:sz w:val="28"/>
          <w:szCs w:val="28"/>
        </w:rPr>
      </w:pPr>
      <w:r w:rsidRPr="00BE04C6">
        <w:rPr>
          <w:rFonts w:ascii="宋体" w:eastAsia="宋体" w:hAnsi="宋体" w:cs="宋体" w:hint="eastAsia"/>
          <w:b/>
          <w:kern w:val="0"/>
          <w:sz w:val="28"/>
          <w:szCs w:val="28"/>
        </w:rPr>
        <w:t>国泰富时中国A股自由现金流聚焦交易型开放式指数证券投资基金第2次分红公告</w:t>
      </w:r>
    </w:p>
    <w:p w:rsidR="00893436" w:rsidRPr="00BE04C6" w:rsidRDefault="00893436" w:rsidP="00AC3CC5">
      <w:pPr>
        <w:spacing w:line="360" w:lineRule="auto"/>
        <w:jc w:val="center"/>
        <w:rPr>
          <w:rFonts w:ascii="宋体" w:eastAsia="宋体" w:hAnsi="宋体"/>
          <w:bCs/>
          <w:color w:val="000000"/>
          <w:sz w:val="21"/>
          <w:szCs w:val="21"/>
        </w:rPr>
      </w:pPr>
      <w:r w:rsidRPr="00BE04C6">
        <w:rPr>
          <w:rFonts w:ascii="宋体" w:eastAsia="宋体" w:hAnsi="宋体"/>
          <w:bCs/>
          <w:color w:val="000000"/>
          <w:sz w:val="21"/>
          <w:szCs w:val="21"/>
        </w:rPr>
        <w:t>公告送出日期：</w:t>
      </w:r>
      <w:r w:rsidRPr="00BE04C6">
        <w:rPr>
          <w:rFonts w:ascii="宋体" w:eastAsia="宋体" w:hAnsi="宋体" w:cs="宋体"/>
          <w:bCs/>
          <w:sz w:val="21"/>
          <w:szCs w:val="21"/>
        </w:rPr>
        <w:t>2025年4月11日</w:t>
      </w:r>
    </w:p>
    <w:p w:rsidR="00893436" w:rsidRDefault="00893436" w:rsidP="00AC3CC5">
      <w:pPr>
        <w:pStyle w:val="2"/>
        <w:spacing w:line="360" w:lineRule="auto"/>
        <w:rPr>
          <w:rFonts w:ascii="宋体" w:eastAsia="宋体" w:hAnsi="宋体"/>
          <w:bCs w:val="0"/>
          <w:color w:val="000000"/>
          <w:sz w:val="21"/>
          <w:szCs w:val="21"/>
        </w:rPr>
      </w:pPr>
      <w:bookmarkStart w:id="0" w:name="_Toc275961418"/>
      <w:r w:rsidRPr="00BE04C6">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2977"/>
        <w:gridCol w:w="4861"/>
      </w:tblGrid>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国泰富时中国A股自由现金流聚焦交易型开放式指数证券投资基金</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基金简称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国泰富时中国A股自由现金流聚焦ETF</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基金主代码</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159399</w:t>
            </w:r>
          </w:p>
        </w:tc>
      </w:tr>
      <w:tr w:rsidR="0039192C" w:rsidRPr="00BE04C6" w:rsidTr="001E1256">
        <w:trPr>
          <w:jc w:val="center"/>
        </w:trPr>
        <w:tc>
          <w:tcPr>
            <w:tcW w:w="4778" w:type="dxa"/>
            <w:gridSpan w:val="2"/>
            <w:vAlign w:val="center"/>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基金合同生效日</w:t>
            </w:r>
          </w:p>
        </w:tc>
        <w:tc>
          <w:tcPr>
            <w:tcW w:w="4861" w:type="dxa"/>
            <w:vAlign w:val="center"/>
          </w:tcPr>
          <w:p w:rsidR="0039192C" w:rsidRPr="00BE04C6" w:rsidRDefault="003E51F2" w:rsidP="00AC3CC5">
            <w:pPr>
              <w:spacing w:line="360" w:lineRule="auto"/>
              <w:rPr>
                <w:rFonts w:ascii="宋体" w:eastAsia="宋体" w:hAnsi="宋体"/>
                <w:sz w:val="21"/>
                <w:szCs w:val="21"/>
              </w:rPr>
            </w:pPr>
            <w:r w:rsidRPr="00BE04C6">
              <w:rPr>
                <w:rFonts w:ascii="宋体" w:eastAsia="宋体" w:hAnsi="宋体"/>
                <w:sz w:val="21"/>
                <w:szCs w:val="21"/>
              </w:rPr>
              <w:t>2025年2月19日</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基金管理人名称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国泰基金管理有限公司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基金托管人名称</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广发证券股份有限公司</w:t>
            </w:r>
          </w:p>
        </w:tc>
      </w:tr>
      <w:tr w:rsidR="0039192C" w:rsidRPr="00BE04C6" w:rsidTr="001E1256">
        <w:trPr>
          <w:jc w:val="center"/>
        </w:trPr>
        <w:tc>
          <w:tcPr>
            <w:tcW w:w="4778" w:type="dxa"/>
            <w:gridSpan w:val="2"/>
          </w:tcPr>
          <w:p w:rsidR="0039192C" w:rsidRPr="00BE04C6" w:rsidRDefault="0039192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公告依据</w:t>
            </w:r>
          </w:p>
        </w:tc>
        <w:tc>
          <w:tcPr>
            <w:tcW w:w="4861" w:type="dxa"/>
            <w:vAlign w:val="center"/>
          </w:tcPr>
          <w:p w:rsidR="0039192C"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《中华人民共和国证券投资基金法》、《公开募集证券投资基金运作管理办法》、《国泰富时中国A股自由现金流聚焦交易型开放式指数证券投资基金基金合同》等</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收益分配基准日</w:t>
            </w:r>
          </w:p>
        </w:tc>
        <w:tc>
          <w:tcPr>
            <w:tcW w:w="4861" w:type="dxa"/>
          </w:tcPr>
          <w:p w:rsidR="00893436" w:rsidRPr="00BE04C6" w:rsidRDefault="0039192C" w:rsidP="00AC3CC5">
            <w:pPr>
              <w:spacing w:line="360" w:lineRule="auto"/>
              <w:rPr>
                <w:rFonts w:ascii="宋体" w:eastAsia="宋体" w:hAnsi="宋体"/>
                <w:sz w:val="21"/>
                <w:szCs w:val="21"/>
              </w:rPr>
            </w:pPr>
            <w:r w:rsidRPr="00BE04C6">
              <w:rPr>
                <w:rFonts w:ascii="宋体" w:eastAsia="宋体" w:hAnsi="宋体"/>
                <w:sz w:val="21"/>
                <w:szCs w:val="21"/>
              </w:rPr>
              <w:t>2025年4月2日</w:t>
            </w:r>
          </w:p>
        </w:tc>
      </w:tr>
      <w:tr w:rsidR="00893436" w:rsidRPr="00BE04C6" w:rsidTr="00407FDF">
        <w:trPr>
          <w:jc w:val="center"/>
        </w:trPr>
        <w:tc>
          <w:tcPr>
            <w:tcW w:w="1801" w:type="dxa"/>
            <w:vMerge w:val="restart"/>
            <w:vAlign w:val="center"/>
          </w:tcPr>
          <w:p w:rsidR="00893436" w:rsidRPr="00BE04C6" w:rsidRDefault="00893436" w:rsidP="00AC3CC5">
            <w:pPr>
              <w:spacing w:line="360" w:lineRule="auto"/>
              <w:jc w:val="center"/>
              <w:rPr>
                <w:rFonts w:ascii="宋体" w:eastAsia="宋体" w:hAnsi="宋体"/>
                <w:color w:val="000000"/>
                <w:sz w:val="21"/>
                <w:szCs w:val="21"/>
              </w:rPr>
            </w:pPr>
            <w:r w:rsidRPr="00BE04C6">
              <w:rPr>
                <w:rFonts w:ascii="宋体" w:eastAsia="宋体" w:hAnsi="宋体"/>
                <w:color w:val="000000"/>
                <w:sz w:val="21"/>
                <w:szCs w:val="21"/>
              </w:rPr>
              <w:t>截止收益分配基准日的相关指标</w:t>
            </w: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基准日基金份额净值</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1.0121</w:t>
            </w:r>
          </w:p>
        </w:tc>
      </w:tr>
      <w:tr w:rsidR="00893436" w:rsidRPr="00BE04C6" w:rsidTr="00407FDF">
        <w:trPr>
          <w:jc w:val="center"/>
        </w:trPr>
        <w:tc>
          <w:tcPr>
            <w:tcW w:w="1801" w:type="dxa"/>
            <w:vMerge/>
          </w:tcPr>
          <w:p w:rsidR="00893436" w:rsidRPr="00BE04C6" w:rsidRDefault="00893436" w:rsidP="00AC3CC5">
            <w:pPr>
              <w:spacing w:line="360" w:lineRule="auto"/>
              <w:rPr>
                <w:rFonts w:ascii="宋体" w:eastAsia="宋体" w:hAnsi="宋体"/>
                <w:color w:val="000000"/>
                <w:sz w:val="21"/>
                <w:szCs w:val="21"/>
              </w:rPr>
            </w:pPr>
          </w:p>
        </w:tc>
        <w:tc>
          <w:tcPr>
            <w:tcW w:w="2977"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基准日基金可供分配利润</w:t>
            </w:r>
            <w:r w:rsidR="005439EC" w:rsidRPr="00BE04C6">
              <w:rPr>
                <w:rFonts w:ascii="宋体" w:eastAsia="宋体" w:hAnsi="宋体" w:hint="eastAsia"/>
                <w:sz w:val="21"/>
                <w:szCs w:val="21"/>
              </w:rPr>
              <w:t>（单位：</w:t>
            </w:r>
            <w:r w:rsidR="00F645EE" w:rsidRPr="00BE04C6">
              <w:rPr>
                <w:rFonts w:ascii="宋体" w:eastAsia="宋体" w:hAnsi="宋体" w:hint="eastAsia"/>
                <w:color w:val="000000"/>
                <w:kern w:val="0"/>
                <w:sz w:val="21"/>
                <w:szCs w:val="21"/>
              </w:rPr>
              <w:t>元</w:t>
            </w:r>
            <w:r w:rsidR="005439EC" w:rsidRPr="00BE04C6">
              <w:rPr>
                <w:rFonts w:ascii="宋体" w:eastAsia="宋体" w:hAnsi="宋体" w:hint="eastAsia"/>
                <w:sz w:val="21"/>
                <w:szCs w:val="21"/>
              </w:rPr>
              <w:t>）</w:t>
            </w:r>
          </w:p>
        </w:tc>
        <w:tc>
          <w:tcPr>
            <w:tcW w:w="4861" w:type="dxa"/>
          </w:tcPr>
          <w:p w:rsidR="00893436" w:rsidRPr="00BE04C6" w:rsidRDefault="003160F8" w:rsidP="00AC3CC5">
            <w:pPr>
              <w:spacing w:line="360" w:lineRule="auto"/>
              <w:rPr>
                <w:rFonts w:ascii="宋体" w:eastAsia="宋体" w:hAnsi="宋体"/>
                <w:sz w:val="21"/>
                <w:szCs w:val="21"/>
              </w:rPr>
            </w:pPr>
            <w:r w:rsidRPr="00BE04C6">
              <w:rPr>
                <w:rFonts w:ascii="宋体" w:eastAsia="宋体" w:hAnsi="宋体"/>
                <w:sz w:val="21"/>
                <w:szCs w:val="21"/>
              </w:rPr>
              <w:t>35,656,207.00</w:t>
            </w:r>
          </w:p>
        </w:tc>
      </w:tr>
      <w:tr w:rsidR="00893436" w:rsidRPr="00BE04C6" w:rsidTr="001E1256">
        <w:trPr>
          <w:jc w:val="center"/>
        </w:trPr>
        <w:tc>
          <w:tcPr>
            <w:tcW w:w="4778" w:type="dxa"/>
            <w:gridSpan w:val="2"/>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本次分红方案（单位：元/10份基金份额）</w:t>
            </w:r>
          </w:p>
        </w:tc>
        <w:tc>
          <w:tcPr>
            <w:tcW w:w="4861" w:type="dxa"/>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0.030</w:t>
            </w:r>
          </w:p>
        </w:tc>
      </w:tr>
      <w:tr w:rsidR="00893436" w:rsidRPr="00BE04C6" w:rsidTr="001E1256">
        <w:trPr>
          <w:jc w:val="center"/>
        </w:trPr>
        <w:tc>
          <w:tcPr>
            <w:tcW w:w="4778" w:type="dxa"/>
            <w:gridSpan w:val="2"/>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有关年度分红次数的说明</w:t>
            </w:r>
          </w:p>
        </w:tc>
        <w:tc>
          <w:tcPr>
            <w:tcW w:w="4861" w:type="dxa"/>
            <w:vAlign w:val="center"/>
          </w:tcPr>
          <w:p w:rsidR="00893436" w:rsidRPr="00BE04C6" w:rsidRDefault="009732A4" w:rsidP="00AC3CC5">
            <w:pPr>
              <w:spacing w:line="360" w:lineRule="auto"/>
              <w:rPr>
                <w:rFonts w:ascii="宋体" w:eastAsia="宋体" w:hAnsi="宋体"/>
                <w:sz w:val="21"/>
                <w:szCs w:val="21"/>
              </w:rPr>
            </w:pPr>
            <w:r w:rsidRPr="00BE04C6">
              <w:rPr>
                <w:rFonts w:ascii="宋体" w:eastAsia="宋体" w:hAnsi="宋体"/>
                <w:sz w:val="21"/>
                <w:szCs w:val="21"/>
              </w:rPr>
              <w:t>本次分红为2025年度第二次分红。</w:t>
            </w:r>
          </w:p>
        </w:tc>
      </w:tr>
    </w:tbl>
    <w:p w:rsidR="00E56B25" w:rsidRDefault="00125CC2">
      <w:pPr>
        <w:spacing w:line="360" w:lineRule="auto"/>
        <w:rPr>
          <w:rFonts w:ascii="宋体" w:eastAsia="宋体" w:hAnsi="宋体"/>
          <w:sz w:val="21"/>
          <w:szCs w:val="21"/>
        </w:rPr>
      </w:pPr>
      <w:r>
        <w:rPr>
          <w:rFonts w:ascii="宋体" w:eastAsia="宋体" w:hAnsi="宋体"/>
          <w:sz w:val="21"/>
          <w:szCs w:val="21"/>
        </w:rPr>
        <w:t>注：（1）本基金场内简称为“现金流ETF”。</w:t>
      </w:r>
    </w:p>
    <w:p w:rsidR="00E56B25" w:rsidRDefault="00125CC2">
      <w:pPr>
        <w:spacing w:line="360" w:lineRule="auto"/>
        <w:rPr>
          <w:rFonts w:ascii="宋体" w:eastAsia="宋体" w:hAnsi="宋体"/>
          <w:sz w:val="21"/>
          <w:szCs w:val="21"/>
        </w:rPr>
      </w:pPr>
      <w:r>
        <w:rPr>
          <w:rFonts w:ascii="宋体" w:eastAsia="宋体" w:hAnsi="宋体"/>
          <w:sz w:val="21"/>
          <w:szCs w:val="21"/>
        </w:rPr>
        <w:t>（2）本基金的收益分配方式为现金分红。</w:t>
      </w:r>
    </w:p>
    <w:p w:rsidR="00E56B25" w:rsidRDefault="00125CC2">
      <w:pPr>
        <w:spacing w:line="360" w:lineRule="auto"/>
        <w:rPr>
          <w:rFonts w:ascii="宋体" w:eastAsia="宋体" w:hAnsi="宋体"/>
          <w:sz w:val="21"/>
          <w:szCs w:val="21"/>
        </w:rPr>
      </w:pPr>
      <w:r>
        <w:rPr>
          <w:rFonts w:ascii="宋体" w:eastAsia="宋体" w:hAnsi="宋体"/>
          <w:sz w:val="21"/>
          <w:szCs w:val="21"/>
        </w:rPr>
        <w:t>（3）基金管理人可每月对基金相对业绩比较基准的超额收益率以及基金的可供分配利润进行评价，收益评价日核定的基金净值增长率超过业绩比较基准同期增长率或者基金可供分配利润金额大于零时，基金管理人可进行收益分配。</w:t>
      </w:r>
    </w:p>
    <w:p w:rsidR="00893436" w:rsidRPr="00BE04C6" w:rsidRDefault="00F45E48" w:rsidP="001E1256">
      <w:pPr>
        <w:spacing w:line="360" w:lineRule="auto"/>
        <w:rPr>
          <w:rFonts w:ascii="宋体" w:eastAsia="宋体" w:hAnsi="宋体"/>
          <w:sz w:val="21"/>
          <w:szCs w:val="21"/>
        </w:rPr>
      </w:pPr>
      <w:r w:rsidRPr="00BE04C6">
        <w:rPr>
          <w:rFonts w:ascii="宋体" w:eastAsia="宋体" w:hAnsi="宋体"/>
          <w:sz w:val="21"/>
          <w:szCs w:val="21"/>
        </w:rPr>
        <w:lastRenderedPageBreak/>
        <w:t>（4）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rsidR="00893436" w:rsidRPr="00BE04C6" w:rsidRDefault="00893436" w:rsidP="00AC3CC5">
      <w:pPr>
        <w:pStyle w:val="2"/>
        <w:spacing w:line="360" w:lineRule="auto"/>
        <w:rPr>
          <w:rFonts w:ascii="宋体" w:eastAsia="宋体" w:hAnsi="宋体"/>
          <w:bCs w:val="0"/>
          <w:color w:val="000000"/>
          <w:sz w:val="21"/>
          <w:szCs w:val="21"/>
        </w:rPr>
      </w:pPr>
      <w:bookmarkStart w:id="1" w:name="_Toc275961419"/>
      <w:r w:rsidRPr="00BE04C6">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权益登记日</w:t>
            </w:r>
          </w:p>
        </w:tc>
        <w:tc>
          <w:tcPr>
            <w:tcW w:w="4355" w:type="dxa"/>
          </w:tcPr>
          <w:p w:rsidR="00893436" w:rsidRPr="00BE04C6" w:rsidRDefault="00362297" w:rsidP="00AC3CC5">
            <w:pPr>
              <w:spacing w:line="360" w:lineRule="auto"/>
              <w:rPr>
                <w:rFonts w:ascii="宋体" w:eastAsia="宋体" w:hAnsi="宋体"/>
                <w:sz w:val="21"/>
                <w:szCs w:val="21"/>
              </w:rPr>
            </w:pPr>
            <w:r w:rsidRPr="00BE04C6">
              <w:rPr>
                <w:rFonts w:ascii="宋体" w:eastAsia="宋体" w:hAnsi="宋体"/>
                <w:sz w:val="21"/>
                <w:szCs w:val="21"/>
              </w:rPr>
              <w:t>2025年4月15日</w:t>
            </w:r>
          </w:p>
        </w:tc>
      </w:tr>
      <w:tr w:rsidR="00E5360A" w:rsidRPr="00BE04C6" w:rsidTr="00E5360A">
        <w:trPr>
          <w:jc w:val="center"/>
        </w:trPr>
        <w:tc>
          <w:tcPr>
            <w:tcW w:w="4355" w:type="dxa"/>
          </w:tcPr>
          <w:p w:rsidR="0009778C" w:rsidRPr="00BE04C6" w:rsidRDefault="0009778C"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除息日</w:t>
            </w:r>
          </w:p>
        </w:tc>
        <w:tc>
          <w:tcPr>
            <w:tcW w:w="8710" w:type="dxa"/>
          </w:tcPr>
          <w:p w:rsidR="0009778C" w:rsidRPr="00BE04C6" w:rsidRDefault="0009778C" w:rsidP="00AC3CC5">
            <w:pPr>
              <w:spacing w:line="360" w:lineRule="auto"/>
              <w:rPr>
                <w:rFonts w:ascii="宋体" w:eastAsia="宋体" w:hAnsi="宋体"/>
                <w:sz w:val="21"/>
                <w:szCs w:val="21"/>
              </w:rPr>
            </w:pPr>
            <w:r w:rsidRPr="00BE04C6">
              <w:rPr>
                <w:rFonts w:ascii="宋体" w:eastAsia="宋体" w:hAnsi="宋体"/>
                <w:sz w:val="21"/>
                <w:szCs w:val="21"/>
              </w:rPr>
              <w:t>2025年4月16</w:t>
            </w:r>
            <w:r w:rsidR="00E5360A">
              <w:rPr>
                <w:rFonts w:ascii="宋体" w:eastAsia="宋体" w:hAnsi="宋体"/>
                <w:sz w:val="21"/>
                <w:szCs w:val="21"/>
              </w:rPr>
              <w:t>日</w:t>
            </w:r>
            <w:bookmarkStart w:id="2" w:name="_GoBack"/>
            <w:bookmarkEnd w:id="2"/>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现金红利发放日</w:t>
            </w:r>
          </w:p>
        </w:tc>
        <w:tc>
          <w:tcPr>
            <w:tcW w:w="4355" w:type="dxa"/>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2025年4月18日</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分红对象</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权益登记日下午深圳证券交易所交易结束后，在中国证券登记结算有限责任公司深圳分公司登记在册的本基金全体基金份额持有人。</w:t>
            </w:r>
          </w:p>
        </w:tc>
      </w:tr>
      <w:tr w:rsidR="00893436" w:rsidRPr="00BE04C6" w:rsidTr="007C142C">
        <w:trPr>
          <w:jc w:val="center"/>
        </w:trPr>
        <w:tc>
          <w:tcPr>
            <w:tcW w:w="4355" w:type="dxa"/>
            <w:shd w:val="clear" w:color="auto" w:fill="auto"/>
            <w:vAlign w:val="center"/>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红利再投资相关事项的说明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本基金无红利再投资方式。</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税收相关事项的说明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根据财政部、国家税务总局的财税字[2002]128号《关于开放式证券投资基金有关税收问题的通知》及财税[2008]1号《关于企业所得税若干优惠政策的通知》的规定，投资者（包括个人和机构投资者）从基金利润分配中取得的收入，暂不征收个人所得税和企业所得税。</w:t>
            </w:r>
          </w:p>
        </w:tc>
      </w:tr>
      <w:tr w:rsidR="00893436" w:rsidRPr="00BE04C6" w:rsidTr="007C142C">
        <w:trPr>
          <w:jc w:val="center"/>
        </w:trPr>
        <w:tc>
          <w:tcPr>
            <w:tcW w:w="4355" w:type="dxa"/>
          </w:tcPr>
          <w:p w:rsidR="00893436" w:rsidRPr="00BE04C6" w:rsidRDefault="00893436" w:rsidP="00AC3CC5">
            <w:pPr>
              <w:spacing w:line="360" w:lineRule="auto"/>
              <w:rPr>
                <w:rFonts w:ascii="宋体" w:eastAsia="宋体" w:hAnsi="宋体"/>
                <w:color w:val="000000"/>
                <w:sz w:val="21"/>
                <w:szCs w:val="21"/>
              </w:rPr>
            </w:pPr>
            <w:r w:rsidRPr="00BE04C6">
              <w:rPr>
                <w:rFonts w:ascii="宋体" w:eastAsia="宋体" w:hAnsi="宋体"/>
                <w:color w:val="000000"/>
                <w:sz w:val="21"/>
                <w:szCs w:val="21"/>
              </w:rPr>
              <w:t>费用相关事项的说明</w:t>
            </w:r>
          </w:p>
        </w:tc>
        <w:tc>
          <w:tcPr>
            <w:tcW w:w="4355" w:type="dxa"/>
            <w:shd w:val="clear" w:color="auto" w:fill="auto"/>
          </w:tcPr>
          <w:p w:rsidR="00893436" w:rsidRPr="00BE04C6" w:rsidRDefault="00BA7F58" w:rsidP="00AC3CC5">
            <w:pPr>
              <w:spacing w:line="360" w:lineRule="auto"/>
              <w:rPr>
                <w:rFonts w:ascii="宋体" w:eastAsia="宋体" w:hAnsi="宋体"/>
                <w:sz w:val="21"/>
                <w:szCs w:val="21"/>
              </w:rPr>
            </w:pPr>
            <w:r w:rsidRPr="00BE04C6">
              <w:rPr>
                <w:rFonts w:ascii="宋体" w:eastAsia="宋体" w:hAnsi="宋体"/>
                <w:sz w:val="21"/>
                <w:szCs w:val="21"/>
              </w:rPr>
              <w:t>-</w:t>
            </w:r>
          </w:p>
        </w:tc>
      </w:tr>
    </w:tbl>
    <w:p w:rsidR="00893436" w:rsidRPr="00BE04C6" w:rsidRDefault="00893436" w:rsidP="00AC3CC5">
      <w:pPr>
        <w:pStyle w:val="2"/>
        <w:spacing w:line="360" w:lineRule="auto"/>
        <w:rPr>
          <w:rFonts w:ascii="宋体" w:eastAsia="宋体" w:hAnsi="宋体"/>
          <w:bCs w:val="0"/>
          <w:color w:val="000000"/>
          <w:sz w:val="21"/>
          <w:szCs w:val="21"/>
        </w:rPr>
      </w:pPr>
      <w:bookmarkStart w:id="3" w:name="_Toc275961420"/>
      <w:r w:rsidRPr="00BE04C6">
        <w:rPr>
          <w:rFonts w:ascii="宋体" w:eastAsia="宋体" w:hAnsi="宋体"/>
          <w:bCs w:val="0"/>
          <w:color w:val="000000"/>
          <w:sz w:val="21"/>
          <w:szCs w:val="21"/>
        </w:rPr>
        <w:t>3 其他需要提示的事项</w:t>
      </w:r>
      <w:bookmarkEnd w:id="3"/>
    </w:p>
    <w:p w:rsidR="00E56B25" w:rsidRDefault="00125CC2">
      <w:pPr>
        <w:spacing w:line="360" w:lineRule="auto"/>
        <w:ind w:firstLineChars="200" w:firstLine="420"/>
        <w:rPr>
          <w:rFonts w:ascii="宋体" w:eastAsia="宋体" w:hAnsi="宋体"/>
          <w:sz w:val="21"/>
          <w:szCs w:val="21"/>
        </w:rPr>
      </w:pPr>
      <w:r>
        <w:rPr>
          <w:rFonts w:ascii="宋体" w:eastAsia="宋体" w:hAnsi="宋体"/>
          <w:sz w:val="21"/>
          <w:szCs w:val="21"/>
        </w:rPr>
        <w:t>（1）本公司将于2025年4月17日将利润分配的现金红利款及代理发放红利的手续费足额划入中国证券登记结算有限责任公司深圳分公司的指定银行账户，中国证券登记结算有限责任公司深圳分公司收到相应款项后，在2025年4月18日将现金红利款划付给结算参与机构。投资者可在红利发放日领取现金红利。</w:t>
      </w:r>
    </w:p>
    <w:p w:rsidR="00E56B25" w:rsidRDefault="00125CC2">
      <w:pPr>
        <w:spacing w:line="360" w:lineRule="auto"/>
        <w:ind w:firstLineChars="200" w:firstLine="420"/>
        <w:rPr>
          <w:rFonts w:ascii="宋体" w:eastAsia="宋体" w:hAnsi="宋体"/>
          <w:sz w:val="21"/>
          <w:szCs w:val="21"/>
        </w:rPr>
      </w:pPr>
      <w:r>
        <w:rPr>
          <w:rFonts w:ascii="宋体" w:eastAsia="宋体" w:hAnsi="宋体"/>
          <w:sz w:val="21"/>
          <w:szCs w:val="21"/>
        </w:rPr>
        <w:t>（2）本基金将于2025年4月11日上午开市至10:30期间停牌，并将于2025年4月11日10:30起复牌。</w:t>
      </w:r>
    </w:p>
    <w:p w:rsidR="00E56B25" w:rsidRDefault="00125CC2">
      <w:pPr>
        <w:spacing w:line="360" w:lineRule="auto"/>
        <w:ind w:firstLineChars="200" w:firstLine="420"/>
        <w:rPr>
          <w:rFonts w:ascii="宋体" w:eastAsia="宋体" w:hAnsi="宋体"/>
          <w:sz w:val="21"/>
          <w:szCs w:val="21"/>
        </w:rPr>
      </w:pPr>
      <w:r>
        <w:rPr>
          <w:rFonts w:ascii="宋体" w:eastAsia="宋体" w:hAnsi="宋体"/>
          <w:sz w:val="21"/>
          <w:szCs w:val="21"/>
        </w:rPr>
        <w:t>（3）咨询办法</w:t>
      </w:r>
    </w:p>
    <w:p w:rsidR="00E56B25" w:rsidRDefault="00125CC2">
      <w:pPr>
        <w:spacing w:line="360" w:lineRule="auto"/>
        <w:ind w:firstLineChars="200" w:firstLine="420"/>
        <w:rPr>
          <w:rFonts w:ascii="宋体" w:eastAsia="宋体" w:hAnsi="宋体"/>
          <w:sz w:val="21"/>
          <w:szCs w:val="21"/>
        </w:rPr>
      </w:pPr>
      <w:r>
        <w:rPr>
          <w:rFonts w:ascii="宋体" w:eastAsia="宋体" w:hAnsi="宋体"/>
          <w:sz w:val="21"/>
          <w:szCs w:val="21"/>
        </w:rPr>
        <w:t>①国泰基金管理有限公司网站：http://www.gtfund.com</w:t>
      </w:r>
    </w:p>
    <w:p w:rsidR="00364C2A" w:rsidRDefault="00284B1B" w:rsidP="007C142C">
      <w:pPr>
        <w:spacing w:line="360" w:lineRule="auto"/>
        <w:ind w:firstLineChars="200" w:firstLine="420"/>
        <w:rPr>
          <w:rFonts w:ascii="宋体" w:eastAsia="宋体" w:hAnsi="宋体"/>
          <w:sz w:val="21"/>
          <w:szCs w:val="21"/>
        </w:rPr>
      </w:pPr>
      <w:r w:rsidRPr="00BE04C6">
        <w:rPr>
          <w:rFonts w:ascii="宋体" w:eastAsia="宋体" w:hAnsi="宋体"/>
          <w:sz w:val="21"/>
          <w:szCs w:val="21"/>
        </w:rPr>
        <w:t>②国泰基金管理有限公司客户服务热线：400-888-8688（免长途话费）021-31089000</w:t>
      </w: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7C142C">
      <w:pPr>
        <w:spacing w:line="360" w:lineRule="auto"/>
        <w:ind w:firstLineChars="200" w:firstLine="420"/>
        <w:rPr>
          <w:rFonts w:ascii="宋体" w:eastAsia="宋体" w:hAnsi="宋体"/>
          <w:sz w:val="21"/>
          <w:szCs w:val="21"/>
        </w:rPr>
      </w:pP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国泰基金管理有限公司</w:t>
      </w:r>
    </w:p>
    <w:p w:rsidR="00B130DE" w:rsidRDefault="00B130DE" w:rsidP="00B130DE">
      <w:pPr>
        <w:spacing w:line="360" w:lineRule="auto"/>
        <w:jc w:val="right"/>
        <w:rPr>
          <w:rFonts w:ascii="宋体" w:eastAsia="宋体" w:hAnsi="宋体"/>
          <w:color w:val="000000"/>
          <w:sz w:val="21"/>
          <w:szCs w:val="21"/>
        </w:rPr>
      </w:pPr>
      <w:r>
        <w:rPr>
          <w:rFonts w:ascii="宋体" w:eastAsia="宋体" w:hAnsi="宋体" w:hint="eastAsia"/>
          <w:color w:val="000000"/>
          <w:sz w:val="21"/>
          <w:szCs w:val="21"/>
        </w:rPr>
        <w:t>二〇二五年四月十一日</w:t>
      </w:r>
    </w:p>
    <w:sectPr w:rsidR="00B130DE"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CC2" w:rsidRDefault="00125CC2" w:rsidP="00893436">
      <w:r>
        <w:separator/>
      </w:r>
    </w:p>
  </w:endnote>
  <w:endnote w:type="continuationSeparator" w:id="0">
    <w:p w:rsidR="00125CC2" w:rsidRDefault="00125CC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CC2" w:rsidRDefault="00125CC2" w:rsidP="00893436">
      <w:r>
        <w:separator/>
      </w:r>
    </w:p>
  </w:footnote>
  <w:footnote w:type="continuationSeparator" w:id="0">
    <w:p w:rsidR="00125CC2" w:rsidRDefault="00125CC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7AC1"/>
    <w:rsid w:val="00083B7C"/>
    <w:rsid w:val="00085F5C"/>
    <w:rsid w:val="0009778C"/>
    <w:rsid w:val="000A19B2"/>
    <w:rsid w:val="000C39F6"/>
    <w:rsid w:val="00111BD0"/>
    <w:rsid w:val="00125CC2"/>
    <w:rsid w:val="00135CA1"/>
    <w:rsid w:val="001B32A4"/>
    <w:rsid w:val="001E1256"/>
    <w:rsid w:val="00226206"/>
    <w:rsid w:val="00242E4D"/>
    <w:rsid w:val="002641B7"/>
    <w:rsid w:val="002744A0"/>
    <w:rsid w:val="002825C8"/>
    <w:rsid w:val="00284B1B"/>
    <w:rsid w:val="002A63B7"/>
    <w:rsid w:val="002C08C5"/>
    <w:rsid w:val="003160F8"/>
    <w:rsid w:val="00362297"/>
    <w:rsid w:val="00386931"/>
    <w:rsid w:val="0039192C"/>
    <w:rsid w:val="003E51F2"/>
    <w:rsid w:val="00407FDF"/>
    <w:rsid w:val="00410642"/>
    <w:rsid w:val="00411A38"/>
    <w:rsid w:val="00462525"/>
    <w:rsid w:val="00486934"/>
    <w:rsid w:val="004966BA"/>
    <w:rsid w:val="00506E3A"/>
    <w:rsid w:val="005439EC"/>
    <w:rsid w:val="005715B6"/>
    <w:rsid w:val="005B087C"/>
    <w:rsid w:val="005C57A1"/>
    <w:rsid w:val="00602C3F"/>
    <w:rsid w:val="006A2E06"/>
    <w:rsid w:val="006E41A5"/>
    <w:rsid w:val="00721B55"/>
    <w:rsid w:val="00751BA5"/>
    <w:rsid w:val="007C142C"/>
    <w:rsid w:val="007D01E7"/>
    <w:rsid w:val="007F6075"/>
    <w:rsid w:val="00834BAE"/>
    <w:rsid w:val="00893436"/>
    <w:rsid w:val="008D1F66"/>
    <w:rsid w:val="00901C58"/>
    <w:rsid w:val="009117E2"/>
    <w:rsid w:val="009217A3"/>
    <w:rsid w:val="009732A4"/>
    <w:rsid w:val="00A81C93"/>
    <w:rsid w:val="00AC3CC5"/>
    <w:rsid w:val="00B05BBD"/>
    <w:rsid w:val="00B130DE"/>
    <w:rsid w:val="00B33E41"/>
    <w:rsid w:val="00B44BBE"/>
    <w:rsid w:val="00B71DA2"/>
    <w:rsid w:val="00BA7F58"/>
    <w:rsid w:val="00BD0B90"/>
    <w:rsid w:val="00BD7533"/>
    <w:rsid w:val="00BE04C6"/>
    <w:rsid w:val="00BF5698"/>
    <w:rsid w:val="00C020B5"/>
    <w:rsid w:val="00C31924"/>
    <w:rsid w:val="00C31B5B"/>
    <w:rsid w:val="00C33DDD"/>
    <w:rsid w:val="00CB3D18"/>
    <w:rsid w:val="00CC001C"/>
    <w:rsid w:val="00D41325"/>
    <w:rsid w:val="00DB7CD4"/>
    <w:rsid w:val="00E16B6D"/>
    <w:rsid w:val="00E24390"/>
    <w:rsid w:val="00E379B4"/>
    <w:rsid w:val="00E5360A"/>
    <w:rsid w:val="00E56B25"/>
    <w:rsid w:val="00EA12C9"/>
    <w:rsid w:val="00EF3B5C"/>
    <w:rsid w:val="00F0033B"/>
    <w:rsid w:val="00F42CA6"/>
    <w:rsid w:val="00F45E48"/>
    <w:rsid w:val="00F64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paragraph" w:customStyle="1" w:styleId="10">
    <w:name w:val="样式1"/>
    <w:basedOn w:val="a"/>
    <w:link w:val="11"/>
    <w:qFormat/>
    <w:rsid w:val="00BD0B90"/>
    <w:pPr>
      <w:widowControl/>
    </w:pPr>
    <w:rPr>
      <w:rFonts w:asciiTheme="minorEastAsia" w:eastAsiaTheme="minorEastAsia" w:hAnsiTheme="minorEastAsia"/>
      <w:b/>
      <w:color w:val="000000"/>
      <w:sz w:val="24"/>
      <w:szCs w:val="24"/>
    </w:rPr>
  </w:style>
  <w:style w:type="character" w:customStyle="1" w:styleId="11">
    <w:name w:val="样式1 字符"/>
    <w:basedOn w:val="a0"/>
    <w:link w:val="10"/>
    <w:rsid w:val="00BD0B90"/>
    <w:rPr>
      <w:rFonts w:asciiTheme="minorEastAsia" w:hAnsiTheme="minorEastAsia" w:cs="Times New Roman"/>
      <w:b/>
      <w:color w:val="000000"/>
      <w:sz w:val="24"/>
      <w:szCs w:val="24"/>
    </w:rPr>
  </w:style>
</w:styles>
</file>

<file path=word/webSettings.xml><?xml version="1.0" encoding="utf-8"?>
<w:webSettings xmlns:r="http://schemas.openxmlformats.org/officeDocument/2006/relationships" xmlns:w="http://schemas.openxmlformats.org/wordprocessingml/2006/main">
  <w:divs>
    <w:div w:id="840899369">
      <w:bodyDiv w:val="1"/>
      <w:marLeft w:val="0"/>
      <w:marRight w:val="0"/>
      <w:marTop w:val="0"/>
      <w:marBottom w:val="0"/>
      <w:divBdr>
        <w:top w:val="none" w:sz="0" w:space="0" w:color="auto"/>
        <w:left w:val="none" w:sz="0" w:space="0" w:color="auto"/>
        <w:bottom w:val="none" w:sz="0" w:space="0" w:color="auto"/>
        <w:right w:val="none" w:sz="0" w:space="0" w:color="auto"/>
      </w:divBdr>
    </w:div>
    <w:div w:id="1126856163">
      <w:bodyDiv w:val="1"/>
      <w:marLeft w:val="0"/>
      <w:marRight w:val="0"/>
      <w:marTop w:val="0"/>
      <w:marBottom w:val="0"/>
      <w:divBdr>
        <w:top w:val="none" w:sz="0" w:space="0" w:color="auto"/>
        <w:left w:val="none" w:sz="0" w:space="0" w:color="auto"/>
        <w:bottom w:val="none" w:sz="0" w:space="0" w:color="auto"/>
        <w:right w:val="none" w:sz="0" w:space="0" w:color="auto"/>
      </w:divBdr>
    </w:div>
    <w:div w:id="18076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1173</Characters>
  <Application>Microsoft Office Word</Application>
  <DocSecurity>4</DocSecurity>
  <Lines>9</Lines>
  <Paragraphs>2</Paragraphs>
  <ScaleCrop>false</ScaleCrop>
  <Company>微软中国</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2025-04-10T16:01:00Z</dcterms:created>
  <dcterms:modified xsi:type="dcterms:W3CDTF">2025-04-10T16:01:00Z</dcterms:modified>
</cp:coreProperties>
</file>