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06" w:rsidRPr="00ED76C8" w:rsidRDefault="002724BD" w:rsidP="00DC63E9">
      <w:pPr>
        <w:spacing w:line="360" w:lineRule="auto"/>
        <w:jc w:val="center"/>
        <w:rPr>
          <w:b/>
          <w:sz w:val="28"/>
        </w:rPr>
      </w:pPr>
      <w:r w:rsidRPr="00283A3B">
        <w:rPr>
          <w:rFonts w:hint="eastAsia"/>
          <w:b/>
          <w:sz w:val="28"/>
        </w:rPr>
        <w:t>汇添富基金管理股份有限公司</w:t>
      </w:r>
      <w:r w:rsidR="00ED76C8" w:rsidRPr="00ED76C8">
        <w:rPr>
          <w:rFonts w:hint="eastAsia"/>
          <w:b/>
          <w:sz w:val="28"/>
        </w:rPr>
        <w:t>关于</w:t>
      </w:r>
      <w:r w:rsidR="00FE3C90">
        <w:rPr>
          <w:rFonts w:hint="eastAsia"/>
          <w:b/>
          <w:sz w:val="28"/>
        </w:rPr>
        <w:t>调整</w:t>
      </w:r>
      <w:r w:rsidR="00A74C6F">
        <w:rPr>
          <w:rFonts w:hint="eastAsia"/>
          <w:b/>
          <w:sz w:val="28"/>
        </w:rPr>
        <w:t>旗下部分基金</w:t>
      </w:r>
      <w:r w:rsidR="00E13808">
        <w:rPr>
          <w:rFonts w:hint="eastAsia"/>
          <w:b/>
          <w:sz w:val="28"/>
        </w:rPr>
        <w:t>销售</w:t>
      </w:r>
      <w:r w:rsidR="009849DF">
        <w:rPr>
          <w:rFonts w:hint="eastAsia"/>
          <w:b/>
          <w:sz w:val="28"/>
        </w:rPr>
        <w:t>对象</w:t>
      </w:r>
      <w:r w:rsidR="00FF4B96">
        <w:rPr>
          <w:rFonts w:hint="eastAsia"/>
          <w:b/>
          <w:sz w:val="28"/>
        </w:rPr>
        <w:t>、</w:t>
      </w:r>
      <w:r w:rsidR="00FE3C90">
        <w:rPr>
          <w:rFonts w:hint="eastAsia"/>
          <w:b/>
          <w:sz w:val="28"/>
        </w:rPr>
        <w:t>申购业务限额并修改</w:t>
      </w:r>
      <w:r w:rsidR="0039047F">
        <w:rPr>
          <w:rFonts w:hint="eastAsia"/>
          <w:b/>
          <w:sz w:val="28"/>
        </w:rPr>
        <w:t>法律文件</w:t>
      </w:r>
      <w:r w:rsidR="00FE3C90">
        <w:rPr>
          <w:rFonts w:hint="eastAsia"/>
          <w:b/>
          <w:sz w:val="28"/>
        </w:rPr>
        <w:t>的公告</w:t>
      </w:r>
    </w:p>
    <w:p w:rsidR="009D54C4" w:rsidRDefault="009D54C4" w:rsidP="0039185E">
      <w:pPr>
        <w:spacing w:line="360" w:lineRule="auto"/>
        <w:ind w:firstLineChars="200" w:firstLine="480"/>
        <w:rPr>
          <w:rFonts w:ascii="宋体" w:hAnsi="宋体" w:cs="Calibri"/>
          <w:kern w:val="0"/>
          <w:sz w:val="24"/>
          <w:szCs w:val="28"/>
        </w:rPr>
      </w:pPr>
    </w:p>
    <w:p w:rsidR="005F49BB" w:rsidRDefault="00A24E0E" w:rsidP="0039185E">
      <w:pPr>
        <w:spacing w:line="360" w:lineRule="auto"/>
        <w:ind w:firstLineChars="200" w:firstLine="480"/>
        <w:rPr>
          <w:rFonts w:ascii="宋体" w:hAnsi="宋体" w:cs="Calibri"/>
          <w:kern w:val="0"/>
          <w:sz w:val="24"/>
          <w:szCs w:val="28"/>
        </w:rPr>
      </w:pPr>
      <w:r w:rsidRPr="00A24E0E">
        <w:rPr>
          <w:rFonts w:ascii="宋体" w:hAnsi="宋体" w:cs="Calibri" w:hint="eastAsia"/>
          <w:kern w:val="0"/>
          <w:sz w:val="24"/>
          <w:szCs w:val="28"/>
        </w:rPr>
        <w:t>为更好地满足投资者的投资需求，根据《中华人</w:t>
      </w:r>
      <w:bookmarkStart w:id="0" w:name="_GoBack"/>
      <w:bookmarkEnd w:id="0"/>
      <w:r w:rsidRPr="00A24E0E">
        <w:rPr>
          <w:rFonts w:ascii="宋体" w:hAnsi="宋体" w:cs="Calibri" w:hint="eastAsia"/>
          <w:kern w:val="0"/>
          <w:sz w:val="24"/>
          <w:szCs w:val="28"/>
        </w:rPr>
        <w:t>民共和国证券投资基金法》、《公开募集证券投资基金运作管理办法》</w:t>
      </w:r>
      <w:r w:rsidR="00E27C21">
        <w:rPr>
          <w:rFonts w:ascii="宋体" w:hAnsi="宋体" w:cs="Calibri" w:hint="eastAsia"/>
          <w:kern w:val="0"/>
          <w:sz w:val="24"/>
          <w:szCs w:val="28"/>
        </w:rPr>
        <w:t>等法律法规的有关规定</w:t>
      </w:r>
      <w:r w:rsidRPr="00A24E0E">
        <w:rPr>
          <w:rFonts w:ascii="宋体" w:hAnsi="宋体" w:cs="Calibri" w:hint="eastAsia"/>
          <w:kern w:val="0"/>
          <w:sz w:val="24"/>
          <w:szCs w:val="28"/>
        </w:rPr>
        <w:t>和</w:t>
      </w:r>
      <w:r w:rsidR="00A74C6F" w:rsidRPr="00A74C6F">
        <w:rPr>
          <w:rFonts w:ascii="宋体" w:hAnsi="宋体" w:cs="Calibri" w:hint="eastAsia"/>
          <w:kern w:val="0"/>
          <w:sz w:val="24"/>
          <w:szCs w:val="28"/>
        </w:rPr>
        <w:t>下述基金基金合同</w:t>
      </w:r>
      <w:r w:rsidRPr="00A24E0E">
        <w:rPr>
          <w:rFonts w:ascii="宋体" w:hAnsi="宋体" w:cs="Calibri" w:hint="eastAsia"/>
          <w:kern w:val="0"/>
          <w:sz w:val="24"/>
          <w:szCs w:val="28"/>
        </w:rPr>
        <w:t>的有关</w:t>
      </w:r>
      <w:r w:rsidR="00E27C21">
        <w:rPr>
          <w:rFonts w:ascii="宋体" w:hAnsi="宋体" w:cs="Calibri" w:hint="eastAsia"/>
          <w:kern w:val="0"/>
          <w:sz w:val="24"/>
          <w:szCs w:val="28"/>
        </w:rPr>
        <w:t>约定</w:t>
      </w:r>
      <w:r w:rsidRPr="00A24E0E">
        <w:rPr>
          <w:rFonts w:ascii="宋体" w:hAnsi="宋体" w:cs="Calibri" w:hint="eastAsia"/>
          <w:kern w:val="0"/>
          <w:sz w:val="24"/>
          <w:szCs w:val="28"/>
        </w:rPr>
        <w:t>，汇添富基金管理股份有限公司(以下简称“本公司”或“</w:t>
      </w:r>
      <w:r w:rsidR="00E27C21">
        <w:rPr>
          <w:rFonts w:ascii="宋体" w:hAnsi="宋体" w:cs="Calibri" w:hint="eastAsia"/>
          <w:kern w:val="0"/>
          <w:sz w:val="24"/>
          <w:szCs w:val="28"/>
        </w:rPr>
        <w:t>本</w:t>
      </w:r>
      <w:r w:rsidRPr="00A24E0E">
        <w:rPr>
          <w:rFonts w:ascii="宋体" w:hAnsi="宋体" w:cs="Calibri" w:hint="eastAsia"/>
          <w:kern w:val="0"/>
          <w:sz w:val="24"/>
          <w:szCs w:val="28"/>
        </w:rPr>
        <w:t>基金管理人”)决定调整旗下</w:t>
      </w:r>
      <w:r w:rsidR="00A74C6F">
        <w:rPr>
          <w:rFonts w:ascii="宋体" w:hAnsi="宋体" w:cs="Calibri" w:hint="eastAsia"/>
          <w:kern w:val="0"/>
          <w:sz w:val="24"/>
          <w:szCs w:val="28"/>
        </w:rPr>
        <w:t>下述基金</w:t>
      </w:r>
      <w:r w:rsidRPr="00A24E0E">
        <w:rPr>
          <w:rFonts w:ascii="宋体" w:hAnsi="宋体" w:cs="Calibri" w:hint="eastAsia"/>
          <w:kern w:val="0"/>
          <w:sz w:val="24"/>
          <w:szCs w:val="28"/>
        </w:rPr>
        <w:t>的</w:t>
      </w:r>
      <w:r w:rsidR="00BD5127">
        <w:rPr>
          <w:rFonts w:ascii="宋体" w:hAnsi="宋体" w:cs="Calibri" w:hint="eastAsia"/>
          <w:kern w:val="0"/>
          <w:sz w:val="24"/>
          <w:szCs w:val="28"/>
        </w:rPr>
        <w:t>销售</w:t>
      </w:r>
      <w:r w:rsidR="00CE1E5C" w:rsidRPr="00CE1E5C">
        <w:rPr>
          <w:rFonts w:ascii="宋体" w:hAnsi="宋体" w:cs="Calibri" w:hint="eastAsia"/>
          <w:kern w:val="0"/>
          <w:sz w:val="24"/>
          <w:szCs w:val="28"/>
        </w:rPr>
        <w:t>对象、申购业务限额</w:t>
      </w:r>
      <w:r w:rsidR="002B4035">
        <w:rPr>
          <w:rFonts w:ascii="宋体" w:hAnsi="宋体" w:cs="Calibri" w:hint="eastAsia"/>
          <w:kern w:val="0"/>
          <w:sz w:val="24"/>
          <w:szCs w:val="28"/>
        </w:rPr>
        <w:t>，</w:t>
      </w:r>
      <w:r w:rsidRPr="00A24E0E">
        <w:rPr>
          <w:rFonts w:ascii="宋体" w:hAnsi="宋体" w:cs="Calibri" w:hint="eastAsia"/>
          <w:kern w:val="0"/>
          <w:sz w:val="24"/>
          <w:szCs w:val="28"/>
        </w:rPr>
        <w:t>并相应修改</w:t>
      </w:r>
      <w:r w:rsidR="0039047F">
        <w:rPr>
          <w:rFonts w:hint="eastAsia"/>
          <w:kern w:val="0"/>
          <w:sz w:val="24"/>
          <w:szCs w:val="28"/>
        </w:rPr>
        <w:t>《基金合同》等法律文件相关条款</w:t>
      </w:r>
      <w:r w:rsidRPr="00A24E0E">
        <w:rPr>
          <w:rFonts w:ascii="宋体" w:hAnsi="宋体" w:cs="Calibri" w:hint="eastAsia"/>
          <w:kern w:val="0"/>
          <w:sz w:val="24"/>
          <w:szCs w:val="28"/>
        </w:rPr>
        <w:t>，现将</w:t>
      </w:r>
      <w:r w:rsidR="0034162B">
        <w:rPr>
          <w:rFonts w:ascii="宋体" w:hAnsi="宋体" w:cs="Calibri" w:hint="eastAsia"/>
          <w:kern w:val="0"/>
          <w:sz w:val="24"/>
          <w:szCs w:val="28"/>
        </w:rPr>
        <w:t>具体事宜</w:t>
      </w:r>
      <w:r w:rsidRPr="00A24E0E">
        <w:rPr>
          <w:rFonts w:ascii="宋体" w:hAnsi="宋体" w:cs="Calibri" w:hint="eastAsia"/>
          <w:kern w:val="0"/>
          <w:sz w:val="24"/>
          <w:szCs w:val="28"/>
        </w:rPr>
        <w:t>公告如下：</w:t>
      </w:r>
      <w:r w:rsidR="0039185E" w:rsidRPr="005F49BB">
        <w:rPr>
          <w:rFonts w:ascii="宋体" w:hAnsi="宋体" w:cs="Calibri"/>
          <w:kern w:val="0"/>
          <w:sz w:val="24"/>
          <w:szCs w:val="28"/>
        </w:rPr>
        <w:t xml:space="preserve"> </w:t>
      </w:r>
    </w:p>
    <w:p w:rsidR="00A74C6F" w:rsidRDefault="00AA10B7" w:rsidP="0039185E">
      <w:pPr>
        <w:widowControl/>
        <w:spacing w:line="360" w:lineRule="auto"/>
        <w:ind w:firstLineChars="200" w:firstLine="482"/>
        <w:rPr>
          <w:rFonts w:ascii="宋体" w:hAnsi="宋体" w:cs="Calibri"/>
          <w:b/>
          <w:bCs/>
          <w:kern w:val="0"/>
          <w:sz w:val="24"/>
          <w:szCs w:val="28"/>
        </w:rPr>
      </w:pPr>
      <w:r w:rsidRPr="00AA10B7">
        <w:rPr>
          <w:rFonts w:ascii="宋体" w:hAnsi="宋体" w:cs="Calibri" w:hint="eastAsia"/>
          <w:b/>
          <w:bCs/>
          <w:kern w:val="0"/>
          <w:sz w:val="24"/>
          <w:szCs w:val="28"/>
        </w:rPr>
        <w:t>一、</w:t>
      </w:r>
      <w:r w:rsidR="00A74C6F">
        <w:rPr>
          <w:rFonts w:ascii="宋体" w:hAnsi="宋体" w:cs="Calibri" w:hint="eastAsia"/>
          <w:b/>
          <w:bCs/>
          <w:kern w:val="0"/>
          <w:sz w:val="24"/>
          <w:szCs w:val="28"/>
        </w:rPr>
        <w:t>适用基金及代码</w:t>
      </w:r>
    </w:p>
    <w:tbl>
      <w:tblPr>
        <w:tblStyle w:val="aa"/>
        <w:tblW w:w="0" w:type="auto"/>
        <w:tblLook w:val="04A0"/>
      </w:tblPr>
      <w:tblGrid>
        <w:gridCol w:w="2263"/>
        <w:gridCol w:w="6033"/>
      </w:tblGrid>
      <w:tr w:rsidR="00A74C6F" w:rsidTr="00D61EE0">
        <w:tc>
          <w:tcPr>
            <w:tcW w:w="2263" w:type="dxa"/>
          </w:tcPr>
          <w:p w:rsidR="00A74C6F" w:rsidRPr="00C63313" w:rsidRDefault="00A74C6F" w:rsidP="003D61A5">
            <w:pPr>
              <w:widowControl/>
              <w:spacing w:line="360" w:lineRule="auto"/>
              <w:jc w:val="center"/>
              <w:rPr>
                <w:rFonts w:ascii="宋体" w:hAnsi="宋体" w:cs="Calibri"/>
                <w:kern w:val="0"/>
                <w:sz w:val="24"/>
                <w:szCs w:val="28"/>
              </w:rPr>
            </w:pPr>
            <w:bookmarkStart w:id="1" w:name="_Hlk194500429"/>
            <w:r w:rsidRPr="00C63313">
              <w:rPr>
                <w:rFonts w:ascii="宋体" w:hAnsi="宋体" w:cs="Calibri" w:hint="eastAsia"/>
                <w:kern w:val="0"/>
                <w:sz w:val="24"/>
                <w:szCs w:val="28"/>
              </w:rPr>
              <w:t>基金</w:t>
            </w:r>
            <w:r w:rsidR="0039047F">
              <w:rPr>
                <w:rFonts w:ascii="宋体" w:hAnsi="宋体" w:cs="Calibri" w:hint="eastAsia"/>
                <w:kern w:val="0"/>
                <w:sz w:val="24"/>
                <w:szCs w:val="28"/>
              </w:rPr>
              <w:t>主</w:t>
            </w:r>
            <w:r w:rsidRPr="00C63313">
              <w:rPr>
                <w:rFonts w:ascii="宋体" w:hAnsi="宋体" w:cs="Calibri" w:hint="eastAsia"/>
                <w:kern w:val="0"/>
                <w:sz w:val="24"/>
                <w:szCs w:val="28"/>
              </w:rPr>
              <w:t>代码</w:t>
            </w:r>
          </w:p>
        </w:tc>
        <w:tc>
          <w:tcPr>
            <w:tcW w:w="6033" w:type="dxa"/>
          </w:tcPr>
          <w:p w:rsidR="00A74C6F" w:rsidRPr="00C63313" w:rsidRDefault="00A74C6F" w:rsidP="00A74C6F">
            <w:pPr>
              <w:widowControl/>
              <w:spacing w:line="360" w:lineRule="auto"/>
              <w:jc w:val="center"/>
              <w:rPr>
                <w:rFonts w:ascii="宋体" w:hAnsi="宋体" w:cs="Calibri"/>
                <w:kern w:val="0"/>
                <w:sz w:val="24"/>
                <w:szCs w:val="28"/>
              </w:rPr>
            </w:pPr>
            <w:r w:rsidRPr="00C63313">
              <w:rPr>
                <w:rFonts w:ascii="宋体" w:hAnsi="宋体" w:cs="Calibri" w:hint="eastAsia"/>
                <w:kern w:val="0"/>
                <w:sz w:val="24"/>
                <w:szCs w:val="28"/>
              </w:rPr>
              <w:t>基金名称</w:t>
            </w:r>
          </w:p>
        </w:tc>
      </w:tr>
      <w:tr w:rsidR="00A74C6F" w:rsidTr="00D61EE0">
        <w:tc>
          <w:tcPr>
            <w:tcW w:w="2263" w:type="dxa"/>
          </w:tcPr>
          <w:p w:rsidR="00A74C6F" w:rsidRPr="00C63313" w:rsidRDefault="0039047F" w:rsidP="00A74C6F">
            <w:pPr>
              <w:widowControl/>
              <w:spacing w:line="360" w:lineRule="auto"/>
              <w:jc w:val="center"/>
              <w:rPr>
                <w:rFonts w:ascii="宋体" w:hAnsi="宋体" w:cs="Calibri"/>
                <w:kern w:val="0"/>
                <w:sz w:val="24"/>
                <w:szCs w:val="28"/>
              </w:rPr>
            </w:pPr>
            <w:r w:rsidRPr="0039047F">
              <w:rPr>
                <w:rFonts w:ascii="宋体" w:hAnsi="宋体" w:cs="Calibri"/>
                <w:kern w:val="0"/>
                <w:sz w:val="24"/>
                <w:szCs w:val="28"/>
              </w:rPr>
              <w:t>015853</w:t>
            </w:r>
          </w:p>
        </w:tc>
        <w:tc>
          <w:tcPr>
            <w:tcW w:w="6033" w:type="dxa"/>
          </w:tcPr>
          <w:p w:rsidR="00A74C6F" w:rsidRPr="00C63313" w:rsidRDefault="0039047F" w:rsidP="00A74C6F">
            <w:pPr>
              <w:widowControl/>
              <w:spacing w:line="360" w:lineRule="auto"/>
              <w:jc w:val="center"/>
              <w:rPr>
                <w:rFonts w:ascii="宋体" w:hAnsi="宋体" w:cs="Calibri"/>
                <w:kern w:val="0"/>
                <w:sz w:val="24"/>
                <w:szCs w:val="28"/>
              </w:rPr>
            </w:pPr>
            <w:r w:rsidRPr="0039047F">
              <w:rPr>
                <w:rFonts w:ascii="宋体" w:hAnsi="宋体" w:cs="Calibri" w:hint="eastAsia"/>
                <w:kern w:val="0"/>
                <w:sz w:val="24"/>
                <w:szCs w:val="28"/>
              </w:rPr>
              <w:t>汇添富稳安三个月持有期债券型证券投资基金</w:t>
            </w:r>
          </w:p>
        </w:tc>
      </w:tr>
      <w:tr w:rsidR="00A74C6F" w:rsidTr="00D61EE0">
        <w:tc>
          <w:tcPr>
            <w:tcW w:w="2263" w:type="dxa"/>
          </w:tcPr>
          <w:p w:rsidR="00A74C6F" w:rsidRPr="0039047F" w:rsidRDefault="0039047F" w:rsidP="00A74C6F">
            <w:pPr>
              <w:widowControl/>
              <w:spacing w:line="360" w:lineRule="auto"/>
              <w:jc w:val="center"/>
              <w:rPr>
                <w:rFonts w:ascii="宋体" w:hAnsi="宋体" w:cs="Calibri"/>
                <w:kern w:val="0"/>
                <w:sz w:val="24"/>
                <w:szCs w:val="28"/>
              </w:rPr>
            </w:pPr>
            <w:r w:rsidRPr="0039047F">
              <w:rPr>
                <w:rFonts w:ascii="宋体" w:hAnsi="宋体" w:cs="Calibri"/>
                <w:kern w:val="0"/>
                <w:sz w:val="24"/>
                <w:szCs w:val="28"/>
              </w:rPr>
              <w:t>014594</w:t>
            </w:r>
          </w:p>
        </w:tc>
        <w:tc>
          <w:tcPr>
            <w:tcW w:w="6033" w:type="dxa"/>
          </w:tcPr>
          <w:p w:rsidR="00A74C6F" w:rsidRPr="00C63313" w:rsidRDefault="0039047F" w:rsidP="00A74C6F">
            <w:pPr>
              <w:widowControl/>
              <w:spacing w:line="360" w:lineRule="auto"/>
              <w:jc w:val="center"/>
              <w:rPr>
                <w:rFonts w:ascii="宋体" w:hAnsi="宋体" w:cs="Calibri"/>
                <w:kern w:val="0"/>
                <w:sz w:val="24"/>
                <w:szCs w:val="28"/>
              </w:rPr>
            </w:pPr>
            <w:r w:rsidRPr="0039047F">
              <w:rPr>
                <w:rFonts w:ascii="宋体" w:hAnsi="宋体" w:cs="Calibri" w:hint="eastAsia"/>
                <w:kern w:val="0"/>
                <w:sz w:val="24"/>
                <w:szCs w:val="28"/>
              </w:rPr>
              <w:t>汇添富稳福60天滚动持有中短债债券型证券投资基金</w:t>
            </w:r>
          </w:p>
        </w:tc>
      </w:tr>
      <w:tr w:rsidR="00A74C6F" w:rsidTr="00D61EE0">
        <w:tc>
          <w:tcPr>
            <w:tcW w:w="2263" w:type="dxa"/>
          </w:tcPr>
          <w:p w:rsidR="00A74C6F" w:rsidRPr="00C63313" w:rsidRDefault="0039047F" w:rsidP="00A74C6F">
            <w:pPr>
              <w:widowControl/>
              <w:spacing w:line="360" w:lineRule="auto"/>
              <w:jc w:val="center"/>
              <w:rPr>
                <w:rFonts w:ascii="宋体" w:hAnsi="宋体" w:cs="Calibri"/>
                <w:kern w:val="0"/>
                <w:sz w:val="24"/>
                <w:szCs w:val="28"/>
              </w:rPr>
            </w:pPr>
            <w:r w:rsidRPr="0039047F">
              <w:rPr>
                <w:rFonts w:ascii="宋体" w:hAnsi="宋体" w:cs="Calibri"/>
                <w:kern w:val="0"/>
                <w:sz w:val="24"/>
                <w:szCs w:val="28"/>
              </w:rPr>
              <w:t>012574</w:t>
            </w:r>
          </w:p>
        </w:tc>
        <w:tc>
          <w:tcPr>
            <w:tcW w:w="6033" w:type="dxa"/>
          </w:tcPr>
          <w:p w:rsidR="00A74C6F" w:rsidRPr="00C63313" w:rsidRDefault="0039047F" w:rsidP="00A74C6F">
            <w:pPr>
              <w:widowControl/>
              <w:spacing w:line="360" w:lineRule="auto"/>
              <w:jc w:val="center"/>
              <w:rPr>
                <w:rFonts w:ascii="宋体" w:hAnsi="宋体" w:cs="Calibri"/>
                <w:kern w:val="0"/>
                <w:sz w:val="24"/>
                <w:szCs w:val="28"/>
              </w:rPr>
            </w:pPr>
            <w:r w:rsidRPr="0039047F">
              <w:rPr>
                <w:rFonts w:ascii="宋体" w:hAnsi="宋体" w:cs="Calibri"/>
                <w:kern w:val="0"/>
                <w:sz w:val="24"/>
                <w:szCs w:val="28"/>
              </w:rPr>
              <w:t>汇添富稳利60天滚动持有短债债券型证券投资基金</w:t>
            </w:r>
          </w:p>
        </w:tc>
      </w:tr>
      <w:tr w:rsidR="00A74C6F" w:rsidRPr="000A0D20" w:rsidTr="00D61EE0">
        <w:tc>
          <w:tcPr>
            <w:tcW w:w="2263" w:type="dxa"/>
          </w:tcPr>
          <w:p w:rsidR="00A74C6F" w:rsidRPr="00C63313" w:rsidRDefault="000A0D20" w:rsidP="00A74C6F">
            <w:pPr>
              <w:widowControl/>
              <w:spacing w:line="360" w:lineRule="auto"/>
              <w:jc w:val="center"/>
              <w:rPr>
                <w:rFonts w:ascii="宋体" w:hAnsi="宋体" w:cs="Calibri"/>
                <w:kern w:val="0"/>
                <w:sz w:val="24"/>
                <w:szCs w:val="28"/>
              </w:rPr>
            </w:pPr>
            <w:r w:rsidRPr="000A0D20">
              <w:rPr>
                <w:rFonts w:ascii="宋体" w:hAnsi="宋体" w:cs="Calibri"/>
                <w:kern w:val="0"/>
                <w:sz w:val="24"/>
                <w:szCs w:val="28"/>
              </w:rPr>
              <w:t>016140</w:t>
            </w:r>
          </w:p>
        </w:tc>
        <w:tc>
          <w:tcPr>
            <w:tcW w:w="6033" w:type="dxa"/>
          </w:tcPr>
          <w:p w:rsidR="00A74C6F" w:rsidRPr="00C63313" w:rsidRDefault="000A0D20" w:rsidP="00A74C6F">
            <w:pPr>
              <w:widowControl/>
              <w:spacing w:line="360" w:lineRule="auto"/>
              <w:jc w:val="center"/>
              <w:rPr>
                <w:rFonts w:ascii="宋体" w:hAnsi="宋体" w:cs="Calibri"/>
                <w:kern w:val="0"/>
                <w:sz w:val="24"/>
                <w:szCs w:val="28"/>
              </w:rPr>
            </w:pPr>
            <w:r w:rsidRPr="000A0D20">
              <w:rPr>
                <w:rFonts w:ascii="宋体" w:hAnsi="宋体" w:cs="Calibri"/>
                <w:kern w:val="0"/>
                <w:sz w:val="24"/>
                <w:szCs w:val="28"/>
              </w:rPr>
              <w:t>汇添富稳瑞30天滚动持有中短债债券型证券投资基金</w:t>
            </w:r>
          </w:p>
        </w:tc>
      </w:tr>
      <w:tr w:rsidR="000A0D20" w:rsidRPr="000A0D20" w:rsidTr="00D61EE0">
        <w:tc>
          <w:tcPr>
            <w:tcW w:w="2263" w:type="dxa"/>
          </w:tcPr>
          <w:p w:rsidR="000A0D20" w:rsidRPr="00C63313" w:rsidRDefault="000A0D20" w:rsidP="000A0D20">
            <w:pPr>
              <w:widowControl/>
              <w:spacing w:line="360" w:lineRule="auto"/>
              <w:jc w:val="center"/>
              <w:rPr>
                <w:rFonts w:ascii="宋体" w:hAnsi="宋体" w:cs="Calibri"/>
                <w:kern w:val="0"/>
                <w:sz w:val="24"/>
                <w:szCs w:val="28"/>
              </w:rPr>
            </w:pPr>
            <w:r w:rsidRPr="000A0D20">
              <w:rPr>
                <w:rFonts w:ascii="宋体" w:hAnsi="宋体" w:cs="Calibri" w:hint="eastAsia"/>
                <w:kern w:val="0"/>
                <w:sz w:val="24"/>
                <w:szCs w:val="28"/>
              </w:rPr>
              <w:t>013814</w:t>
            </w:r>
          </w:p>
        </w:tc>
        <w:tc>
          <w:tcPr>
            <w:tcW w:w="6033" w:type="dxa"/>
          </w:tcPr>
          <w:p w:rsidR="000A0D20" w:rsidRPr="00C63313" w:rsidRDefault="000A0D20" w:rsidP="000A0D20">
            <w:pPr>
              <w:widowControl/>
              <w:spacing w:line="360" w:lineRule="auto"/>
              <w:jc w:val="center"/>
              <w:rPr>
                <w:rFonts w:ascii="宋体" w:hAnsi="宋体" w:cs="Calibri"/>
                <w:kern w:val="0"/>
                <w:sz w:val="24"/>
                <w:szCs w:val="28"/>
              </w:rPr>
            </w:pPr>
            <w:r w:rsidRPr="000A0D20">
              <w:rPr>
                <w:rFonts w:ascii="宋体" w:hAnsi="宋体" w:cs="Calibri" w:hint="eastAsia"/>
                <w:kern w:val="0"/>
                <w:sz w:val="24"/>
                <w:szCs w:val="28"/>
              </w:rPr>
              <w:t>汇添富稳鑫120天滚动持有债券型证券投资基金</w:t>
            </w:r>
          </w:p>
        </w:tc>
      </w:tr>
      <w:bookmarkEnd w:id="1"/>
    </w:tbl>
    <w:p w:rsidR="00204276" w:rsidRDefault="00204276" w:rsidP="00D61EE0">
      <w:pPr>
        <w:widowControl/>
        <w:spacing w:line="360" w:lineRule="auto"/>
        <w:rPr>
          <w:rFonts w:ascii="宋体" w:hAnsi="宋体" w:cs="Calibri"/>
          <w:b/>
          <w:bCs/>
          <w:kern w:val="0"/>
          <w:sz w:val="24"/>
          <w:szCs w:val="28"/>
        </w:rPr>
      </w:pPr>
    </w:p>
    <w:p w:rsidR="00AA10B7" w:rsidRPr="00AA10B7" w:rsidRDefault="00D61EE0" w:rsidP="0039185E">
      <w:pPr>
        <w:widowControl/>
        <w:spacing w:line="360" w:lineRule="auto"/>
        <w:ind w:firstLineChars="200" w:firstLine="482"/>
        <w:rPr>
          <w:rFonts w:ascii="宋体" w:hAnsi="宋体" w:cs="Calibri"/>
          <w:b/>
          <w:bCs/>
          <w:kern w:val="0"/>
          <w:sz w:val="24"/>
          <w:szCs w:val="28"/>
        </w:rPr>
      </w:pPr>
      <w:r>
        <w:rPr>
          <w:rFonts w:ascii="宋体" w:hAnsi="宋体" w:cs="Calibri" w:hint="eastAsia"/>
          <w:b/>
          <w:bCs/>
          <w:kern w:val="0"/>
          <w:sz w:val="24"/>
          <w:szCs w:val="28"/>
        </w:rPr>
        <w:t>二</w:t>
      </w:r>
      <w:r w:rsidR="00A74C6F">
        <w:rPr>
          <w:rFonts w:ascii="宋体" w:hAnsi="宋体" w:cs="Calibri" w:hint="eastAsia"/>
          <w:b/>
          <w:bCs/>
          <w:kern w:val="0"/>
          <w:sz w:val="24"/>
          <w:szCs w:val="28"/>
        </w:rPr>
        <w:t>、</w:t>
      </w:r>
      <w:r w:rsidR="00AA10B7" w:rsidRPr="00AA10B7">
        <w:rPr>
          <w:rFonts w:ascii="宋体" w:hAnsi="宋体" w:cs="Calibri" w:hint="eastAsia"/>
          <w:b/>
          <w:bCs/>
          <w:kern w:val="0"/>
          <w:sz w:val="24"/>
          <w:szCs w:val="28"/>
        </w:rPr>
        <w:t>调整</w:t>
      </w:r>
      <w:r w:rsidR="007C6F4F">
        <w:rPr>
          <w:rFonts w:ascii="宋体" w:hAnsi="宋体" w:cs="Calibri" w:hint="eastAsia"/>
          <w:b/>
          <w:bCs/>
          <w:kern w:val="0"/>
          <w:sz w:val="24"/>
          <w:szCs w:val="28"/>
        </w:rPr>
        <w:t>销售</w:t>
      </w:r>
      <w:r w:rsidR="00AC346C">
        <w:rPr>
          <w:rFonts w:ascii="宋体" w:hAnsi="宋体" w:cs="Calibri" w:hint="eastAsia"/>
          <w:b/>
          <w:bCs/>
          <w:kern w:val="0"/>
          <w:sz w:val="24"/>
          <w:szCs w:val="28"/>
        </w:rPr>
        <w:t>对象、</w:t>
      </w:r>
      <w:r w:rsidR="00AA10B7" w:rsidRPr="00AA10B7">
        <w:rPr>
          <w:rFonts w:ascii="宋体" w:hAnsi="宋体" w:cs="Calibri" w:hint="eastAsia"/>
          <w:b/>
          <w:bCs/>
          <w:kern w:val="0"/>
          <w:sz w:val="24"/>
          <w:szCs w:val="28"/>
        </w:rPr>
        <w:t>申购业务限额</w:t>
      </w:r>
      <w:r w:rsidR="00204276" w:rsidRPr="00AA10B7">
        <w:rPr>
          <w:rFonts w:ascii="宋体" w:hAnsi="宋体" w:cs="Calibri" w:hint="eastAsia"/>
          <w:b/>
          <w:bCs/>
          <w:kern w:val="0"/>
          <w:sz w:val="24"/>
          <w:szCs w:val="28"/>
        </w:rPr>
        <w:t>并相应修改招募说明书</w:t>
      </w:r>
    </w:p>
    <w:p w:rsidR="00AC346C" w:rsidRPr="00AC346C" w:rsidRDefault="007B7D9F" w:rsidP="00AC346C">
      <w:pPr>
        <w:widowControl/>
        <w:spacing w:line="360" w:lineRule="auto"/>
        <w:ind w:firstLineChars="200" w:firstLine="480"/>
        <w:rPr>
          <w:rFonts w:ascii="宋体" w:hAnsi="宋体" w:cs="Calibri"/>
          <w:kern w:val="0"/>
          <w:sz w:val="24"/>
          <w:szCs w:val="28"/>
        </w:rPr>
      </w:pPr>
      <w:r>
        <w:rPr>
          <w:rFonts w:ascii="宋体" w:hAnsi="宋体" w:cs="Calibri" w:hint="eastAsia"/>
          <w:kern w:val="0"/>
          <w:sz w:val="24"/>
          <w:szCs w:val="28"/>
        </w:rPr>
        <w:t>1、</w:t>
      </w:r>
      <w:r w:rsidR="00A74C6F">
        <w:rPr>
          <w:rFonts w:ascii="宋体" w:hAnsi="宋体" w:cs="Calibri" w:hint="eastAsia"/>
          <w:kern w:val="0"/>
          <w:sz w:val="24"/>
          <w:szCs w:val="28"/>
        </w:rPr>
        <w:t>上述基金拟</w:t>
      </w:r>
      <w:r w:rsidR="00AC346C">
        <w:rPr>
          <w:rFonts w:ascii="宋体" w:hAnsi="宋体" w:cs="Calibri" w:hint="eastAsia"/>
          <w:kern w:val="0"/>
          <w:sz w:val="24"/>
          <w:szCs w:val="28"/>
        </w:rPr>
        <w:t>将</w:t>
      </w:r>
      <w:r w:rsidR="007C6F4F">
        <w:rPr>
          <w:rFonts w:ascii="宋体" w:hAnsi="宋体" w:cs="Calibri" w:hint="eastAsia"/>
          <w:kern w:val="0"/>
          <w:sz w:val="24"/>
          <w:szCs w:val="28"/>
        </w:rPr>
        <w:t>销售</w:t>
      </w:r>
      <w:r w:rsidR="00AC346C" w:rsidRPr="00AC346C">
        <w:rPr>
          <w:rFonts w:ascii="宋体" w:hAnsi="宋体" w:cs="Calibri" w:hint="eastAsia"/>
          <w:kern w:val="0"/>
          <w:sz w:val="24"/>
          <w:szCs w:val="28"/>
        </w:rPr>
        <w:t>对象调整为：“本基金暂不向金融机构自营账户销售（</w:t>
      </w:r>
      <w:r w:rsidR="00060143">
        <w:rPr>
          <w:rFonts w:ascii="宋体" w:hAnsi="宋体" w:cs="Calibri" w:hint="eastAsia"/>
          <w:kern w:val="0"/>
          <w:sz w:val="24"/>
          <w:szCs w:val="28"/>
        </w:rPr>
        <w:t>基金</w:t>
      </w:r>
      <w:r w:rsidR="00AC346C" w:rsidRPr="00AC346C">
        <w:rPr>
          <w:rFonts w:ascii="宋体" w:hAnsi="宋体" w:cs="Calibri" w:hint="eastAsia"/>
          <w:kern w:val="0"/>
          <w:sz w:val="24"/>
          <w:szCs w:val="28"/>
        </w:rPr>
        <w:t>管理人自有资金除外），如未来本基金开放向金融机构自营账户公开销售或对销售对象的范围予以进一步限定，基金管理人将另行公告。</w:t>
      </w:r>
      <w:r w:rsidR="00AC346C">
        <w:rPr>
          <w:rFonts w:ascii="宋体" w:hAnsi="宋体" w:cs="Calibri" w:hint="eastAsia"/>
          <w:kern w:val="0"/>
          <w:sz w:val="24"/>
          <w:szCs w:val="28"/>
        </w:rPr>
        <w:t>”</w:t>
      </w:r>
    </w:p>
    <w:p w:rsidR="0039185E" w:rsidRPr="0039185E" w:rsidRDefault="00AC346C" w:rsidP="0039185E">
      <w:pPr>
        <w:widowControl/>
        <w:spacing w:line="360" w:lineRule="auto"/>
        <w:ind w:firstLineChars="200" w:firstLine="480"/>
        <w:rPr>
          <w:rFonts w:ascii="宋体" w:hAnsi="宋体" w:cs="Calibri"/>
          <w:kern w:val="0"/>
          <w:sz w:val="24"/>
          <w:szCs w:val="28"/>
        </w:rPr>
      </w:pPr>
      <w:r>
        <w:rPr>
          <w:rFonts w:ascii="宋体" w:hAnsi="宋体" w:cs="Calibri" w:hint="eastAsia"/>
          <w:kern w:val="0"/>
          <w:sz w:val="24"/>
          <w:szCs w:val="28"/>
        </w:rPr>
        <w:t>2、</w:t>
      </w:r>
      <w:r w:rsidR="00A74C6F">
        <w:rPr>
          <w:rFonts w:ascii="宋体" w:hAnsi="宋体" w:cs="Calibri" w:hint="eastAsia"/>
          <w:kern w:val="0"/>
          <w:sz w:val="24"/>
          <w:szCs w:val="28"/>
        </w:rPr>
        <w:t>上述基金拟</w:t>
      </w:r>
      <w:r w:rsidR="0039185E">
        <w:rPr>
          <w:rFonts w:ascii="宋体" w:hAnsi="宋体" w:cs="Calibri" w:hint="eastAsia"/>
          <w:kern w:val="0"/>
          <w:sz w:val="24"/>
          <w:szCs w:val="28"/>
        </w:rPr>
        <w:t>将</w:t>
      </w:r>
      <w:r w:rsidR="0039185E" w:rsidRPr="0039185E">
        <w:rPr>
          <w:rFonts w:ascii="宋体" w:hAnsi="宋体" w:cs="Calibri" w:hint="eastAsia"/>
          <w:kern w:val="0"/>
          <w:sz w:val="24"/>
          <w:szCs w:val="28"/>
        </w:rPr>
        <w:t>申购业务限额调整为：</w:t>
      </w:r>
      <w:r w:rsidR="008548EA">
        <w:rPr>
          <w:rFonts w:ascii="宋体" w:hAnsi="宋体" w:cs="Calibri" w:hint="eastAsia"/>
          <w:kern w:val="0"/>
          <w:sz w:val="24"/>
          <w:szCs w:val="28"/>
        </w:rPr>
        <w:t>“</w:t>
      </w:r>
      <w:r w:rsidR="003C5F67" w:rsidRPr="0093126A">
        <w:rPr>
          <w:rFonts w:ascii="宋体" w:hAnsi="宋体" w:cs="宋体" w:hint="eastAsia"/>
          <w:kern w:val="0"/>
          <w:sz w:val="24"/>
        </w:rPr>
        <w:t>本基金单一投资者单日</w:t>
      </w:r>
      <w:r w:rsidR="000B26D2">
        <w:rPr>
          <w:rFonts w:ascii="宋体" w:hAnsi="宋体" w:cs="宋体" w:hint="eastAsia"/>
          <w:kern w:val="0"/>
          <w:sz w:val="24"/>
        </w:rPr>
        <w:t>申购</w:t>
      </w:r>
      <w:r w:rsidR="003C5F67" w:rsidRPr="0093126A">
        <w:rPr>
          <w:rFonts w:ascii="宋体" w:hAnsi="宋体" w:cs="宋体" w:hint="eastAsia"/>
          <w:kern w:val="0"/>
          <w:sz w:val="24"/>
        </w:rPr>
        <w:t>金额不超过</w:t>
      </w:r>
      <w:r w:rsidR="003C5F67">
        <w:rPr>
          <w:rFonts w:ascii="宋体" w:hAnsi="宋体" w:cs="宋体" w:hint="eastAsia"/>
          <w:kern w:val="0"/>
          <w:sz w:val="24"/>
        </w:rPr>
        <w:t>1000</w:t>
      </w:r>
      <w:r w:rsidR="003C5F67" w:rsidRPr="0093126A">
        <w:rPr>
          <w:rFonts w:ascii="宋体" w:hAnsi="宋体" w:cs="宋体" w:hint="eastAsia"/>
          <w:kern w:val="0"/>
          <w:sz w:val="24"/>
        </w:rPr>
        <w:t>万元</w:t>
      </w:r>
      <w:r w:rsidR="003C5F67">
        <w:rPr>
          <w:rFonts w:ascii="宋体" w:hAnsi="宋体" w:cs="宋体" w:hint="eastAsia"/>
          <w:kern w:val="0"/>
          <w:sz w:val="24"/>
        </w:rPr>
        <w:t>（</w:t>
      </w:r>
      <w:r w:rsidR="003C5F67" w:rsidRPr="0093126A">
        <w:rPr>
          <w:rFonts w:ascii="宋体" w:hAnsi="宋体" w:cs="宋体" w:hint="eastAsia"/>
          <w:kern w:val="0"/>
          <w:sz w:val="24"/>
        </w:rPr>
        <w:t>个人投资者</w:t>
      </w:r>
      <w:r w:rsidR="003C5F67">
        <w:rPr>
          <w:rFonts w:ascii="宋体" w:hAnsi="宋体" w:cs="宋体" w:hint="eastAsia"/>
          <w:kern w:val="0"/>
          <w:sz w:val="24"/>
        </w:rPr>
        <w:t>、职业年金、企业年金、养老金产品、</w:t>
      </w:r>
      <w:r w:rsidR="003C5F67" w:rsidRPr="0093126A">
        <w:rPr>
          <w:rFonts w:ascii="宋体" w:hAnsi="宋体" w:cs="宋体" w:hint="eastAsia"/>
          <w:kern w:val="0"/>
          <w:sz w:val="24"/>
        </w:rPr>
        <w:t>公募资产管理产品</w:t>
      </w:r>
      <w:r w:rsidR="003C5F67">
        <w:rPr>
          <w:rFonts w:ascii="宋体" w:hAnsi="宋体" w:cs="宋体" w:hint="eastAsia"/>
          <w:kern w:val="0"/>
          <w:sz w:val="24"/>
        </w:rPr>
        <w:t>和</w:t>
      </w:r>
      <w:r w:rsidR="00635E4C">
        <w:rPr>
          <w:rFonts w:ascii="宋体" w:hAnsi="宋体" w:cs="宋体" w:hint="eastAsia"/>
          <w:kern w:val="0"/>
          <w:sz w:val="24"/>
        </w:rPr>
        <w:t>基金</w:t>
      </w:r>
      <w:r w:rsidR="003C5F67" w:rsidRPr="00FF6F6C">
        <w:rPr>
          <w:rFonts w:ascii="宋体" w:hAnsi="宋体" w:cs="宋体" w:hint="eastAsia"/>
          <w:kern w:val="0"/>
          <w:sz w:val="24"/>
        </w:rPr>
        <w:t>管理人自有资金</w:t>
      </w:r>
      <w:r w:rsidR="003C5F67" w:rsidRPr="0093126A">
        <w:rPr>
          <w:rFonts w:ascii="宋体" w:hAnsi="宋体" w:cs="宋体" w:hint="eastAsia"/>
          <w:kern w:val="0"/>
          <w:sz w:val="24"/>
        </w:rPr>
        <w:t>除外</w:t>
      </w:r>
      <w:r w:rsidR="003C5F67">
        <w:rPr>
          <w:rFonts w:ascii="宋体" w:hAnsi="宋体" w:cs="宋体" w:hint="eastAsia"/>
          <w:kern w:val="0"/>
          <w:sz w:val="24"/>
        </w:rPr>
        <w:t>）。</w:t>
      </w:r>
      <w:r w:rsidR="008548EA">
        <w:rPr>
          <w:rFonts w:ascii="宋体" w:hAnsi="宋体" w:cs="Calibri" w:hint="eastAsia"/>
          <w:kern w:val="0"/>
          <w:sz w:val="24"/>
          <w:szCs w:val="28"/>
        </w:rPr>
        <w:t>”</w:t>
      </w:r>
    </w:p>
    <w:p w:rsidR="0039185E" w:rsidRDefault="00AC346C" w:rsidP="0039185E">
      <w:pPr>
        <w:widowControl/>
        <w:spacing w:line="360" w:lineRule="auto"/>
        <w:ind w:firstLineChars="200" w:firstLine="480"/>
        <w:rPr>
          <w:rFonts w:ascii="宋体" w:hAnsi="宋体" w:cs="Calibri"/>
          <w:kern w:val="0"/>
          <w:sz w:val="24"/>
          <w:szCs w:val="28"/>
        </w:rPr>
      </w:pPr>
      <w:r>
        <w:rPr>
          <w:rFonts w:ascii="宋体" w:hAnsi="宋体" w:cs="Calibri"/>
          <w:kern w:val="0"/>
          <w:sz w:val="24"/>
          <w:szCs w:val="28"/>
        </w:rPr>
        <w:t>3</w:t>
      </w:r>
      <w:r w:rsidR="007B7D9F">
        <w:rPr>
          <w:rFonts w:ascii="宋体" w:hAnsi="宋体" w:cs="Calibri" w:hint="eastAsia"/>
          <w:kern w:val="0"/>
          <w:sz w:val="24"/>
          <w:szCs w:val="28"/>
        </w:rPr>
        <w:t>、</w:t>
      </w:r>
      <w:r w:rsidR="0039185E" w:rsidRPr="0039185E">
        <w:rPr>
          <w:rFonts w:ascii="宋体" w:hAnsi="宋体" w:cs="Calibri" w:hint="eastAsia"/>
          <w:kern w:val="0"/>
          <w:sz w:val="24"/>
          <w:szCs w:val="28"/>
        </w:rPr>
        <w:t>本公司将据此相应修改</w:t>
      </w:r>
      <w:r w:rsidR="00A74C6F">
        <w:rPr>
          <w:rFonts w:ascii="宋体" w:hAnsi="宋体" w:cs="Calibri" w:hint="eastAsia"/>
          <w:kern w:val="0"/>
          <w:sz w:val="24"/>
          <w:szCs w:val="28"/>
        </w:rPr>
        <w:t>上述</w:t>
      </w:r>
      <w:r w:rsidR="0039185E">
        <w:rPr>
          <w:rFonts w:ascii="宋体" w:hAnsi="宋体" w:cs="Calibri" w:hint="eastAsia"/>
          <w:kern w:val="0"/>
          <w:sz w:val="24"/>
          <w:szCs w:val="28"/>
        </w:rPr>
        <w:t>基</w:t>
      </w:r>
      <w:r w:rsidR="0039185E" w:rsidRPr="0039185E">
        <w:rPr>
          <w:rFonts w:ascii="宋体" w:hAnsi="宋体" w:cs="Calibri" w:hint="eastAsia"/>
          <w:kern w:val="0"/>
          <w:sz w:val="24"/>
          <w:szCs w:val="28"/>
        </w:rPr>
        <w:t>金招募说明书的相关条款。</w:t>
      </w:r>
    </w:p>
    <w:p w:rsidR="00D61EE0" w:rsidRDefault="00D61EE0" w:rsidP="0039185E">
      <w:pPr>
        <w:widowControl/>
        <w:spacing w:line="360" w:lineRule="auto"/>
        <w:ind w:firstLineChars="200" w:firstLine="480"/>
        <w:rPr>
          <w:rFonts w:ascii="宋体" w:hAnsi="宋体" w:cs="Calibri"/>
          <w:kern w:val="0"/>
          <w:sz w:val="24"/>
          <w:szCs w:val="28"/>
        </w:rPr>
      </w:pPr>
    </w:p>
    <w:p w:rsidR="00D61EE0" w:rsidRPr="00D61EE0" w:rsidRDefault="00D61EE0" w:rsidP="00D61EE0">
      <w:pPr>
        <w:widowControl/>
        <w:spacing w:line="360" w:lineRule="auto"/>
        <w:ind w:firstLineChars="200" w:firstLine="482"/>
        <w:rPr>
          <w:rFonts w:ascii="宋体" w:hAnsi="宋体" w:cs="Calibri"/>
          <w:b/>
          <w:bCs/>
          <w:kern w:val="0"/>
          <w:sz w:val="24"/>
          <w:szCs w:val="28"/>
        </w:rPr>
      </w:pPr>
      <w:r>
        <w:rPr>
          <w:rFonts w:ascii="宋体" w:hAnsi="宋体" w:cs="Calibri" w:hint="eastAsia"/>
          <w:b/>
          <w:bCs/>
          <w:kern w:val="0"/>
          <w:sz w:val="24"/>
          <w:szCs w:val="28"/>
        </w:rPr>
        <w:t>三、调整基金合同中</w:t>
      </w:r>
      <w:r w:rsidRPr="00D61EE0">
        <w:rPr>
          <w:rFonts w:ascii="宋体" w:hAnsi="宋体" w:cs="Calibri" w:hint="eastAsia"/>
          <w:b/>
          <w:bCs/>
          <w:kern w:val="0"/>
          <w:sz w:val="24"/>
          <w:szCs w:val="28"/>
        </w:rPr>
        <w:t>基金份额的发售</w:t>
      </w:r>
      <w:r>
        <w:rPr>
          <w:rFonts w:ascii="宋体" w:hAnsi="宋体" w:cs="Calibri" w:hint="eastAsia"/>
          <w:b/>
          <w:bCs/>
          <w:kern w:val="0"/>
          <w:sz w:val="24"/>
          <w:szCs w:val="28"/>
        </w:rPr>
        <w:t>、</w:t>
      </w:r>
      <w:r w:rsidRPr="00D61EE0">
        <w:rPr>
          <w:rFonts w:ascii="宋体" w:hAnsi="宋体" w:cs="Calibri" w:hint="eastAsia"/>
          <w:b/>
          <w:bCs/>
          <w:kern w:val="0"/>
          <w:sz w:val="24"/>
          <w:szCs w:val="28"/>
        </w:rPr>
        <w:t>基金份额的申购与赎回</w:t>
      </w:r>
      <w:r>
        <w:rPr>
          <w:rFonts w:ascii="宋体" w:hAnsi="宋体" w:cs="Calibri" w:hint="eastAsia"/>
          <w:b/>
          <w:bCs/>
          <w:kern w:val="0"/>
          <w:sz w:val="24"/>
          <w:szCs w:val="28"/>
        </w:rPr>
        <w:t>相关章节</w:t>
      </w:r>
      <w:r w:rsidR="003D61A5">
        <w:rPr>
          <w:rFonts w:ascii="宋体" w:hAnsi="宋体" w:cs="Calibri" w:hint="eastAsia"/>
          <w:b/>
          <w:bCs/>
          <w:kern w:val="0"/>
          <w:sz w:val="24"/>
          <w:szCs w:val="28"/>
        </w:rPr>
        <w:t>的</w:t>
      </w:r>
      <w:r>
        <w:rPr>
          <w:rFonts w:ascii="宋体" w:hAnsi="宋体" w:cs="Calibri" w:hint="eastAsia"/>
          <w:b/>
          <w:bCs/>
          <w:kern w:val="0"/>
          <w:sz w:val="24"/>
          <w:szCs w:val="28"/>
        </w:rPr>
        <w:t>内容约定</w:t>
      </w:r>
    </w:p>
    <w:p w:rsidR="00D61EE0" w:rsidRPr="00D61EE0" w:rsidRDefault="00D61EE0" w:rsidP="00D61EE0">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上述</w:t>
      </w:r>
      <w:r w:rsidRPr="007419DE">
        <w:rPr>
          <w:rFonts w:asciiTheme="minorEastAsia" w:hAnsiTheme="minorEastAsia" w:hint="eastAsia"/>
          <w:kern w:val="0"/>
          <w:sz w:val="24"/>
        </w:rPr>
        <w:t>基金</w:t>
      </w:r>
      <w:r w:rsidRPr="00726FFF">
        <w:rPr>
          <w:rFonts w:asciiTheme="minorEastAsia" w:hAnsiTheme="minorEastAsia" w:hint="eastAsia"/>
          <w:sz w:val="24"/>
        </w:rPr>
        <w:t>基金合同</w:t>
      </w:r>
      <w:r w:rsidRPr="007419DE">
        <w:rPr>
          <w:rFonts w:asciiTheme="minorEastAsia" w:hAnsiTheme="minorEastAsia" w:hint="eastAsia"/>
          <w:kern w:val="0"/>
          <w:sz w:val="24"/>
        </w:rPr>
        <w:t>的修订内容要点</w:t>
      </w:r>
      <w:r>
        <w:rPr>
          <w:rFonts w:asciiTheme="minorEastAsia" w:hAnsiTheme="minorEastAsia" w:hint="eastAsia"/>
          <w:kern w:val="0"/>
          <w:sz w:val="24"/>
        </w:rPr>
        <w:t>如下：</w:t>
      </w:r>
    </w:p>
    <w:tbl>
      <w:tblPr>
        <w:tblStyle w:val="aa"/>
        <w:tblW w:w="0" w:type="auto"/>
        <w:tblLook w:val="04A0"/>
      </w:tblPr>
      <w:tblGrid>
        <w:gridCol w:w="2830"/>
        <w:gridCol w:w="5466"/>
      </w:tblGrid>
      <w:tr w:rsidR="00D61EE0" w:rsidTr="00D61EE0">
        <w:tc>
          <w:tcPr>
            <w:tcW w:w="2830" w:type="dxa"/>
          </w:tcPr>
          <w:p w:rsidR="00D61EE0" w:rsidRDefault="00D61EE0" w:rsidP="00F51E3E">
            <w:pPr>
              <w:spacing w:line="360" w:lineRule="auto"/>
              <w:jc w:val="left"/>
              <w:rPr>
                <w:rFonts w:hAnsi="宋体" w:cs="宋体"/>
                <w:sz w:val="24"/>
              </w:rPr>
            </w:pPr>
            <w:r w:rsidRPr="007419DE">
              <w:rPr>
                <w:rFonts w:asciiTheme="minorEastAsia" w:hAnsiTheme="minorEastAsia"/>
                <w:sz w:val="24"/>
              </w:rPr>
              <w:lastRenderedPageBreak/>
              <w:t>章节</w:t>
            </w:r>
          </w:p>
        </w:tc>
        <w:tc>
          <w:tcPr>
            <w:tcW w:w="5466" w:type="dxa"/>
          </w:tcPr>
          <w:p w:rsidR="00D61EE0" w:rsidRDefault="00D61EE0" w:rsidP="00F51E3E">
            <w:pPr>
              <w:spacing w:line="360" w:lineRule="auto"/>
              <w:jc w:val="left"/>
              <w:rPr>
                <w:rFonts w:hAnsi="宋体" w:cs="宋体"/>
                <w:sz w:val="24"/>
              </w:rPr>
            </w:pPr>
            <w:r w:rsidRPr="007419DE">
              <w:rPr>
                <w:rFonts w:asciiTheme="minorEastAsia" w:hAnsiTheme="minorEastAsia"/>
                <w:sz w:val="24"/>
              </w:rPr>
              <w:t>修订内容要点</w:t>
            </w:r>
          </w:p>
        </w:tc>
      </w:tr>
      <w:tr w:rsidR="00D61EE0" w:rsidTr="00D61EE0">
        <w:tc>
          <w:tcPr>
            <w:tcW w:w="2830" w:type="dxa"/>
          </w:tcPr>
          <w:p w:rsidR="00D61EE0" w:rsidRPr="00726FFF" w:rsidRDefault="00D61EE0" w:rsidP="00F51E3E">
            <w:pPr>
              <w:spacing w:line="360" w:lineRule="auto"/>
              <w:jc w:val="left"/>
              <w:rPr>
                <w:rFonts w:asciiTheme="minorEastAsia" w:hAnsiTheme="minorEastAsia"/>
                <w:sz w:val="24"/>
              </w:rPr>
            </w:pPr>
            <w:r w:rsidRPr="00726FFF">
              <w:rPr>
                <w:rFonts w:asciiTheme="minorEastAsia" w:hAnsiTheme="minorEastAsia"/>
                <w:sz w:val="24"/>
              </w:rPr>
              <w:t>基金份额的发售</w:t>
            </w:r>
          </w:p>
          <w:p w:rsidR="00D61EE0" w:rsidRPr="00726FFF" w:rsidRDefault="00D61EE0" w:rsidP="00F51E3E">
            <w:pPr>
              <w:spacing w:line="360" w:lineRule="auto"/>
              <w:jc w:val="left"/>
              <w:rPr>
                <w:rFonts w:asciiTheme="minorEastAsia" w:hAnsiTheme="minorEastAsia"/>
                <w:sz w:val="24"/>
              </w:rPr>
            </w:pPr>
            <w:r w:rsidRPr="00726FFF">
              <w:rPr>
                <w:rFonts w:asciiTheme="minorEastAsia" w:hAnsiTheme="minorEastAsia" w:hint="eastAsia"/>
                <w:sz w:val="24"/>
              </w:rPr>
              <w:t>（适用于</w:t>
            </w:r>
            <w:r w:rsidRPr="00D61EE0">
              <w:rPr>
                <w:rFonts w:asciiTheme="minorEastAsia" w:hAnsiTheme="minorEastAsia" w:hint="eastAsia"/>
                <w:sz w:val="24"/>
              </w:rPr>
              <w:t>汇添富稳安三个月持有期债券型证券投资基金、汇添富稳瑞30天滚动持有中短债债券型证券投资基金、汇添富稳鑫120天滚动持有债券型证券投资基金</w:t>
            </w:r>
            <w:r w:rsidRPr="00726FFF">
              <w:rPr>
                <w:rFonts w:asciiTheme="minorEastAsia" w:hAnsiTheme="minorEastAsia" w:hint="eastAsia"/>
                <w:sz w:val="24"/>
              </w:rPr>
              <w:t>）</w:t>
            </w:r>
          </w:p>
        </w:tc>
        <w:tc>
          <w:tcPr>
            <w:tcW w:w="5466" w:type="dxa"/>
          </w:tcPr>
          <w:p w:rsidR="00D61EE0" w:rsidRDefault="00D61EE0" w:rsidP="00F51E3E">
            <w:pPr>
              <w:spacing w:line="360" w:lineRule="auto"/>
              <w:jc w:val="left"/>
              <w:rPr>
                <w:bCs/>
                <w:sz w:val="24"/>
              </w:rPr>
            </w:pPr>
            <w:r>
              <w:rPr>
                <w:bCs/>
                <w:sz w:val="24"/>
              </w:rPr>
              <w:t>一、基金份额的发售时间、发售方式、发售对象</w:t>
            </w:r>
            <w:r>
              <w:rPr>
                <w:rFonts w:hint="eastAsia"/>
                <w:bCs/>
                <w:sz w:val="24"/>
              </w:rPr>
              <w:t xml:space="preserve"> </w:t>
            </w:r>
            <w:r>
              <w:rPr>
                <w:bCs/>
                <w:sz w:val="24"/>
              </w:rPr>
              <w:t>3</w:t>
            </w:r>
            <w:r>
              <w:rPr>
                <w:bCs/>
                <w:sz w:val="24"/>
              </w:rPr>
              <w:t>、发售对象</w:t>
            </w:r>
          </w:p>
          <w:p w:rsidR="00D61EE0" w:rsidRDefault="00D61EE0" w:rsidP="00F51E3E">
            <w:pPr>
              <w:spacing w:line="360" w:lineRule="auto"/>
              <w:rPr>
                <w:rFonts w:asciiTheme="minorEastAsia" w:hAnsiTheme="minorEastAsia"/>
                <w:sz w:val="24"/>
              </w:rPr>
            </w:pPr>
            <w:r>
              <w:rPr>
                <w:rFonts w:asciiTheme="minorEastAsia" w:hAnsiTheme="minorEastAsia" w:hint="eastAsia"/>
                <w:sz w:val="24"/>
              </w:rPr>
              <w:t>调整为</w:t>
            </w:r>
            <w:r w:rsidRPr="007419DE">
              <w:rPr>
                <w:rFonts w:asciiTheme="minorEastAsia" w:hAnsiTheme="minorEastAsia" w:hint="eastAsia"/>
                <w:sz w:val="24"/>
              </w:rPr>
              <w:t>：</w:t>
            </w:r>
          </w:p>
          <w:p w:rsidR="00D61EE0" w:rsidRDefault="00D61EE0" w:rsidP="00F51E3E">
            <w:pPr>
              <w:spacing w:line="360" w:lineRule="auto"/>
              <w:rPr>
                <w:bCs/>
                <w:sz w:val="24"/>
              </w:rPr>
            </w:pPr>
            <w:r>
              <w:rPr>
                <w:rFonts w:asciiTheme="minorEastAsia" w:hAnsiTheme="minorEastAsia" w:hint="eastAsia"/>
                <w:sz w:val="24"/>
              </w:rPr>
              <w:t>“</w:t>
            </w:r>
            <w:r>
              <w:rPr>
                <w:bCs/>
                <w:sz w:val="24"/>
              </w:rPr>
              <w:t>3</w:t>
            </w:r>
            <w:r>
              <w:rPr>
                <w:bCs/>
                <w:sz w:val="24"/>
              </w:rPr>
              <w:t>、发售对象</w:t>
            </w:r>
          </w:p>
          <w:p w:rsidR="00D61EE0" w:rsidRPr="00D61EE0" w:rsidRDefault="00D61EE0" w:rsidP="00F51E3E">
            <w:pPr>
              <w:spacing w:line="360" w:lineRule="auto"/>
              <w:rPr>
                <w:rFonts w:asciiTheme="minorEastAsia" w:hAnsiTheme="minorEastAsia"/>
                <w:sz w:val="24"/>
              </w:rPr>
            </w:pPr>
            <w:r w:rsidRPr="00D61EE0">
              <w:rPr>
                <w:rFonts w:asciiTheme="minorEastAsia" w:hAnsiTheme="minorEastAsia" w:hint="eastAsia"/>
                <w:sz w:val="24"/>
              </w:rPr>
              <w:t>符合法律法规规定的可投资于证券投资基金的个人投资者、机构投资者、合格境外投资者以及法律法规或中国证监会允许购买证券投资基金的其他投资人。</w:t>
            </w:r>
          </w:p>
          <w:p w:rsidR="00D61EE0" w:rsidRPr="00523C37" w:rsidRDefault="00D61EE0" w:rsidP="00F51E3E">
            <w:pPr>
              <w:spacing w:line="360" w:lineRule="auto"/>
              <w:rPr>
                <w:rFonts w:asciiTheme="minorEastAsia" w:hAnsiTheme="minorEastAsia"/>
                <w:sz w:val="24"/>
              </w:rPr>
            </w:pPr>
            <w:r w:rsidRPr="00D61EE0">
              <w:rPr>
                <w:rFonts w:asciiTheme="minorEastAsia" w:hAnsiTheme="minorEastAsia" w:hint="eastAsia"/>
                <w:sz w:val="24"/>
              </w:rPr>
              <w:t>基金管理人有权对发售对象的范围予以进一步限定，具体发售对象见基金管理人届时发布的相关公告。</w:t>
            </w:r>
            <w:r>
              <w:rPr>
                <w:rFonts w:asciiTheme="minorEastAsia" w:hAnsiTheme="minorEastAsia" w:hint="eastAsia"/>
                <w:sz w:val="24"/>
              </w:rPr>
              <w:t>”</w:t>
            </w:r>
          </w:p>
        </w:tc>
      </w:tr>
      <w:tr w:rsidR="00D61EE0" w:rsidTr="00D61EE0">
        <w:tc>
          <w:tcPr>
            <w:tcW w:w="2830" w:type="dxa"/>
          </w:tcPr>
          <w:p w:rsidR="00D61EE0" w:rsidRDefault="00D61EE0" w:rsidP="00F51E3E">
            <w:pPr>
              <w:spacing w:line="360" w:lineRule="auto"/>
              <w:jc w:val="left"/>
              <w:rPr>
                <w:rFonts w:asciiTheme="minorEastAsia" w:hAnsiTheme="minorEastAsia"/>
                <w:sz w:val="24"/>
              </w:rPr>
            </w:pPr>
            <w:r w:rsidRPr="00726FFF">
              <w:rPr>
                <w:rFonts w:asciiTheme="minorEastAsia" w:hAnsiTheme="minorEastAsia"/>
                <w:sz w:val="24"/>
              </w:rPr>
              <w:t>基金份额的发售</w:t>
            </w:r>
          </w:p>
          <w:p w:rsidR="00D61EE0" w:rsidRPr="00726FFF" w:rsidRDefault="00D61EE0" w:rsidP="00F51E3E">
            <w:pPr>
              <w:spacing w:line="360" w:lineRule="auto"/>
              <w:jc w:val="left"/>
              <w:rPr>
                <w:rFonts w:asciiTheme="minorEastAsia" w:hAnsiTheme="minorEastAsia"/>
                <w:sz w:val="24"/>
              </w:rPr>
            </w:pPr>
            <w:r w:rsidRPr="00726FFF">
              <w:rPr>
                <w:rFonts w:asciiTheme="minorEastAsia" w:hAnsiTheme="minorEastAsia" w:hint="eastAsia"/>
                <w:sz w:val="24"/>
              </w:rPr>
              <w:t>（适用于</w:t>
            </w:r>
            <w:r w:rsidRPr="00D61EE0">
              <w:rPr>
                <w:rFonts w:asciiTheme="minorEastAsia" w:hAnsiTheme="minorEastAsia" w:hint="eastAsia"/>
                <w:sz w:val="24"/>
              </w:rPr>
              <w:t>汇添富稳福60天滚动持有中短债债券型证券投资基金、汇添富稳利60天滚动持有短债债券型证券投资基金</w:t>
            </w:r>
            <w:r w:rsidRPr="00726FFF">
              <w:rPr>
                <w:rFonts w:asciiTheme="minorEastAsia" w:hAnsiTheme="minorEastAsia" w:hint="eastAsia"/>
                <w:sz w:val="24"/>
              </w:rPr>
              <w:t>）</w:t>
            </w:r>
          </w:p>
        </w:tc>
        <w:tc>
          <w:tcPr>
            <w:tcW w:w="5466" w:type="dxa"/>
          </w:tcPr>
          <w:p w:rsidR="00D61EE0" w:rsidRDefault="00D61EE0" w:rsidP="00F51E3E">
            <w:pPr>
              <w:spacing w:line="360" w:lineRule="auto"/>
              <w:jc w:val="left"/>
              <w:rPr>
                <w:bCs/>
                <w:sz w:val="24"/>
              </w:rPr>
            </w:pPr>
            <w:r>
              <w:rPr>
                <w:bCs/>
                <w:sz w:val="24"/>
              </w:rPr>
              <w:t>一、基金份额的发售时间、发售方式、发售对象</w:t>
            </w:r>
            <w:r>
              <w:rPr>
                <w:rFonts w:hint="eastAsia"/>
                <w:bCs/>
                <w:sz w:val="24"/>
              </w:rPr>
              <w:t xml:space="preserve"> </w:t>
            </w:r>
            <w:r>
              <w:rPr>
                <w:bCs/>
                <w:sz w:val="24"/>
              </w:rPr>
              <w:t>3</w:t>
            </w:r>
            <w:r>
              <w:rPr>
                <w:bCs/>
                <w:sz w:val="24"/>
              </w:rPr>
              <w:t>、发售对象</w:t>
            </w:r>
          </w:p>
          <w:p w:rsidR="00D61EE0" w:rsidRDefault="00D61EE0" w:rsidP="00F51E3E">
            <w:pPr>
              <w:spacing w:line="360" w:lineRule="auto"/>
              <w:rPr>
                <w:rFonts w:asciiTheme="minorEastAsia" w:hAnsiTheme="minorEastAsia"/>
                <w:sz w:val="24"/>
              </w:rPr>
            </w:pPr>
            <w:r>
              <w:rPr>
                <w:rFonts w:asciiTheme="minorEastAsia" w:hAnsiTheme="minorEastAsia" w:hint="eastAsia"/>
                <w:sz w:val="24"/>
              </w:rPr>
              <w:t>调整为</w:t>
            </w:r>
            <w:r w:rsidRPr="007419DE">
              <w:rPr>
                <w:rFonts w:asciiTheme="minorEastAsia" w:hAnsiTheme="minorEastAsia" w:hint="eastAsia"/>
                <w:sz w:val="24"/>
              </w:rPr>
              <w:t>：</w:t>
            </w:r>
          </w:p>
          <w:p w:rsidR="00D61EE0" w:rsidRDefault="00D61EE0" w:rsidP="00F51E3E">
            <w:pPr>
              <w:spacing w:line="360" w:lineRule="auto"/>
              <w:jc w:val="left"/>
              <w:rPr>
                <w:bCs/>
                <w:sz w:val="24"/>
              </w:rPr>
            </w:pPr>
            <w:r>
              <w:rPr>
                <w:rFonts w:asciiTheme="minorEastAsia" w:hAnsiTheme="minorEastAsia" w:hint="eastAsia"/>
                <w:sz w:val="24"/>
              </w:rPr>
              <w:t>“</w:t>
            </w:r>
            <w:r>
              <w:rPr>
                <w:bCs/>
                <w:sz w:val="24"/>
              </w:rPr>
              <w:t>3</w:t>
            </w:r>
            <w:r>
              <w:rPr>
                <w:bCs/>
                <w:sz w:val="24"/>
              </w:rPr>
              <w:t>、发售对象</w:t>
            </w:r>
          </w:p>
          <w:p w:rsidR="00D61EE0" w:rsidRPr="00D61EE0" w:rsidRDefault="00D61EE0" w:rsidP="00F51E3E">
            <w:pPr>
              <w:spacing w:line="360" w:lineRule="auto"/>
              <w:jc w:val="left"/>
              <w:rPr>
                <w:rFonts w:asciiTheme="minorEastAsia" w:hAnsiTheme="minorEastAsia"/>
                <w:sz w:val="24"/>
              </w:rPr>
            </w:pPr>
            <w:r w:rsidRPr="00D61EE0">
              <w:rPr>
                <w:rFonts w:asciiTheme="minorEastAsia" w:hAnsiTheme="minorEastAsia" w:hint="eastAsia"/>
                <w:sz w:val="24"/>
              </w:rPr>
              <w:t>符合法律法规规定的可投资于证券投资基金的个人投资者、中国证监会允许购买证券投资基金的公开募集的资产管理产品以及法律法规或中国证监会允许购买证券投资基金的其他投资人。</w:t>
            </w:r>
          </w:p>
          <w:p w:rsidR="00D61EE0" w:rsidRPr="00726FFF" w:rsidRDefault="00D61EE0" w:rsidP="00F51E3E">
            <w:pPr>
              <w:spacing w:line="360" w:lineRule="auto"/>
              <w:jc w:val="left"/>
              <w:rPr>
                <w:rFonts w:asciiTheme="minorEastAsia" w:hAnsiTheme="minorEastAsia"/>
                <w:sz w:val="24"/>
              </w:rPr>
            </w:pPr>
            <w:r w:rsidRPr="00D61EE0">
              <w:rPr>
                <w:rFonts w:asciiTheme="minorEastAsia" w:hAnsiTheme="minorEastAsia" w:hint="eastAsia"/>
                <w:sz w:val="24"/>
              </w:rPr>
              <w:t>基金管理人有权对发售对象的范围予以进一步限定，具体发售对象见基金管理人届时发布的相关公告。</w:t>
            </w:r>
            <w:r>
              <w:rPr>
                <w:rFonts w:asciiTheme="minorEastAsia" w:hAnsiTheme="minorEastAsia" w:hint="eastAsia"/>
                <w:sz w:val="24"/>
              </w:rPr>
              <w:t>”</w:t>
            </w:r>
          </w:p>
        </w:tc>
      </w:tr>
      <w:tr w:rsidR="00D61EE0" w:rsidTr="00D61EE0">
        <w:tc>
          <w:tcPr>
            <w:tcW w:w="2830" w:type="dxa"/>
          </w:tcPr>
          <w:p w:rsidR="00D61EE0" w:rsidRDefault="00D61EE0" w:rsidP="00F51E3E">
            <w:pPr>
              <w:spacing w:line="360" w:lineRule="auto"/>
              <w:jc w:val="left"/>
              <w:rPr>
                <w:rFonts w:asciiTheme="minorEastAsia" w:hAnsiTheme="minorEastAsia"/>
                <w:sz w:val="24"/>
              </w:rPr>
            </w:pPr>
            <w:r w:rsidRPr="00726FFF">
              <w:rPr>
                <w:rFonts w:asciiTheme="minorEastAsia" w:hAnsiTheme="minorEastAsia"/>
                <w:sz w:val="24"/>
              </w:rPr>
              <w:t>基金份额的申购与赎回</w:t>
            </w:r>
          </w:p>
          <w:p w:rsidR="00D61EE0" w:rsidRPr="00726FFF" w:rsidRDefault="00D61EE0" w:rsidP="00F51E3E">
            <w:pPr>
              <w:spacing w:line="360" w:lineRule="auto"/>
              <w:jc w:val="left"/>
              <w:rPr>
                <w:rFonts w:asciiTheme="minorEastAsia" w:hAnsiTheme="minorEastAsia"/>
                <w:sz w:val="24"/>
              </w:rPr>
            </w:pPr>
          </w:p>
        </w:tc>
        <w:tc>
          <w:tcPr>
            <w:tcW w:w="5466" w:type="dxa"/>
          </w:tcPr>
          <w:p w:rsidR="00D61EE0" w:rsidRPr="00D61EE0" w:rsidRDefault="00D61EE0" w:rsidP="00F51E3E">
            <w:pPr>
              <w:pStyle w:val="a3"/>
              <w:numPr>
                <w:ilvl w:val="0"/>
                <w:numId w:val="2"/>
              </w:numPr>
              <w:spacing w:line="360" w:lineRule="auto"/>
              <w:ind w:firstLineChars="0"/>
              <w:jc w:val="left"/>
              <w:rPr>
                <w:rFonts w:asciiTheme="minorEastAsia" w:hAnsiTheme="minorEastAsia"/>
                <w:sz w:val="24"/>
              </w:rPr>
            </w:pPr>
            <w:r w:rsidRPr="00D61EE0">
              <w:rPr>
                <w:rFonts w:asciiTheme="minorEastAsia" w:hAnsiTheme="minorEastAsia" w:hint="eastAsia"/>
                <w:sz w:val="24"/>
              </w:rPr>
              <w:t>申购和赎回场所</w:t>
            </w:r>
          </w:p>
          <w:p w:rsidR="00D61EE0" w:rsidRDefault="00D61EE0" w:rsidP="00F51E3E">
            <w:pPr>
              <w:spacing w:line="360" w:lineRule="auto"/>
              <w:jc w:val="left"/>
              <w:rPr>
                <w:rFonts w:asciiTheme="minorEastAsia" w:hAnsiTheme="minorEastAsia"/>
                <w:sz w:val="24"/>
              </w:rPr>
            </w:pPr>
            <w:r>
              <w:rPr>
                <w:rFonts w:asciiTheme="minorEastAsia" w:hAnsiTheme="minorEastAsia" w:hint="eastAsia"/>
                <w:sz w:val="24"/>
              </w:rPr>
              <w:t>调整为：</w:t>
            </w:r>
          </w:p>
          <w:p w:rsidR="00D61EE0" w:rsidRDefault="00D61EE0" w:rsidP="00F51E3E">
            <w:pPr>
              <w:spacing w:line="360" w:lineRule="auto"/>
              <w:jc w:val="left"/>
              <w:rPr>
                <w:bCs/>
                <w:sz w:val="24"/>
              </w:rPr>
            </w:pPr>
            <w:r>
              <w:rPr>
                <w:rFonts w:asciiTheme="minorEastAsia" w:hAnsiTheme="minorEastAsia" w:hint="eastAsia"/>
                <w:sz w:val="24"/>
              </w:rPr>
              <w:t>“</w:t>
            </w:r>
            <w:r>
              <w:rPr>
                <w:bCs/>
                <w:sz w:val="24"/>
              </w:rPr>
              <w:t>一、申购和赎回场所</w:t>
            </w:r>
          </w:p>
          <w:p w:rsidR="00D61EE0" w:rsidRPr="00D61EE0" w:rsidRDefault="00D61EE0" w:rsidP="00F51E3E">
            <w:pPr>
              <w:spacing w:line="360" w:lineRule="auto"/>
              <w:jc w:val="left"/>
              <w:rPr>
                <w:rFonts w:asciiTheme="minorEastAsia" w:hAnsiTheme="minorEastAsia"/>
                <w:sz w:val="24"/>
              </w:rPr>
            </w:pPr>
            <w:r w:rsidRPr="00D61EE0">
              <w:rPr>
                <w:rFonts w:asciiTheme="minorEastAsia" w:hAnsiTheme="minorEastAsia" w:hint="eastAsia"/>
                <w:sz w:val="24"/>
              </w:rPr>
              <w:t>本基金的申购与赎回将通过销售机构进行。具体的销售机构将由基金管理人在招募说明书或其他相关公示中列明。基金管理人可根据情况变更或增减</w:t>
            </w:r>
            <w:r w:rsidRPr="00D61EE0">
              <w:rPr>
                <w:rFonts w:asciiTheme="minorEastAsia" w:hAnsiTheme="minorEastAsia" w:hint="eastAsia"/>
                <w:sz w:val="24"/>
              </w:rPr>
              <w:lastRenderedPageBreak/>
              <w:t>销售机构，并在基金管理人网站公示。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r>
              <w:rPr>
                <w:rFonts w:asciiTheme="minorEastAsia" w:hAnsiTheme="minorEastAsia" w:hint="eastAsia"/>
                <w:sz w:val="24"/>
              </w:rPr>
              <w:t>”</w:t>
            </w:r>
          </w:p>
        </w:tc>
      </w:tr>
    </w:tbl>
    <w:p w:rsidR="00D61EE0" w:rsidRDefault="00D61EE0" w:rsidP="00D61EE0">
      <w:pPr>
        <w:widowControl/>
        <w:spacing w:line="360" w:lineRule="auto"/>
        <w:rPr>
          <w:rFonts w:ascii="宋体" w:hAnsi="宋体" w:cs="Calibri"/>
          <w:kern w:val="0"/>
          <w:sz w:val="24"/>
          <w:szCs w:val="28"/>
        </w:rPr>
      </w:pPr>
    </w:p>
    <w:p w:rsidR="00AA10B7" w:rsidRPr="00AA10B7" w:rsidRDefault="00D61EE0" w:rsidP="00DC63E9">
      <w:pPr>
        <w:widowControl/>
        <w:spacing w:line="360" w:lineRule="auto"/>
        <w:ind w:firstLineChars="200" w:firstLine="482"/>
        <w:rPr>
          <w:rFonts w:ascii="宋体" w:hAnsi="宋体" w:cs="Calibri"/>
          <w:b/>
          <w:bCs/>
          <w:kern w:val="0"/>
          <w:sz w:val="24"/>
          <w:szCs w:val="28"/>
        </w:rPr>
      </w:pPr>
      <w:r>
        <w:rPr>
          <w:rFonts w:ascii="宋体" w:hAnsi="宋体" w:cs="Calibri" w:hint="eastAsia"/>
          <w:b/>
          <w:bCs/>
          <w:kern w:val="0"/>
          <w:sz w:val="24"/>
          <w:szCs w:val="28"/>
        </w:rPr>
        <w:t>四</w:t>
      </w:r>
      <w:r w:rsidR="00AA10B7" w:rsidRPr="00AA10B7">
        <w:rPr>
          <w:rFonts w:ascii="宋体" w:hAnsi="宋体" w:cs="Calibri" w:hint="eastAsia"/>
          <w:b/>
          <w:bCs/>
          <w:kern w:val="0"/>
          <w:sz w:val="24"/>
          <w:szCs w:val="28"/>
        </w:rPr>
        <w:t>、重要提示</w:t>
      </w:r>
    </w:p>
    <w:p w:rsidR="0034162B" w:rsidRDefault="00AA10B7" w:rsidP="0034162B">
      <w:pPr>
        <w:widowControl/>
        <w:spacing w:line="360" w:lineRule="auto"/>
        <w:ind w:firstLineChars="200" w:firstLine="480"/>
        <w:rPr>
          <w:rFonts w:ascii="宋体" w:hAnsi="宋体" w:cs="Calibri"/>
          <w:kern w:val="0"/>
          <w:sz w:val="24"/>
          <w:szCs w:val="28"/>
        </w:rPr>
      </w:pPr>
      <w:r>
        <w:rPr>
          <w:rFonts w:ascii="宋体" w:hAnsi="宋体" w:cs="Calibri" w:hint="eastAsia"/>
          <w:kern w:val="0"/>
          <w:sz w:val="24"/>
          <w:szCs w:val="28"/>
        </w:rPr>
        <w:t>1、</w:t>
      </w:r>
      <w:r w:rsidR="007074B4">
        <w:rPr>
          <w:rFonts w:ascii="宋体" w:hAnsi="宋体" w:cs="Calibri" w:hint="eastAsia"/>
          <w:kern w:val="0"/>
          <w:sz w:val="24"/>
          <w:szCs w:val="28"/>
        </w:rPr>
        <w:t>本次</w:t>
      </w:r>
      <w:r w:rsidR="00A74C6F">
        <w:rPr>
          <w:rFonts w:ascii="宋体" w:hAnsi="宋体" w:cs="Calibri" w:hint="eastAsia"/>
          <w:kern w:val="0"/>
          <w:sz w:val="24"/>
          <w:szCs w:val="28"/>
        </w:rPr>
        <w:t>对上述基金</w:t>
      </w:r>
      <w:r w:rsidR="00D61EE0">
        <w:rPr>
          <w:rFonts w:ascii="宋体" w:hAnsi="宋体" w:cs="Calibri" w:hint="eastAsia"/>
          <w:kern w:val="0"/>
          <w:sz w:val="24"/>
          <w:szCs w:val="28"/>
        </w:rPr>
        <w:t>基金合同、</w:t>
      </w:r>
      <w:r w:rsidR="00A74C6F">
        <w:rPr>
          <w:rFonts w:ascii="宋体" w:hAnsi="宋体" w:cs="Calibri" w:hint="eastAsia"/>
          <w:kern w:val="0"/>
          <w:sz w:val="24"/>
          <w:szCs w:val="28"/>
        </w:rPr>
        <w:t>招募说明</w:t>
      </w:r>
      <w:r w:rsidR="00D61EE0">
        <w:rPr>
          <w:rFonts w:ascii="宋体" w:hAnsi="宋体" w:cs="Calibri" w:hint="eastAsia"/>
          <w:kern w:val="0"/>
          <w:sz w:val="24"/>
          <w:szCs w:val="28"/>
        </w:rPr>
        <w:t>书</w:t>
      </w:r>
      <w:r w:rsidR="00A74C6F">
        <w:rPr>
          <w:rFonts w:ascii="宋体" w:hAnsi="宋体" w:cs="Calibri" w:hint="eastAsia"/>
          <w:kern w:val="0"/>
          <w:sz w:val="24"/>
          <w:szCs w:val="28"/>
        </w:rPr>
        <w:t>的</w:t>
      </w:r>
      <w:r w:rsidR="007074B4">
        <w:rPr>
          <w:rFonts w:ascii="宋体" w:hAnsi="宋体" w:cs="Calibri" w:hint="eastAsia"/>
          <w:kern w:val="0"/>
          <w:sz w:val="24"/>
          <w:szCs w:val="28"/>
        </w:rPr>
        <w:t>修订</w:t>
      </w:r>
      <w:r w:rsidR="00772FB9" w:rsidRPr="00A0730D">
        <w:rPr>
          <w:rFonts w:ascii="宋体" w:hAnsi="宋体" w:cs="Calibri" w:hint="eastAsia"/>
          <w:kern w:val="0"/>
          <w:sz w:val="24"/>
          <w:szCs w:val="28"/>
        </w:rPr>
        <w:t>对基金份额持有人利益无实质性不利影响</w:t>
      </w:r>
      <w:r w:rsidR="00A0730D" w:rsidRPr="00A0730D">
        <w:rPr>
          <w:rFonts w:ascii="宋体" w:hAnsi="宋体" w:cs="Calibri" w:hint="eastAsia"/>
          <w:kern w:val="0"/>
          <w:sz w:val="24"/>
          <w:szCs w:val="28"/>
        </w:rPr>
        <w:t>，并已经</w:t>
      </w:r>
      <w:r w:rsidR="00772FB9" w:rsidRPr="00A0730D">
        <w:rPr>
          <w:rFonts w:ascii="宋体" w:hAnsi="宋体" w:cs="Calibri"/>
          <w:kern w:val="0"/>
          <w:sz w:val="24"/>
          <w:szCs w:val="28"/>
        </w:rPr>
        <w:t>履行了规定的程序，符合相关法律法规及</w:t>
      </w:r>
      <w:r w:rsidR="00853EB2">
        <w:rPr>
          <w:rFonts w:ascii="宋体" w:hAnsi="宋体" w:cs="Calibri" w:hint="eastAsia"/>
          <w:kern w:val="0"/>
          <w:sz w:val="24"/>
          <w:szCs w:val="28"/>
        </w:rPr>
        <w:t>上述基金</w:t>
      </w:r>
      <w:r w:rsidR="00772FB9" w:rsidRPr="00A0730D">
        <w:rPr>
          <w:rFonts w:ascii="宋体" w:hAnsi="宋体" w:cs="Calibri"/>
          <w:kern w:val="0"/>
          <w:sz w:val="24"/>
          <w:szCs w:val="28"/>
        </w:rPr>
        <w:t>基金合同的</w:t>
      </w:r>
      <w:r w:rsidR="007F3B9D">
        <w:rPr>
          <w:rFonts w:ascii="宋体" w:hAnsi="宋体" w:cs="Calibri" w:hint="eastAsia"/>
          <w:kern w:val="0"/>
          <w:sz w:val="24"/>
          <w:szCs w:val="28"/>
        </w:rPr>
        <w:t>约</w:t>
      </w:r>
      <w:r w:rsidR="00772FB9" w:rsidRPr="00A0730D">
        <w:rPr>
          <w:rFonts w:ascii="宋体" w:hAnsi="宋体" w:cs="Calibri"/>
          <w:kern w:val="0"/>
          <w:sz w:val="24"/>
          <w:szCs w:val="28"/>
        </w:rPr>
        <w:t>定</w:t>
      </w:r>
      <w:r w:rsidR="00A0730D" w:rsidRPr="00A0730D">
        <w:rPr>
          <w:rFonts w:ascii="宋体" w:hAnsi="宋体" w:cs="Calibri" w:hint="eastAsia"/>
          <w:kern w:val="0"/>
          <w:sz w:val="24"/>
          <w:szCs w:val="28"/>
        </w:rPr>
        <w:t>。</w:t>
      </w:r>
    </w:p>
    <w:p w:rsidR="00B35923" w:rsidRDefault="0034162B" w:rsidP="00B35923">
      <w:pPr>
        <w:widowControl/>
        <w:spacing w:line="360" w:lineRule="auto"/>
        <w:ind w:firstLineChars="200" w:firstLine="480"/>
        <w:rPr>
          <w:rFonts w:ascii="宋体" w:hAnsi="宋体" w:cs="Calibri"/>
          <w:kern w:val="0"/>
          <w:sz w:val="24"/>
          <w:szCs w:val="28"/>
        </w:rPr>
      </w:pPr>
      <w:r>
        <w:rPr>
          <w:rFonts w:ascii="宋体" w:hAnsi="宋体" w:cs="Calibri" w:hint="eastAsia"/>
          <w:kern w:val="0"/>
          <w:sz w:val="24"/>
          <w:szCs w:val="28"/>
        </w:rPr>
        <w:t>2、</w:t>
      </w:r>
      <w:r w:rsidRPr="00B24780">
        <w:rPr>
          <w:rFonts w:ascii="宋体" w:hAnsi="宋体" w:cs="Calibri" w:hint="eastAsia"/>
          <w:kern w:val="0"/>
          <w:sz w:val="24"/>
          <w:szCs w:val="28"/>
        </w:rPr>
        <w:t>根据</w:t>
      </w:r>
      <w:r w:rsidR="00A74C6F">
        <w:rPr>
          <w:rFonts w:ascii="宋体" w:hAnsi="宋体" w:cs="Calibri" w:hint="eastAsia"/>
          <w:kern w:val="0"/>
          <w:sz w:val="24"/>
          <w:szCs w:val="28"/>
        </w:rPr>
        <w:t>上述</w:t>
      </w:r>
      <w:r w:rsidRPr="00B24780">
        <w:rPr>
          <w:rFonts w:ascii="宋体" w:hAnsi="宋体" w:cs="Calibri" w:hint="eastAsia"/>
          <w:kern w:val="0"/>
          <w:sz w:val="24"/>
          <w:szCs w:val="28"/>
        </w:rPr>
        <w:t>基金</w:t>
      </w:r>
      <w:r>
        <w:rPr>
          <w:rFonts w:ascii="宋体" w:hAnsi="宋体" w:cs="Calibri" w:hint="eastAsia"/>
          <w:kern w:val="0"/>
          <w:sz w:val="24"/>
          <w:szCs w:val="28"/>
        </w:rPr>
        <w:t>的</w:t>
      </w:r>
      <w:r w:rsidR="00D61EE0">
        <w:rPr>
          <w:rFonts w:ascii="宋体" w:hAnsi="宋体" w:cs="Calibri" w:hint="eastAsia"/>
          <w:kern w:val="0"/>
          <w:sz w:val="24"/>
          <w:szCs w:val="28"/>
        </w:rPr>
        <w:t>基金合同、</w:t>
      </w:r>
      <w:r w:rsidRPr="00B24780">
        <w:rPr>
          <w:rFonts w:ascii="宋体" w:hAnsi="宋体" w:cs="Calibri" w:hint="eastAsia"/>
          <w:kern w:val="0"/>
          <w:sz w:val="24"/>
          <w:szCs w:val="28"/>
        </w:rPr>
        <w:t>招募说明书</w:t>
      </w:r>
      <w:r>
        <w:rPr>
          <w:rFonts w:ascii="宋体" w:hAnsi="宋体" w:cs="Calibri" w:hint="eastAsia"/>
          <w:kern w:val="0"/>
          <w:sz w:val="24"/>
          <w:szCs w:val="28"/>
        </w:rPr>
        <w:t>的</w:t>
      </w:r>
      <w:r w:rsidRPr="00B24780">
        <w:rPr>
          <w:rFonts w:ascii="宋体" w:hAnsi="宋体" w:cs="Calibri" w:hint="eastAsia"/>
          <w:kern w:val="0"/>
          <w:sz w:val="24"/>
          <w:szCs w:val="28"/>
        </w:rPr>
        <w:t>修订内容，本基金管理人将同时对</w:t>
      </w:r>
      <w:r w:rsidR="00A74C6F">
        <w:rPr>
          <w:rFonts w:ascii="宋体" w:hAnsi="宋体" w:cs="Calibri" w:hint="eastAsia"/>
          <w:kern w:val="0"/>
          <w:sz w:val="24"/>
          <w:szCs w:val="28"/>
        </w:rPr>
        <w:t>上述</w:t>
      </w:r>
      <w:r w:rsidRPr="00B24780">
        <w:rPr>
          <w:rFonts w:ascii="宋体" w:hAnsi="宋体" w:cs="Calibri" w:hint="eastAsia"/>
          <w:kern w:val="0"/>
          <w:sz w:val="24"/>
          <w:szCs w:val="28"/>
        </w:rPr>
        <w:t>基金的基金产品资料概要中的相关内容进行更新。</w:t>
      </w:r>
      <w:r w:rsidR="00A0730D" w:rsidRPr="00A0730D">
        <w:rPr>
          <w:rFonts w:ascii="宋体" w:hAnsi="宋体" w:cs="Calibri" w:hint="eastAsia"/>
          <w:kern w:val="0"/>
          <w:sz w:val="24"/>
          <w:szCs w:val="28"/>
        </w:rPr>
        <w:t>本次修订</w:t>
      </w:r>
      <w:r w:rsidR="00772FB9" w:rsidRPr="005F49BB">
        <w:rPr>
          <w:rFonts w:ascii="宋体" w:hAnsi="宋体" w:cs="Calibri" w:hint="eastAsia"/>
          <w:kern w:val="0"/>
          <w:sz w:val="24"/>
          <w:szCs w:val="28"/>
        </w:rPr>
        <w:t>自</w:t>
      </w:r>
      <w:r w:rsidR="00A74C6F">
        <w:rPr>
          <w:rFonts w:ascii="宋体" w:hAnsi="宋体" w:cs="Calibri" w:hint="eastAsia"/>
          <w:kern w:val="0"/>
          <w:sz w:val="24"/>
          <w:szCs w:val="28"/>
        </w:rPr>
        <w:t>2025</w:t>
      </w:r>
      <w:r w:rsidR="00DF2B10">
        <w:rPr>
          <w:rFonts w:ascii="宋体" w:hAnsi="宋体" w:cs="Calibri"/>
          <w:kern w:val="0"/>
          <w:sz w:val="24"/>
          <w:szCs w:val="28"/>
        </w:rPr>
        <w:t>年</w:t>
      </w:r>
      <w:r w:rsidR="00FA486C">
        <w:rPr>
          <w:rFonts w:ascii="宋体" w:hAnsi="宋体" w:cs="Calibri"/>
          <w:kern w:val="0"/>
          <w:sz w:val="24"/>
          <w:szCs w:val="28"/>
        </w:rPr>
        <w:t>4</w:t>
      </w:r>
      <w:r w:rsidR="00DF2B10">
        <w:rPr>
          <w:rFonts w:ascii="宋体" w:hAnsi="宋体" w:cs="Calibri"/>
          <w:kern w:val="0"/>
          <w:sz w:val="24"/>
          <w:szCs w:val="28"/>
        </w:rPr>
        <w:t>月</w:t>
      </w:r>
      <w:r w:rsidR="00FA486C">
        <w:rPr>
          <w:rFonts w:ascii="宋体" w:hAnsi="宋体" w:cs="Calibri"/>
          <w:kern w:val="0"/>
          <w:sz w:val="24"/>
          <w:szCs w:val="28"/>
        </w:rPr>
        <w:t>11</w:t>
      </w:r>
      <w:r w:rsidR="00772FB9" w:rsidRPr="005F49BB">
        <w:rPr>
          <w:rFonts w:ascii="宋体" w:hAnsi="宋体" w:cs="Calibri" w:hint="eastAsia"/>
          <w:kern w:val="0"/>
          <w:sz w:val="24"/>
          <w:szCs w:val="28"/>
        </w:rPr>
        <w:t>日起生效。</w:t>
      </w:r>
    </w:p>
    <w:p w:rsidR="000B038D" w:rsidRPr="00E04D51" w:rsidRDefault="0034162B" w:rsidP="00B35923">
      <w:pPr>
        <w:widowControl/>
        <w:spacing w:line="360" w:lineRule="auto"/>
        <w:ind w:firstLineChars="200" w:firstLine="480"/>
        <w:rPr>
          <w:rFonts w:ascii="宋体" w:hAnsi="宋体" w:cs="Calibri"/>
          <w:kern w:val="0"/>
          <w:sz w:val="24"/>
          <w:szCs w:val="28"/>
        </w:rPr>
      </w:pPr>
      <w:r>
        <w:rPr>
          <w:rFonts w:ascii="宋体" w:hAnsi="宋体" w:cs="Calibri"/>
          <w:kern w:val="0"/>
          <w:sz w:val="24"/>
          <w:szCs w:val="28"/>
        </w:rPr>
        <w:t>3</w:t>
      </w:r>
      <w:r w:rsidR="00EB48BA">
        <w:rPr>
          <w:rFonts w:ascii="宋体" w:hAnsi="宋体" w:cs="Calibri" w:hint="eastAsia"/>
          <w:kern w:val="0"/>
          <w:sz w:val="24"/>
          <w:szCs w:val="28"/>
        </w:rPr>
        <w:t>、</w:t>
      </w:r>
      <w:r w:rsidR="000B038D" w:rsidRPr="00E04D51">
        <w:rPr>
          <w:rFonts w:ascii="宋体" w:hAnsi="宋体" w:cs="Calibri" w:hint="eastAsia"/>
          <w:kern w:val="0"/>
          <w:sz w:val="24"/>
          <w:szCs w:val="28"/>
        </w:rPr>
        <w:t>本基金管理人可以在法律法规和基金合同规定范围内调整上述相关内容。投资者可登录本公司网站(www.99fund.com)查阅修订后的</w:t>
      </w:r>
      <w:r w:rsidR="00D61EE0">
        <w:rPr>
          <w:rFonts w:ascii="宋体" w:hAnsi="宋体" w:cs="Calibri" w:hint="eastAsia"/>
          <w:kern w:val="0"/>
          <w:sz w:val="24"/>
          <w:szCs w:val="28"/>
        </w:rPr>
        <w:t>基金合同、</w:t>
      </w:r>
      <w:r w:rsidR="00D71E40">
        <w:rPr>
          <w:rFonts w:ascii="宋体" w:hAnsi="宋体" w:cs="Calibri" w:hint="eastAsia"/>
          <w:kern w:val="0"/>
          <w:sz w:val="24"/>
          <w:szCs w:val="28"/>
        </w:rPr>
        <w:t>招募说明书</w:t>
      </w:r>
      <w:r w:rsidR="000B038D" w:rsidRPr="00E04D51">
        <w:rPr>
          <w:rFonts w:ascii="宋体" w:hAnsi="宋体" w:cs="Calibri" w:hint="eastAsia"/>
          <w:kern w:val="0"/>
          <w:sz w:val="24"/>
          <w:szCs w:val="28"/>
        </w:rPr>
        <w:t>全文或拨打本公司客户服务热线（400-888-9918）咨询相关信息。</w:t>
      </w:r>
    </w:p>
    <w:p w:rsidR="000B038D" w:rsidRPr="00E04D51" w:rsidRDefault="000B038D" w:rsidP="00DC63E9">
      <w:pPr>
        <w:spacing w:line="360" w:lineRule="auto"/>
        <w:ind w:firstLineChars="200" w:firstLine="480"/>
        <w:rPr>
          <w:rFonts w:ascii="宋体" w:hAnsi="宋体" w:cs="Calibri"/>
          <w:kern w:val="0"/>
          <w:sz w:val="24"/>
          <w:szCs w:val="28"/>
        </w:rPr>
      </w:pPr>
      <w:r w:rsidRPr="00E04D51">
        <w:rPr>
          <w:rFonts w:ascii="宋体" w:hAnsi="宋体" w:cs="Calibri" w:hint="eastAsia"/>
          <w:kern w:val="0"/>
          <w:sz w:val="24"/>
          <w:szCs w:val="28"/>
        </w:rPr>
        <w:t>特此公告。</w:t>
      </w:r>
    </w:p>
    <w:p w:rsidR="00726FFF" w:rsidRDefault="002724BD" w:rsidP="00E8103D">
      <w:pPr>
        <w:pStyle w:val="a3"/>
        <w:spacing w:line="360" w:lineRule="auto"/>
        <w:ind w:firstLineChars="1500" w:firstLine="3600"/>
        <w:jc w:val="right"/>
        <w:rPr>
          <w:rFonts w:hAnsi="宋体" w:cs="宋体"/>
          <w:sz w:val="24"/>
        </w:rPr>
      </w:pPr>
      <w:r w:rsidRPr="00CF46A6">
        <w:rPr>
          <w:rFonts w:ascii="宋体" w:hAnsi="宋体" w:hint="eastAsia"/>
          <w:sz w:val="24"/>
        </w:rPr>
        <w:t>汇添富基金管理股份有限公司</w:t>
      </w:r>
      <w:r w:rsidRPr="00E43EBD">
        <w:rPr>
          <w:rFonts w:hAnsi="宋体" w:cs="宋体" w:hint="eastAsia"/>
          <w:sz w:val="24"/>
        </w:rPr>
        <w:t xml:space="preserve">   </w:t>
      </w:r>
      <w:r w:rsidRPr="00E43EBD">
        <w:rPr>
          <w:rFonts w:hAnsi="宋体" w:cs="宋体"/>
          <w:sz w:val="24"/>
        </w:rPr>
        <w:t xml:space="preserve">             </w:t>
      </w:r>
      <w:r w:rsidR="00A0730D">
        <w:rPr>
          <w:rFonts w:hAnsi="宋体" w:cs="宋体"/>
          <w:sz w:val="24"/>
        </w:rPr>
        <w:t>202</w:t>
      </w:r>
      <w:r w:rsidR="00A74C6F">
        <w:rPr>
          <w:rFonts w:hAnsi="宋体" w:cs="宋体" w:hint="eastAsia"/>
          <w:sz w:val="24"/>
        </w:rPr>
        <w:t>5</w:t>
      </w:r>
      <w:r w:rsidR="000B038D">
        <w:rPr>
          <w:rFonts w:hAnsi="宋体" w:cs="宋体"/>
          <w:sz w:val="24"/>
        </w:rPr>
        <w:t>年</w:t>
      </w:r>
      <w:r w:rsidR="00FA486C">
        <w:rPr>
          <w:rFonts w:hAnsi="宋体" w:cs="宋体"/>
          <w:sz w:val="24"/>
        </w:rPr>
        <w:t>4</w:t>
      </w:r>
      <w:r w:rsidRPr="00E43EBD">
        <w:rPr>
          <w:rFonts w:hAnsi="宋体" w:cs="宋体"/>
          <w:sz w:val="24"/>
        </w:rPr>
        <w:t>月</w:t>
      </w:r>
      <w:r w:rsidR="00FA486C">
        <w:rPr>
          <w:rFonts w:hAnsi="宋体" w:cs="宋体"/>
          <w:sz w:val="24"/>
        </w:rPr>
        <w:t>10</w:t>
      </w:r>
      <w:r w:rsidRPr="00E43EBD">
        <w:rPr>
          <w:rFonts w:hAnsi="宋体" w:cs="宋体"/>
          <w:sz w:val="24"/>
        </w:rPr>
        <w:t>日</w:t>
      </w:r>
    </w:p>
    <w:p w:rsidR="00726FFF" w:rsidRDefault="00726FFF">
      <w:pPr>
        <w:widowControl/>
        <w:jc w:val="left"/>
        <w:rPr>
          <w:rFonts w:hAnsi="宋体" w:cs="宋体"/>
          <w:sz w:val="24"/>
        </w:rPr>
      </w:pPr>
    </w:p>
    <w:sectPr w:rsidR="00726FFF" w:rsidSect="004A7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D84" w:rsidRDefault="00715D84" w:rsidP="00AF06B3">
      <w:r>
        <w:separator/>
      </w:r>
    </w:p>
  </w:endnote>
  <w:endnote w:type="continuationSeparator" w:id="0">
    <w:p w:rsidR="00715D84" w:rsidRDefault="00715D84" w:rsidP="00AF0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D84" w:rsidRDefault="00715D84" w:rsidP="00AF06B3">
      <w:r>
        <w:separator/>
      </w:r>
    </w:p>
  </w:footnote>
  <w:footnote w:type="continuationSeparator" w:id="0">
    <w:p w:rsidR="00715D84" w:rsidRDefault="00715D84" w:rsidP="00AF0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D45D6"/>
    <w:multiLevelType w:val="hybridMultilevel"/>
    <w:tmpl w:val="A7980904"/>
    <w:lvl w:ilvl="0" w:tplc="0E484E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59850787"/>
    <w:multiLevelType w:val="hybridMultilevel"/>
    <w:tmpl w:val="78D63B6E"/>
    <w:lvl w:ilvl="0" w:tplc="2488E28A">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4BD"/>
    <w:rsid w:val="0000005A"/>
    <w:rsid w:val="00011A5B"/>
    <w:rsid w:val="00040DD5"/>
    <w:rsid w:val="0004453D"/>
    <w:rsid w:val="00050947"/>
    <w:rsid w:val="000574AF"/>
    <w:rsid w:val="00060143"/>
    <w:rsid w:val="00071DBC"/>
    <w:rsid w:val="0007293F"/>
    <w:rsid w:val="00075A31"/>
    <w:rsid w:val="00080602"/>
    <w:rsid w:val="00082B9A"/>
    <w:rsid w:val="00083515"/>
    <w:rsid w:val="00084990"/>
    <w:rsid w:val="0009095B"/>
    <w:rsid w:val="000A0D20"/>
    <w:rsid w:val="000A42A0"/>
    <w:rsid w:val="000B038D"/>
    <w:rsid w:val="000B26D2"/>
    <w:rsid w:val="000B4590"/>
    <w:rsid w:val="000C4616"/>
    <w:rsid w:val="000C7BC9"/>
    <w:rsid w:val="000D71F5"/>
    <w:rsid w:val="000E21BA"/>
    <w:rsid w:val="000E70F1"/>
    <w:rsid w:val="000F09AE"/>
    <w:rsid w:val="000F424E"/>
    <w:rsid w:val="000F72BC"/>
    <w:rsid w:val="00104D4E"/>
    <w:rsid w:val="00130FE2"/>
    <w:rsid w:val="001325F0"/>
    <w:rsid w:val="00136962"/>
    <w:rsid w:val="00154884"/>
    <w:rsid w:val="00175128"/>
    <w:rsid w:val="00195F92"/>
    <w:rsid w:val="00196078"/>
    <w:rsid w:val="001A1129"/>
    <w:rsid w:val="001B276A"/>
    <w:rsid w:val="001C1E40"/>
    <w:rsid w:val="001C244C"/>
    <w:rsid w:val="001D12D3"/>
    <w:rsid w:val="001D6A39"/>
    <w:rsid w:val="001F396F"/>
    <w:rsid w:val="001F7462"/>
    <w:rsid w:val="00204276"/>
    <w:rsid w:val="00213739"/>
    <w:rsid w:val="00213E92"/>
    <w:rsid w:val="00216204"/>
    <w:rsid w:val="00221950"/>
    <w:rsid w:val="0022206F"/>
    <w:rsid w:val="00230A3E"/>
    <w:rsid w:val="002351D4"/>
    <w:rsid w:val="002426AC"/>
    <w:rsid w:val="002479FD"/>
    <w:rsid w:val="00250962"/>
    <w:rsid w:val="0025350D"/>
    <w:rsid w:val="0026440C"/>
    <w:rsid w:val="002724BD"/>
    <w:rsid w:val="00282DF6"/>
    <w:rsid w:val="002836A2"/>
    <w:rsid w:val="00286B78"/>
    <w:rsid w:val="002A4B83"/>
    <w:rsid w:val="002B0DE1"/>
    <w:rsid w:val="002B2069"/>
    <w:rsid w:val="002B4035"/>
    <w:rsid w:val="002D1972"/>
    <w:rsid w:val="002E5FB0"/>
    <w:rsid w:val="002F3439"/>
    <w:rsid w:val="00307D04"/>
    <w:rsid w:val="003160FB"/>
    <w:rsid w:val="00316D60"/>
    <w:rsid w:val="00332014"/>
    <w:rsid w:val="0033528E"/>
    <w:rsid w:val="0034162B"/>
    <w:rsid w:val="003451BB"/>
    <w:rsid w:val="0036469A"/>
    <w:rsid w:val="00367BC2"/>
    <w:rsid w:val="0039047F"/>
    <w:rsid w:val="0039185E"/>
    <w:rsid w:val="003A0DC9"/>
    <w:rsid w:val="003A5BFA"/>
    <w:rsid w:val="003C2B1C"/>
    <w:rsid w:val="003C5A46"/>
    <w:rsid w:val="003C5F67"/>
    <w:rsid w:val="003D61A5"/>
    <w:rsid w:val="00411EFC"/>
    <w:rsid w:val="004152AB"/>
    <w:rsid w:val="004535CF"/>
    <w:rsid w:val="00462725"/>
    <w:rsid w:val="0047215B"/>
    <w:rsid w:val="00472769"/>
    <w:rsid w:val="0047301D"/>
    <w:rsid w:val="00476E09"/>
    <w:rsid w:val="00480D29"/>
    <w:rsid w:val="00484D16"/>
    <w:rsid w:val="0048694D"/>
    <w:rsid w:val="00487055"/>
    <w:rsid w:val="00496679"/>
    <w:rsid w:val="004A11D6"/>
    <w:rsid w:val="004A771D"/>
    <w:rsid w:val="004C5F0A"/>
    <w:rsid w:val="004D6A8A"/>
    <w:rsid w:val="004E7C9C"/>
    <w:rsid w:val="004F1535"/>
    <w:rsid w:val="004F445A"/>
    <w:rsid w:val="00504ECF"/>
    <w:rsid w:val="00513BDC"/>
    <w:rsid w:val="00523C37"/>
    <w:rsid w:val="00533C31"/>
    <w:rsid w:val="00534078"/>
    <w:rsid w:val="00541662"/>
    <w:rsid w:val="00550A9C"/>
    <w:rsid w:val="00575D99"/>
    <w:rsid w:val="0057705D"/>
    <w:rsid w:val="00577DE2"/>
    <w:rsid w:val="005877E9"/>
    <w:rsid w:val="005B2231"/>
    <w:rsid w:val="005B5EEE"/>
    <w:rsid w:val="005B66DA"/>
    <w:rsid w:val="005C1A51"/>
    <w:rsid w:val="005C483C"/>
    <w:rsid w:val="005D4118"/>
    <w:rsid w:val="005E6946"/>
    <w:rsid w:val="005F49BB"/>
    <w:rsid w:val="005F595E"/>
    <w:rsid w:val="00621BE8"/>
    <w:rsid w:val="006237FF"/>
    <w:rsid w:val="00635E4C"/>
    <w:rsid w:val="006404A3"/>
    <w:rsid w:val="006424A9"/>
    <w:rsid w:val="00651206"/>
    <w:rsid w:val="006520CA"/>
    <w:rsid w:val="00664288"/>
    <w:rsid w:val="006855EC"/>
    <w:rsid w:val="00686136"/>
    <w:rsid w:val="006B2612"/>
    <w:rsid w:val="006C7D0C"/>
    <w:rsid w:val="006E1AD0"/>
    <w:rsid w:val="006E6658"/>
    <w:rsid w:val="006F1FA0"/>
    <w:rsid w:val="006F3A64"/>
    <w:rsid w:val="00705B42"/>
    <w:rsid w:val="007074B4"/>
    <w:rsid w:val="0071138C"/>
    <w:rsid w:val="00715D84"/>
    <w:rsid w:val="007231C7"/>
    <w:rsid w:val="00726FFF"/>
    <w:rsid w:val="00730D05"/>
    <w:rsid w:val="0073496A"/>
    <w:rsid w:val="0074669B"/>
    <w:rsid w:val="00753B77"/>
    <w:rsid w:val="00757B0E"/>
    <w:rsid w:val="00760BD4"/>
    <w:rsid w:val="007648C6"/>
    <w:rsid w:val="007673EB"/>
    <w:rsid w:val="00772DD1"/>
    <w:rsid w:val="00772FB9"/>
    <w:rsid w:val="0077605D"/>
    <w:rsid w:val="00777829"/>
    <w:rsid w:val="00784A95"/>
    <w:rsid w:val="007907E4"/>
    <w:rsid w:val="007A14FD"/>
    <w:rsid w:val="007A43EC"/>
    <w:rsid w:val="007B1477"/>
    <w:rsid w:val="007B3A90"/>
    <w:rsid w:val="007B7D9F"/>
    <w:rsid w:val="007C6F4F"/>
    <w:rsid w:val="007D3FE0"/>
    <w:rsid w:val="007E49DB"/>
    <w:rsid w:val="007F371E"/>
    <w:rsid w:val="007F3B9D"/>
    <w:rsid w:val="007F7F62"/>
    <w:rsid w:val="0081099E"/>
    <w:rsid w:val="00816C89"/>
    <w:rsid w:val="00822B2A"/>
    <w:rsid w:val="00830854"/>
    <w:rsid w:val="00830C8F"/>
    <w:rsid w:val="00841358"/>
    <w:rsid w:val="00852AF9"/>
    <w:rsid w:val="00853EB2"/>
    <w:rsid w:val="008548EA"/>
    <w:rsid w:val="008602FD"/>
    <w:rsid w:val="00862B4D"/>
    <w:rsid w:val="0088011C"/>
    <w:rsid w:val="00885AD5"/>
    <w:rsid w:val="00887A6B"/>
    <w:rsid w:val="00887BDC"/>
    <w:rsid w:val="008A2111"/>
    <w:rsid w:val="008B3028"/>
    <w:rsid w:val="008B3DAB"/>
    <w:rsid w:val="008C4483"/>
    <w:rsid w:val="008D7FEF"/>
    <w:rsid w:val="008E5A92"/>
    <w:rsid w:val="008F6A90"/>
    <w:rsid w:val="00913823"/>
    <w:rsid w:val="00914A02"/>
    <w:rsid w:val="009262AF"/>
    <w:rsid w:val="00933633"/>
    <w:rsid w:val="00960090"/>
    <w:rsid w:val="00961E6F"/>
    <w:rsid w:val="009847A5"/>
    <w:rsid w:val="009849DF"/>
    <w:rsid w:val="009959D8"/>
    <w:rsid w:val="00996499"/>
    <w:rsid w:val="009A335A"/>
    <w:rsid w:val="009A4906"/>
    <w:rsid w:val="009B7EDF"/>
    <w:rsid w:val="009C4632"/>
    <w:rsid w:val="009C6F00"/>
    <w:rsid w:val="009C72EC"/>
    <w:rsid w:val="009D2AF5"/>
    <w:rsid w:val="009D54C4"/>
    <w:rsid w:val="009D54C7"/>
    <w:rsid w:val="00A0730D"/>
    <w:rsid w:val="00A135DD"/>
    <w:rsid w:val="00A16356"/>
    <w:rsid w:val="00A24E0E"/>
    <w:rsid w:val="00A27877"/>
    <w:rsid w:val="00A327A6"/>
    <w:rsid w:val="00A3280D"/>
    <w:rsid w:val="00A50E46"/>
    <w:rsid w:val="00A706BE"/>
    <w:rsid w:val="00A7223D"/>
    <w:rsid w:val="00A74C6F"/>
    <w:rsid w:val="00A76663"/>
    <w:rsid w:val="00A80F2F"/>
    <w:rsid w:val="00AA0989"/>
    <w:rsid w:val="00AA10B7"/>
    <w:rsid w:val="00AB1EAD"/>
    <w:rsid w:val="00AB32CE"/>
    <w:rsid w:val="00AC346C"/>
    <w:rsid w:val="00AC5B7B"/>
    <w:rsid w:val="00AD0310"/>
    <w:rsid w:val="00AD6974"/>
    <w:rsid w:val="00AD7AC5"/>
    <w:rsid w:val="00AE2914"/>
    <w:rsid w:val="00AE40F0"/>
    <w:rsid w:val="00AE453B"/>
    <w:rsid w:val="00AF0292"/>
    <w:rsid w:val="00AF06B3"/>
    <w:rsid w:val="00AF21C4"/>
    <w:rsid w:val="00B15FC2"/>
    <w:rsid w:val="00B1737B"/>
    <w:rsid w:val="00B35923"/>
    <w:rsid w:val="00B3706E"/>
    <w:rsid w:val="00B4019A"/>
    <w:rsid w:val="00B455B2"/>
    <w:rsid w:val="00B545E7"/>
    <w:rsid w:val="00B6123A"/>
    <w:rsid w:val="00B63EB8"/>
    <w:rsid w:val="00B76B74"/>
    <w:rsid w:val="00B80C57"/>
    <w:rsid w:val="00B8554E"/>
    <w:rsid w:val="00B85FFA"/>
    <w:rsid w:val="00B875C8"/>
    <w:rsid w:val="00B87668"/>
    <w:rsid w:val="00B90D62"/>
    <w:rsid w:val="00B93947"/>
    <w:rsid w:val="00B9585A"/>
    <w:rsid w:val="00BB2E42"/>
    <w:rsid w:val="00BC21D7"/>
    <w:rsid w:val="00BD0A9F"/>
    <w:rsid w:val="00BD5127"/>
    <w:rsid w:val="00BD5CE4"/>
    <w:rsid w:val="00BE5738"/>
    <w:rsid w:val="00C05754"/>
    <w:rsid w:val="00C05EDC"/>
    <w:rsid w:val="00C13A89"/>
    <w:rsid w:val="00C20815"/>
    <w:rsid w:val="00C235F9"/>
    <w:rsid w:val="00C53F35"/>
    <w:rsid w:val="00C60713"/>
    <w:rsid w:val="00C63313"/>
    <w:rsid w:val="00C66328"/>
    <w:rsid w:val="00C76395"/>
    <w:rsid w:val="00C80004"/>
    <w:rsid w:val="00C92569"/>
    <w:rsid w:val="00CA0394"/>
    <w:rsid w:val="00CB053F"/>
    <w:rsid w:val="00CB0D2F"/>
    <w:rsid w:val="00CC3D7E"/>
    <w:rsid w:val="00CD6689"/>
    <w:rsid w:val="00CD718A"/>
    <w:rsid w:val="00CE1E5C"/>
    <w:rsid w:val="00CE2E35"/>
    <w:rsid w:val="00D03D7A"/>
    <w:rsid w:val="00D23648"/>
    <w:rsid w:val="00D35FB3"/>
    <w:rsid w:val="00D41DBF"/>
    <w:rsid w:val="00D43073"/>
    <w:rsid w:val="00D56222"/>
    <w:rsid w:val="00D61EE0"/>
    <w:rsid w:val="00D63636"/>
    <w:rsid w:val="00D64162"/>
    <w:rsid w:val="00D7115C"/>
    <w:rsid w:val="00D71E40"/>
    <w:rsid w:val="00D80246"/>
    <w:rsid w:val="00D86191"/>
    <w:rsid w:val="00D92EE6"/>
    <w:rsid w:val="00DA522E"/>
    <w:rsid w:val="00DB432A"/>
    <w:rsid w:val="00DC2F82"/>
    <w:rsid w:val="00DC5437"/>
    <w:rsid w:val="00DC63E9"/>
    <w:rsid w:val="00DD1278"/>
    <w:rsid w:val="00DD3407"/>
    <w:rsid w:val="00DD47C0"/>
    <w:rsid w:val="00DF2B10"/>
    <w:rsid w:val="00E02C8B"/>
    <w:rsid w:val="00E03C22"/>
    <w:rsid w:val="00E13808"/>
    <w:rsid w:val="00E27C21"/>
    <w:rsid w:val="00E33F67"/>
    <w:rsid w:val="00E468BD"/>
    <w:rsid w:val="00E50370"/>
    <w:rsid w:val="00E54BCC"/>
    <w:rsid w:val="00E610DE"/>
    <w:rsid w:val="00E6713D"/>
    <w:rsid w:val="00E73392"/>
    <w:rsid w:val="00E8103D"/>
    <w:rsid w:val="00E8205F"/>
    <w:rsid w:val="00E8673C"/>
    <w:rsid w:val="00E9036D"/>
    <w:rsid w:val="00E912C8"/>
    <w:rsid w:val="00E93411"/>
    <w:rsid w:val="00EB0FC2"/>
    <w:rsid w:val="00EB48BA"/>
    <w:rsid w:val="00EB62EF"/>
    <w:rsid w:val="00EC40F5"/>
    <w:rsid w:val="00ED2E1B"/>
    <w:rsid w:val="00ED47B2"/>
    <w:rsid w:val="00ED76C8"/>
    <w:rsid w:val="00F0269B"/>
    <w:rsid w:val="00F03522"/>
    <w:rsid w:val="00F335D2"/>
    <w:rsid w:val="00F36F67"/>
    <w:rsid w:val="00F55252"/>
    <w:rsid w:val="00F6359D"/>
    <w:rsid w:val="00F65D13"/>
    <w:rsid w:val="00F66E6E"/>
    <w:rsid w:val="00F71BC4"/>
    <w:rsid w:val="00F76CEC"/>
    <w:rsid w:val="00F76F1D"/>
    <w:rsid w:val="00F937B1"/>
    <w:rsid w:val="00F94988"/>
    <w:rsid w:val="00FA486C"/>
    <w:rsid w:val="00FA510F"/>
    <w:rsid w:val="00FA6C88"/>
    <w:rsid w:val="00FC0354"/>
    <w:rsid w:val="00FD0482"/>
    <w:rsid w:val="00FD254A"/>
    <w:rsid w:val="00FE0300"/>
    <w:rsid w:val="00FE1113"/>
    <w:rsid w:val="00FE3C90"/>
    <w:rsid w:val="00FE46F2"/>
    <w:rsid w:val="00FF0B9C"/>
    <w:rsid w:val="00FF4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F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4BD"/>
    <w:pPr>
      <w:ind w:firstLineChars="200" w:firstLine="420"/>
    </w:pPr>
  </w:style>
  <w:style w:type="character" w:styleId="a4">
    <w:name w:val="annotation reference"/>
    <w:basedOn w:val="a0"/>
    <w:unhideWhenUsed/>
    <w:rsid w:val="002724BD"/>
    <w:rPr>
      <w:sz w:val="21"/>
      <w:szCs w:val="21"/>
    </w:rPr>
  </w:style>
  <w:style w:type="paragraph" w:styleId="a5">
    <w:name w:val="annotation text"/>
    <w:basedOn w:val="a"/>
    <w:link w:val="Char"/>
    <w:unhideWhenUsed/>
    <w:qFormat/>
    <w:rsid w:val="002724BD"/>
    <w:pPr>
      <w:jc w:val="left"/>
    </w:pPr>
  </w:style>
  <w:style w:type="character" w:customStyle="1" w:styleId="Char">
    <w:name w:val="批注文字 Char"/>
    <w:basedOn w:val="a0"/>
    <w:link w:val="a5"/>
    <w:rsid w:val="002724BD"/>
    <w:rPr>
      <w:rFonts w:ascii="Times New Roman" w:eastAsia="宋体" w:hAnsi="Times New Roman" w:cs="Times New Roman"/>
      <w:szCs w:val="24"/>
    </w:rPr>
  </w:style>
  <w:style w:type="paragraph" w:styleId="a6">
    <w:name w:val="Balloon Text"/>
    <w:basedOn w:val="a"/>
    <w:link w:val="Char0"/>
    <w:uiPriority w:val="99"/>
    <w:semiHidden/>
    <w:unhideWhenUsed/>
    <w:rsid w:val="002724BD"/>
    <w:rPr>
      <w:sz w:val="18"/>
      <w:szCs w:val="18"/>
    </w:rPr>
  </w:style>
  <w:style w:type="character" w:customStyle="1" w:styleId="Char0">
    <w:name w:val="批注框文本 Char"/>
    <w:basedOn w:val="a0"/>
    <w:link w:val="a6"/>
    <w:uiPriority w:val="99"/>
    <w:semiHidden/>
    <w:rsid w:val="002724BD"/>
    <w:rPr>
      <w:rFonts w:ascii="Times New Roman" w:eastAsia="宋体" w:hAnsi="Times New Roman" w:cs="Times New Roman"/>
      <w:sz w:val="18"/>
      <w:szCs w:val="18"/>
    </w:rPr>
  </w:style>
  <w:style w:type="paragraph" w:styleId="a7">
    <w:name w:val="header"/>
    <w:basedOn w:val="a"/>
    <w:link w:val="Char1"/>
    <w:uiPriority w:val="99"/>
    <w:unhideWhenUsed/>
    <w:rsid w:val="00AF06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AF06B3"/>
    <w:rPr>
      <w:rFonts w:ascii="Times New Roman" w:eastAsia="宋体" w:hAnsi="Times New Roman" w:cs="Times New Roman"/>
      <w:sz w:val="18"/>
      <w:szCs w:val="18"/>
    </w:rPr>
  </w:style>
  <w:style w:type="paragraph" w:styleId="a8">
    <w:name w:val="footer"/>
    <w:basedOn w:val="a"/>
    <w:link w:val="Char2"/>
    <w:uiPriority w:val="99"/>
    <w:unhideWhenUsed/>
    <w:rsid w:val="00AF06B3"/>
    <w:pPr>
      <w:tabs>
        <w:tab w:val="center" w:pos="4153"/>
        <w:tab w:val="right" w:pos="8306"/>
      </w:tabs>
      <w:snapToGrid w:val="0"/>
      <w:jc w:val="left"/>
    </w:pPr>
    <w:rPr>
      <w:sz w:val="18"/>
      <w:szCs w:val="18"/>
    </w:rPr>
  </w:style>
  <w:style w:type="character" w:customStyle="1" w:styleId="Char2">
    <w:name w:val="页脚 Char"/>
    <w:basedOn w:val="a0"/>
    <w:link w:val="a8"/>
    <w:uiPriority w:val="99"/>
    <w:rsid w:val="00AF06B3"/>
    <w:rPr>
      <w:rFonts w:ascii="Times New Roman" w:eastAsia="宋体" w:hAnsi="Times New Roman" w:cs="Times New Roman"/>
      <w:sz w:val="18"/>
      <w:szCs w:val="18"/>
    </w:rPr>
  </w:style>
  <w:style w:type="paragraph" w:styleId="a9">
    <w:name w:val="annotation subject"/>
    <w:basedOn w:val="a5"/>
    <w:next w:val="a5"/>
    <w:link w:val="Char3"/>
    <w:uiPriority w:val="99"/>
    <w:semiHidden/>
    <w:unhideWhenUsed/>
    <w:rsid w:val="00DB432A"/>
    <w:rPr>
      <w:b/>
      <w:bCs/>
    </w:rPr>
  </w:style>
  <w:style w:type="character" w:customStyle="1" w:styleId="Char3">
    <w:name w:val="批注主题 Char"/>
    <w:basedOn w:val="Char"/>
    <w:link w:val="a9"/>
    <w:uiPriority w:val="99"/>
    <w:semiHidden/>
    <w:rsid w:val="00DB432A"/>
    <w:rPr>
      <w:rFonts w:ascii="Times New Roman" w:eastAsia="宋体" w:hAnsi="Times New Roman" w:cs="Times New Roman"/>
      <w:b/>
      <w:bCs/>
      <w:szCs w:val="24"/>
    </w:rPr>
  </w:style>
  <w:style w:type="table" w:styleId="aa">
    <w:name w:val="Table Grid"/>
    <w:basedOn w:val="a1"/>
    <w:uiPriority w:val="59"/>
    <w:rsid w:val="005D4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49BB"/>
    <w:pPr>
      <w:widowControl w:val="0"/>
      <w:autoSpaceDE w:val="0"/>
      <w:autoSpaceDN w:val="0"/>
      <w:adjustRightInd w:val="0"/>
    </w:pPr>
    <w:rPr>
      <w:rFonts w:ascii="Calibri" w:hAnsi="Calibri" w:cs="Calibri"/>
      <w:color w:val="000000"/>
      <w:kern w:val="0"/>
      <w:sz w:val="24"/>
      <w:szCs w:val="24"/>
    </w:rPr>
  </w:style>
  <w:style w:type="paragraph" w:styleId="ab">
    <w:name w:val="Revision"/>
    <w:hidden/>
    <w:uiPriority w:val="99"/>
    <w:semiHidden/>
    <w:rsid w:val="0008060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41938063">
      <w:bodyDiv w:val="1"/>
      <w:marLeft w:val="0"/>
      <w:marRight w:val="0"/>
      <w:marTop w:val="0"/>
      <w:marBottom w:val="0"/>
      <w:divBdr>
        <w:top w:val="none" w:sz="0" w:space="0" w:color="auto"/>
        <w:left w:val="none" w:sz="0" w:space="0" w:color="auto"/>
        <w:bottom w:val="none" w:sz="0" w:space="0" w:color="auto"/>
        <w:right w:val="none" w:sz="0" w:space="0" w:color="auto"/>
      </w:divBdr>
    </w:div>
    <w:div w:id="20044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5AB8-6D99-4372-BB62-3C367BD4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1466</Characters>
  <Application>Microsoft Office Word</Application>
  <DocSecurity>4</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刘净姿</dc:creator>
  <cp:keywords/>
  <dc:description/>
  <cp:lastModifiedBy>ZHONGM</cp:lastModifiedBy>
  <cp:revision>2</cp:revision>
  <dcterms:created xsi:type="dcterms:W3CDTF">2025-04-09T16:01:00Z</dcterms:created>
  <dcterms:modified xsi:type="dcterms:W3CDTF">2025-04-09T16:01:00Z</dcterms:modified>
</cp:coreProperties>
</file>