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D8" w:rsidRDefault="002634D8"/>
    <w:p w:rsidR="002634D8" w:rsidRDefault="008539F3">
      <w:pPr>
        <w:jc w:val="center"/>
        <w:rPr>
          <w:rFonts w:ascii="宋体" w:eastAsia="宋体" w:hAnsi="宋体"/>
          <w:b/>
          <w:sz w:val="28"/>
        </w:rPr>
      </w:pPr>
      <w:r>
        <w:rPr>
          <w:rFonts w:ascii="宋体" w:eastAsia="宋体" w:hAnsi="宋体" w:hint="eastAsia"/>
          <w:b/>
          <w:sz w:val="28"/>
        </w:rPr>
        <w:t>博时智选量化多因子股票型证券投资基金分红公告</w:t>
      </w:r>
    </w:p>
    <w:p w:rsidR="002634D8" w:rsidRDefault="008539F3">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4</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2634D8" w:rsidRDefault="002634D8">
      <w:pPr>
        <w:jc w:val="center"/>
        <w:rPr>
          <w:rFonts w:ascii="宋体" w:eastAsia="宋体" w:hAnsi="宋体"/>
          <w:b/>
          <w:sz w:val="24"/>
        </w:rPr>
      </w:pPr>
      <w:bookmarkStart w:id="0" w:name="_GoBack"/>
      <w:bookmarkEnd w:id="0"/>
    </w:p>
    <w:p w:rsidR="002634D8" w:rsidRDefault="008539F3">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基金名称</w:t>
            </w:r>
          </w:p>
        </w:tc>
        <w:tc>
          <w:tcPr>
            <w:tcW w:w="5682" w:type="dxa"/>
            <w:gridSpan w:val="2"/>
            <w:vAlign w:val="center"/>
          </w:tcPr>
          <w:p w:rsidR="002634D8" w:rsidRDefault="008539F3">
            <w:pPr>
              <w:rPr>
                <w:rFonts w:ascii="宋体" w:eastAsia="宋体" w:hAnsi="宋体"/>
              </w:rPr>
            </w:pPr>
            <w:r>
              <w:rPr>
                <w:rFonts w:ascii="宋体" w:eastAsia="宋体" w:hAnsi="宋体" w:hint="eastAsia"/>
              </w:rPr>
              <w:t>博时智选量化多因子股票型证券投资基金</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基金简称</w:t>
            </w:r>
          </w:p>
        </w:tc>
        <w:tc>
          <w:tcPr>
            <w:tcW w:w="5682" w:type="dxa"/>
            <w:gridSpan w:val="2"/>
            <w:vAlign w:val="center"/>
          </w:tcPr>
          <w:p w:rsidR="002634D8" w:rsidRDefault="008539F3">
            <w:pPr>
              <w:rPr>
                <w:rFonts w:ascii="宋体" w:eastAsia="宋体" w:hAnsi="宋体"/>
              </w:rPr>
            </w:pPr>
            <w:r>
              <w:rPr>
                <w:rFonts w:ascii="宋体" w:eastAsia="宋体" w:hAnsi="宋体" w:hint="eastAsia"/>
              </w:rPr>
              <w:t>博时智选量化多因子股票</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基金主代码</w:t>
            </w:r>
          </w:p>
        </w:tc>
        <w:tc>
          <w:tcPr>
            <w:tcW w:w="5682" w:type="dxa"/>
            <w:gridSpan w:val="2"/>
            <w:vAlign w:val="center"/>
          </w:tcPr>
          <w:p w:rsidR="002634D8" w:rsidRDefault="008539F3">
            <w:pPr>
              <w:rPr>
                <w:rFonts w:ascii="宋体" w:eastAsia="宋体" w:hAnsi="宋体"/>
              </w:rPr>
            </w:pPr>
            <w:r>
              <w:rPr>
                <w:rFonts w:ascii="宋体" w:eastAsia="宋体" w:hAnsi="宋体"/>
              </w:rPr>
              <w:t>013465</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基金合同生效日</w:t>
            </w:r>
          </w:p>
        </w:tc>
        <w:tc>
          <w:tcPr>
            <w:tcW w:w="5682" w:type="dxa"/>
            <w:gridSpan w:val="2"/>
            <w:vAlign w:val="center"/>
          </w:tcPr>
          <w:p w:rsidR="002634D8" w:rsidRDefault="008539F3">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w:t>
            </w:r>
            <w:r>
              <w:rPr>
                <w:rFonts w:ascii="宋体" w:eastAsia="宋体" w:hAnsi="宋体"/>
              </w:rPr>
              <w:t>日</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基金管理人名称</w:t>
            </w:r>
          </w:p>
        </w:tc>
        <w:tc>
          <w:tcPr>
            <w:tcW w:w="5682" w:type="dxa"/>
            <w:gridSpan w:val="2"/>
            <w:vAlign w:val="center"/>
          </w:tcPr>
          <w:p w:rsidR="002634D8" w:rsidRDefault="008539F3">
            <w:pPr>
              <w:rPr>
                <w:rFonts w:ascii="宋体" w:eastAsia="宋体" w:hAnsi="宋体"/>
              </w:rPr>
            </w:pPr>
            <w:r>
              <w:rPr>
                <w:rFonts w:ascii="宋体" w:eastAsia="宋体" w:hAnsi="宋体" w:hint="eastAsia"/>
              </w:rPr>
              <w:t>博时基金管理有限公司</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基金托管人名称</w:t>
            </w:r>
          </w:p>
        </w:tc>
        <w:tc>
          <w:tcPr>
            <w:tcW w:w="5682" w:type="dxa"/>
            <w:gridSpan w:val="2"/>
            <w:vAlign w:val="center"/>
          </w:tcPr>
          <w:p w:rsidR="002634D8" w:rsidRDefault="008539F3">
            <w:pPr>
              <w:rPr>
                <w:rFonts w:ascii="宋体" w:eastAsia="宋体" w:hAnsi="宋体"/>
              </w:rPr>
            </w:pPr>
            <w:r>
              <w:rPr>
                <w:rFonts w:ascii="宋体" w:eastAsia="宋体" w:hAnsi="宋体" w:hint="eastAsia"/>
              </w:rPr>
              <w:t>浙商银行股份有限公司</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公告依据</w:t>
            </w:r>
          </w:p>
        </w:tc>
        <w:tc>
          <w:tcPr>
            <w:tcW w:w="5682" w:type="dxa"/>
            <w:gridSpan w:val="2"/>
            <w:vAlign w:val="center"/>
          </w:tcPr>
          <w:p w:rsidR="002634D8" w:rsidRDefault="008539F3">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收益分配基准日</w:t>
            </w:r>
          </w:p>
        </w:tc>
        <w:tc>
          <w:tcPr>
            <w:tcW w:w="5682" w:type="dxa"/>
            <w:gridSpan w:val="2"/>
            <w:vAlign w:val="center"/>
          </w:tcPr>
          <w:p w:rsidR="002634D8" w:rsidRDefault="008539F3">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w:t>
            </w:r>
            <w:r>
              <w:rPr>
                <w:rFonts w:ascii="宋体" w:eastAsia="宋体" w:hAnsi="宋体"/>
              </w:rPr>
              <w:t>日</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下属基金份额的基金简称</w:t>
            </w:r>
          </w:p>
        </w:tc>
        <w:tc>
          <w:tcPr>
            <w:tcW w:w="2841" w:type="dxa"/>
            <w:vAlign w:val="center"/>
          </w:tcPr>
          <w:p w:rsidR="002634D8" w:rsidRDefault="008539F3">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2634D8" w:rsidRDefault="008539F3">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下属基金份额的交易代码</w:t>
            </w:r>
          </w:p>
        </w:tc>
        <w:tc>
          <w:tcPr>
            <w:tcW w:w="2841" w:type="dxa"/>
            <w:vAlign w:val="center"/>
          </w:tcPr>
          <w:p w:rsidR="002634D8" w:rsidRDefault="008539F3">
            <w:pPr>
              <w:rPr>
                <w:rFonts w:ascii="宋体" w:eastAsia="宋体" w:hAnsi="宋体"/>
              </w:rPr>
            </w:pPr>
            <w:r>
              <w:rPr>
                <w:rFonts w:ascii="宋体" w:eastAsia="宋体" w:hAnsi="宋体"/>
              </w:rPr>
              <w:t>013465</w:t>
            </w:r>
          </w:p>
        </w:tc>
        <w:tc>
          <w:tcPr>
            <w:tcW w:w="2841" w:type="dxa"/>
            <w:vAlign w:val="center"/>
          </w:tcPr>
          <w:p w:rsidR="002634D8" w:rsidRDefault="008539F3">
            <w:pPr>
              <w:rPr>
                <w:rFonts w:ascii="宋体" w:eastAsia="宋体" w:hAnsi="宋体"/>
              </w:rPr>
            </w:pPr>
            <w:r>
              <w:rPr>
                <w:rFonts w:ascii="宋体" w:eastAsia="宋体" w:hAnsi="宋体"/>
              </w:rPr>
              <w:t>013466</w:t>
            </w:r>
          </w:p>
        </w:tc>
      </w:tr>
      <w:tr w:rsidR="002634D8">
        <w:tc>
          <w:tcPr>
            <w:tcW w:w="1420" w:type="dxa"/>
            <w:vMerge w:val="restart"/>
            <w:vAlign w:val="center"/>
          </w:tcPr>
          <w:p w:rsidR="002634D8" w:rsidRDefault="008539F3">
            <w:pPr>
              <w:rPr>
                <w:rFonts w:ascii="宋体" w:eastAsia="宋体" w:hAnsi="宋体"/>
              </w:rPr>
            </w:pPr>
            <w:r>
              <w:rPr>
                <w:rFonts w:ascii="宋体" w:eastAsia="宋体" w:hAnsi="宋体" w:hint="eastAsia"/>
              </w:rPr>
              <w:t>截止基准日下属基金份额的相关指标</w:t>
            </w:r>
          </w:p>
        </w:tc>
        <w:tc>
          <w:tcPr>
            <w:tcW w:w="1420" w:type="dxa"/>
            <w:vAlign w:val="center"/>
          </w:tcPr>
          <w:p w:rsidR="002634D8" w:rsidRDefault="008539F3">
            <w:pPr>
              <w:rPr>
                <w:rFonts w:ascii="宋体" w:eastAsia="宋体" w:hAnsi="宋体"/>
              </w:rPr>
            </w:pPr>
            <w:r>
              <w:rPr>
                <w:rFonts w:ascii="宋体" w:eastAsia="宋体" w:hAnsi="宋体" w:hint="eastAsia"/>
              </w:rPr>
              <w:t>基准日下属基金份额净值（单位：元）</w:t>
            </w:r>
          </w:p>
        </w:tc>
        <w:tc>
          <w:tcPr>
            <w:tcW w:w="2841" w:type="dxa"/>
            <w:vAlign w:val="center"/>
          </w:tcPr>
          <w:p w:rsidR="002634D8" w:rsidRDefault="008539F3">
            <w:pPr>
              <w:rPr>
                <w:rFonts w:ascii="宋体" w:eastAsia="宋体" w:hAnsi="宋体"/>
              </w:rPr>
            </w:pPr>
            <w:r>
              <w:rPr>
                <w:rFonts w:ascii="宋体" w:eastAsia="宋体" w:hAnsi="宋体"/>
              </w:rPr>
              <w:t>1.1484</w:t>
            </w:r>
          </w:p>
        </w:tc>
        <w:tc>
          <w:tcPr>
            <w:tcW w:w="2841" w:type="dxa"/>
            <w:vAlign w:val="center"/>
          </w:tcPr>
          <w:p w:rsidR="002634D8" w:rsidRDefault="008539F3">
            <w:pPr>
              <w:rPr>
                <w:rFonts w:ascii="宋体" w:eastAsia="宋体" w:hAnsi="宋体"/>
              </w:rPr>
            </w:pPr>
            <w:r>
              <w:rPr>
                <w:rFonts w:ascii="宋体" w:eastAsia="宋体" w:hAnsi="宋体"/>
              </w:rPr>
              <w:t>1.1452</w:t>
            </w:r>
          </w:p>
        </w:tc>
      </w:tr>
      <w:tr w:rsidR="002634D8">
        <w:tc>
          <w:tcPr>
            <w:tcW w:w="1420" w:type="dxa"/>
            <w:vMerge/>
            <w:vAlign w:val="center"/>
          </w:tcPr>
          <w:p w:rsidR="002634D8" w:rsidRDefault="002634D8"/>
        </w:tc>
        <w:tc>
          <w:tcPr>
            <w:tcW w:w="1420" w:type="dxa"/>
            <w:vAlign w:val="center"/>
          </w:tcPr>
          <w:p w:rsidR="002634D8" w:rsidRDefault="008539F3">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2634D8" w:rsidRDefault="008539F3">
            <w:pPr>
              <w:rPr>
                <w:rFonts w:ascii="宋体" w:eastAsia="宋体" w:hAnsi="宋体"/>
              </w:rPr>
            </w:pPr>
            <w:r>
              <w:rPr>
                <w:rFonts w:ascii="宋体" w:eastAsia="宋体" w:hAnsi="宋体"/>
              </w:rPr>
              <w:t>3,509,954.09</w:t>
            </w:r>
          </w:p>
        </w:tc>
        <w:tc>
          <w:tcPr>
            <w:tcW w:w="2841" w:type="dxa"/>
            <w:vAlign w:val="center"/>
          </w:tcPr>
          <w:p w:rsidR="002634D8" w:rsidRDefault="008539F3">
            <w:pPr>
              <w:rPr>
                <w:rFonts w:ascii="宋体" w:eastAsia="宋体" w:hAnsi="宋体"/>
              </w:rPr>
            </w:pPr>
            <w:r>
              <w:rPr>
                <w:rFonts w:ascii="宋体" w:eastAsia="宋体" w:hAnsi="宋体"/>
              </w:rPr>
              <w:t>17,590,016.94</w:t>
            </w:r>
          </w:p>
        </w:tc>
      </w:tr>
      <w:tr w:rsidR="002634D8">
        <w:tc>
          <w:tcPr>
            <w:tcW w:w="1420" w:type="dxa"/>
            <w:vMerge/>
            <w:vAlign w:val="center"/>
          </w:tcPr>
          <w:p w:rsidR="002634D8" w:rsidRDefault="002634D8"/>
        </w:tc>
        <w:tc>
          <w:tcPr>
            <w:tcW w:w="1420" w:type="dxa"/>
            <w:vAlign w:val="center"/>
          </w:tcPr>
          <w:p w:rsidR="002634D8" w:rsidRDefault="008539F3">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2634D8" w:rsidRDefault="008539F3">
            <w:pPr>
              <w:rPr>
                <w:rFonts w:ascii="宋体" w:eastAsia="宋体" w:hAnsi="宋体"/>
              </w:rPr>
            </w:pPr>
            <w:r>
              <w:rPr>
                <w:rFonts w:ascii="宋体" w:eastAsia="宋体" w:hAnsi="宋体"/>
              </w:rPr>
              <w:t>-</w:t>
            </w:r>
          </w:p>
        </w:tc>
        <w:tc>
          <w:tcPr>
            <w:tcW w:w="2841" w:type="dxa"/>
            <w:vAlign w:val="center"/>
          </w:tcPr>
          <w:p w:rsidR="002634D8" w:rsidRDefault="008539F3">
            <w:pPr>
              <w:rPr>
                <w:rFonts w:ascii="宋体" w:eastAsia="宋体" w:hAnsi="宋体"/>
              </w:rPr>
            </w:pPr>
            <w:r>
              <w:rPr>
                <w:rFonts w:ascii="宋体" w:eastAsia="宋体" w:hAnsi="宋体"/>
              </w:rPr>
              <w:t>-</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2634D8" w:rsidRDefault="008539F3">
            <w:pPr>
              <w:rPr>
                <w:rFonts w:ascii="宋体" w:eastAsia="宋体" w:hAnsi="宋体"/>
              </w:rPr>
            </w:pPr>
            <w:r>
              <w:rPr>
                <w:rFonts w:ascii="宋体" w:eastAsia="宋体" w:hAnsi="宋体"/>
              </w:rPr>
              <w:t>0.2410</w:t>
            </w:r>
          </w:p>
        </w:tc>
        <w:tc>
          <w:tcPr>
            <w:tcW w:w="2841" w:type="dxa"/>
            <w:vAlign w:val="center"/>
          </w:tcPr>
          <w:p w:rsidR="002634D8" w:rsidRDefault="008539F3">
            <w:pPr>
              <w:rPr>
                <w:rFonts w:ascii="宋体" w:eastAsia="宋体" w:hAnsi="宋体"/>
              </w:rPr>
            </w:pPr>
            <w:r>
              <w:rPr>
                <w:rFonts w:ascii="宋体" w:eastAsia="宋体" w:hAnsi="宋体"/>
              </w:rPr>
              <w:t>0.2360</w:t>
            </w:r>
          </w:p>
        </w:tc>
      </w:tr>
      <w:tr w:rsidR="002634D8">
        <w:tc>
          <w:tcPr>
            <w:tcW w:w="2840" w:type="dxa"/>
            <w:gridSpan w:val="2"/>
            <w:vAlign w:val="center"/>
          </w:tcPr>
          <w:p w:rsidR="002634D8" w:rsidRDefault="008539F3">
            <w:pPr>
              <w:rPr>
                <w:rFonts w:ascii="宋体" w:eastAsia="宋体" w:hAnsi="宋体"/>
              </w:rPr>
            </w:pPr>
            <w:r>
              <w:rPr>
                <w:rFonts w:ascii="宋体" w:eastAsia="宋体" w:hAnsi="宋体" w:hint="eastAsia"/>
              </w:rPr>
              <w:t>有关年度分红次数的说明</w:t>
            </w:r>
          </w:p>
        </w:tc>
        <w:tc>
          <w:tcPr>
            <w:tcW w:w="5682" w:type="dxa"/>
            <w:gridSpan w:val="2"/>
            <w:vAlign w:val="center"/>
          </w:tcPr>
          <w:p w:rsidR="002634D8" w:rsidRDefault="008539F3">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3</w:t>
            </w:r>
            <w:r>
              <w:rPr>
                <w:rFonts w:ascii="宋体" w:eastAsia="宋体" w:hAnsi="宋体"/>
              </w:rPr>
              <w:t>次分红</w:t>
            </w:r>
          </w:p>
        </w:tc>
      </w:tr>
    </w:tbl>
    <w:p w:rsidR="002634D8" w:rsidRDefault="002634D8"/>
    <w:p w:rsidR="002634D8" w:rsidRDefault="008539F3">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0.2410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0.2360</w:t>
      </w:r>
      <w:r>
        <w:rPr>
          <w:rFonts w:hint="eastAsia"/>
          <w:sz w:val="21"/>
          <w:szCs w:val="21"/>
        </w:rPr>
        <w:t>元人民币。</w:t>
      </w:r>
      <w:r>
        <w:rPr>
          <w:rFonts w:hint="eastAsia"/>
          <w:sz w:val="21"/>
          <w:szCs w:val="21"/>
        </w:rPr>
        <w:t> </w:t>
      </w:r>
    </w:p>
    <w:p w:rsidR="002634D8" w:rsidRDefault="008539F3">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2634D8">
        <w:tc>
          <w:tcPr>
            <w:tcW w:w="2840" w:type="dxa"/>
            <w:vAlign w:val="center"/>
          </w:tcPr>
          <w:p w:rsidR="002634D8" w:rsidRDefault="008539F3">
            <w:pPr>
              <w:rPr>
                <w:rFonts w:ascii="宋体" w:eastAsia="宋体" w:hAnsi="宋体"/>
              </w:rPr>
            </w:pPr>
            <w:r>
              <w:rPr>
                <w:rFonts w:ascii="宋体" w:eastAsia="宋体" w:hAnsi="宋体" w:hint="eastAsia"/>
              </w:rPr>
              <w:t>权益登记日</w:t>
            </w:r>
          </w:p>
        </w:tc>
        <w:tc>
          <w:tcPr>
            <w:tcW w:w="5682" w:type="dxa"/>
            <w:vAlign w:val="center"/>
          </w:tcPr>
          <w:p w:rsidR="002634D8" w:rsidRDefault="008539F3">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14</w:t>
            </w:r>
            <w:r>
              <w:rPr>
                <w:rFonts w:ascii="宋体" w:eastAsia="宋体" w:hAnsi="宋体"/>
              </w:rPr>
              <w:t>日</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除息日</w:t>
            </w:r>
          </w:p>
        </w:tc>
        <w:tc>
          <w:tcPr>
            <w:tcW w:w="5682" w:type="dxa"/>
            <w:vAlign w:val="center"/>
          </w:tcPr>
          <w:p w:rsidR="002634D8" w:rsidRDefault="008539F3">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14</w:t>
            </w:r>
            <w:r>
              <w:rPr>
                <w:rFonts w:ascii="宋体" w:eastAsia="宋体" w:hAnsi="宋体"/>
              </w:rPr>
              <w:t>日</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现金红利发放日</w:t>
            </w:r>
          </w:p>
        </w:tc>
        <w:tc>
          <w:tcPr>
            <w:tcW w:w="5682" w:type="dxa"/>
            <w:vAlign w:val="center"/>
          </w:tcPr>
          <w:p w:rsidR="002634D8" w:rsidRDefault="008539F3">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16</w:t>
            </w:r>
            <w:r>
              <w:rPr>
                <w:rFonts w:ascii="宋体" w:eastAsia="宋体" w:hAnsi="宋体"/>
              </w:rPr>
              <w:t>日</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分红对象</w:t>
            </w:r>
          </w:p>
        </w:tc>
        <w:tc>
          <w:tcPr>
            <w:tcW w:w="5682" w:type="dxa"/>
            <w:vAlign w:val="center"/>
          </w:tcPr>
          <w:p w:rsidR="002634D8" w:rsidRDefault="008539F3">
            <w:pPr>
              <w:rPr>
                <w:rFonts w:ascii="宋体" w:eastAsia="宋体" w:hAnsi="宋体"/>
              </w:rPr>
            </w:pPr>
            <w:r>
              <w:rPr>
                <w:rFonts w:ascii="宋体" w:eastAsia="宋体" w:hAnsi="宋体" w:hint="eastAsia"/>
              </w:rPr>
              <w:t>权益登记日登记在册的本基金份额持有人</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红利再投资相关事项的说明</w:t>
            </w:r>
          </w:p>
        </w:tc>
        <w:tc>
          <w:tcPr>
            <w:tcW w:w="5682" w:type="dxa"/>
            <w:vAlign w:val="center"/>
          </w:tcPr>
          <w:p w:rsidR="002634D8" w:rsidRDefault="008539F3">
            <w:pPr>
              <w:rPr>
                <w:rFonts w:ascii="宋体" w:eastAsia="宋体" w:hAnsi="宋体"/>
              </w:rPr>
            </w:pPr>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14</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15</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4</w:t>
            </w:r>
            <w:r>
              <w:rPr>
                <w:rFonts w:ascii="宋体" w:eastAsia="宋体" w:hAnsi="宋体"/>
              </w:rPr>
              <w:t>月</w:t>
            </w:r>
            <w:r>
              <w:rPr>
                <w:rFonts w:ascii="宋体" w:eastAsia="宋体" w:hAnsi="宋体"/>
              </w:rPr>
              <w:t>16</w:t>
            </w:r>
            <w:r>
              <w:rPr>
                <w:rFonts w:ascii="宋体" w:eastAsia="宋体" w:hAnsi="宋体"/>
              </w:rPr>
              <w:t>日起投资者可以查询、赎回。</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税收相关事项的说明</w:t>
            </w:r>
          </w:p>
        </w:tc>
        <w:tc>
          <w:tcPr>
            <w:tcW w:w="5682" w:type="dxa"/>
            <w:vAlign w:val="center"/>
          </w:tcPr>
          <w:p w:rsidR="002634D8" w:rsidRDefault="008539F3">
            <w:pPr>
              <w:rPr>
                <w:rFonts w:ascii="宋体" w:eastAsia="宋体" w:hAnsi="宋体"/>
              </w:rPr>
            </w:pPr>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2634D8">
        <w:tc>
          <w:tcPr>
            <w:tcW w:w="2840" w:type="dxa"/>
            <w:vAlign w:val="center"/>
          </w:tcPr>
          <w:p w:rsidR="002634D8" w:rsidRDefault="008539F3">
            <w:pPr>
              <w:rPr>
                <w:rFonts w:ascii="宋体" w:eastAsia="宋体" w:hAnsi="宋体"/>
              </w:rPr>
            </w:pPr>
            <w:r>
              <w:rPr>
                <w:rFonts w:ascii="宋体" w:eastAsia="宋体" w:hAnsi="宋体" w:hint="eastAsia"/>
              </w:rPr>
              <w:t>费用相关事项的说明</w:t>
            </w:r>
          </w:p>
        </w:tc>
        <w:tc>
          <w:tcPr>
            <w:tcW w:w="5682" w:type="dxa"/>
            <w:vAlign w:val="center"/>
          </w:tcPr>
          <w:p w:rsidR="002634D8" w:rsidRDefault="008539F3">
            <w:pPr>
              <w:rPr>
                <w:rFonts w:ascii="宋体" w:eastAsia="宋体" w:hAnsi="宋体"/>
              </w:rPr>
            </w:pPr>
            <w:r>
              <w:rPr>
                <w:rFonts w:ascii="宋体" w:eastAsia="宋体" w:hAnsi="宋体" w:hint="eastAsia"/>
              </w:rPr>
              <w:t>本基金本次分红免收分红手续费。选择红利再投资方式的投资者其红利所转换的基金份额免收申购费用。</w:t>
            </w:r>
          </w:p>
        </w:tc>
      </w:tr>
    </w:tbl>
    <w:p w:rsidR="002634D8" w:rsidRDefault="002634D8"/>
    <w:p w:rsidR="002634D8" w:rsidRDefault="008539F3">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2634D8" w:rsidRDefault="008539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4</w:t>
      </w:r>
      <w:r>
        <w:rPr>
          <w:rFonts w:hint="eastAsia"/>
          <w:sz w:val="21"/>
          <w:szCs w:val="21"/>
        </w:rPr>
        <w:t>月</w:t>
      </w:r>
      <w:r>
        <w:rPr>
          <w:rFonts w:hint="eastAsia"/>
          <w:sz w:val="21"/>
          <w:szCs w:val="21"/>
        </w:rPr>
        <w:t>14</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4</w:t>
      </w:r>
      <w:r>
        <w:rPr>
          <w:rFonts w:hint="eastAsia"/>
          <w:sz w:val="21"/>
          <w:szCs w:val="21"/>
        </w:rPr>
        <w:t>月</w:t>
      </w:r>
      <w:r>
        <w:rPr>
          <w:rFonts w:hint="eastAsia"/>
          <w:sz w:val="21"/>
          <w:szCs w:val="21"/>
        </w:rPr>
        <w:t>14</w:t>
      </w:r>
      <w:r>
        <w:rPr>
          <w:rFonts w:hint="eastAsia"/>
          <w:sz w:val="21"/>
          <w:szCs w:val="21"/>
        </w:rPr>
        <w:t>日申请赎回基金份额的，其账户余额（包括红</w:t>
      </w:r>
      <w:r>
        <w:rPr>
          <w:rFonts w:hint="eastAsia"/>
          <w:sz w:val="21"/>
          <w:szCs w:val="21"/>
        </w:rPr>
        <w:t>利再投资份额）低于</w:t>
      </w:r>
      <w:r>
        <w:rPr>
          <w:rFonts w:hint="eastAsia"/>
          <w:sz w:val="21"/>
          <w:szCs w:val="21"/>
        </w:rPr>
        <w:t>10</w:t>
      </w:r>
      <w:r>
        <w:rPr>
          <w:rFonts w:hint="eastAsia"/>
          <w:sz w:val="21"/>
          <w:szCs w:val="21"/>
        </w:rPr>
        <w:t>份时，本基金将自动计算其分红收益，并与赎回款一起以现金形式支付。</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5</w:t>
      </w:r>
      <w:r>
        <w:rPr>
          <w:rFonts w:hint="eastAsia"/>
          <w:sz w:val="21"/>
          <w:szCs w:val="21"/>
        </w:rPr>
        <w:t>）本基金份额持有人及希望了解本基金其他有关信息的投资者</w:t>
      </w:r>
      <w:r>
        <w:rPr>
          <w:rFonts w:hint="eastAsia"/>
          <w:sz w:val="21"/>
          <w:szCs w:val="21"/>
        </w:rPr>
        <w:t>,</w:t>
      </w:r>
      <w:r>
        <w:rPr>
          <w:rFonts w:hint="eastAsia"/>
          <w:sz w:val="21"/>
          <w:szCs w:val="21"/>
        </w:rPr>
        <w:t>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lastRenderedPageBreak/>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w:t>
      </w:r>
      <w:r>
        <w:rPr>
          <w:rFonts w:hint="eastAsia"/>
          <w:sz w:val="21"/>
          <w:szCs w:val="21"/>
        </w:rPr>
        <w:t>表未来表现，敬请投资者注意投资风险。</w:t>
      </w:r>
      <w:r>
        <w:rPr>
          <w:rFonts w:hint="eastAsia"/>
          <w:sz w:val="21"/>
          <w:szCs w:val="21"/>
        </w:rPr>
        <w:t xml:space="preserve"> </w:t>
      </w:r>
    </w:p>
    <w:p w:rsidR="002634D8" w:rsidRDefault="008539F3">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2634D8" w:rsidRDefault="002634D8">
      <w:pPr>
        <w:pStyle w:val="a3"/>
        <w:spacing w:before="0" w:beforeAutospacing="0" w:after="0" w:afterAutospacing="0" w:line="360" w:lineRule="auto"/>
        <w:ind w:firstLine="420"/>
        <w:rPr>
          <w:sz w:val="21"/>
          <w:szCs w:val="21"/>
        </w:rPr>
      </w:pPr>
    </w:p>
    <w:p w:rsidR="002634D8" w:rsidRDefault="002634D8">
      <w:pPr>
        <w:pStyle w:val="a3"/>
        <w:spacing w:before="0" w:beforeAutospacing="0" w:after="0" w:afterAutospacing="0" w:line="360" w:lineRule="auto"/>
        <w:ind w:firstLine="420"/>
        <w:rPr>
          <w:sz w:val="21"/>
          <w:szCs w:val="21"/>
        </w:rPr>
      </w:pPr>
    </w:p>
    <w:p w:rsidR="002634D8" w:rsidRDefault="002634D8">
      <w:pPr>
        <w:pStyle w:val="a3"/>
        <w:spacing w:before="0" w:beforeAutospacing="0" w:after="0" w:afterAutospacing="0" w:line="360" w:lineRule="auto"/>
        <w:ind w:firstLine="420"/>
        <w:rPr>
          <w:sz w:val="21"/>
          <w:szCs w:val="21"/>
        </w:rPr>
      </w:pPr>
    </w:p>
    <w:p w:rsidR="002634D8" w:rsidRDefault="008539F3">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2634D8" w:rsidRDefault="008539F3">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4</w:t>
      </w:r>
      <w:r>
        <w:rPr>
          <w:sz w:val="21"/>
          <w:szCs w:val="21"/>
        </w:rPr>
        <w:t>月</w:t>
      </w:r>
      <w:r>
        <w:rPr>
          <w:sz w:val="21"/>
          <w:szCs w:val="21"/>
        </w:rPr>
        <w:t>10</w:t>
      </w:r>
      <w:r>
        <w:rPr>
          <w:sz w:val="21"/>
          <w:szCs w:val="21"/>
        </w:rPr>
        <w:t>日</w:t>
      </w:r>
    </w:p>
    <w:sectPr w:rsidR="002634D8" w:rsidSect="002634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F14"/>
    <w:rsid w:val="00044F14"/>
    <w:rsid w:val="002634D8"/>
    <w:rsid w:val="00544A60"/>
    <w:rsid w:val="008539F3"/>
    <w:rsid w:val="31EB3C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D8"/>
    <w:pPr>
      <w:widowControl w:val="0"/>
      <w:jc w:val="both"/>
    </w:pPr>
    <w:rPr>
      <w:kern w:val="2"/>
      <w:sz w:val="21"/>
      <w:szCs w:val="22"/>
    </w:rPr>
  </w:style>
  <w:style w:type="paragraph" w:styleId="3">
    <w:name w:val="heading 3"/>
    <w:basedOn w:val="a"/>
    <w:next w:val="a"/>
    <w:link w:val="3Char"/>
    <w:uiPriority w:val="9"/>
    <w:unhideWhenUsed/>
    <w:qFormat/>
    <w:rsid w:val="002634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34D8"/>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263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2634D8"/>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1448</Characters>
  <Application>Microsoft Office Word</Application>
  <DocSecurity>4</DocSecurity>
  <Lines>12</Lines>
  <Paragraphs>3</Paragraphs>
  <ScaleCrop>false</ScaleCrop>
  <Company>mycompany</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2025-04-09T16:03:00Z</dcterms:created>
  <dcterms:modified xsi:type="dcterms:W3CDTF">2025-04-09T16:03:00Z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BF9C20831876463EB9FBE8FFD4266C24_13</vt:lpwstr>
  </property>
</Properties>
</file>