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9B" w:rsidRDefault="00A330DD">
      <w:pPr>
        <w:widowControl/>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 xml:space="preserve">泰信基金管理有限公司关于旗下部分基金新增招商银行股份有限公司招赢通平台为销售机构并开通定投和转换业务及参加其费率优惠活动的公告 </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为更好地满足广大投资者的需求，泰信基金管理有限公司（以下简称“本公司”）与招商银行股份有限公司招赢通平台（以下简称“招赢通”）协商一致，即日起</w:t>
      </w:r>
      <w:r>
        <w:rPr>
          <w:rFonts w:ascii="华文仿宋" w:eastAsia="华文仿宋" w:hAnsi="华文仿宋"/>
          <w:sz w:val="28"/>
          <w:szCs w:val="28"/>
        </w:rPr>
        <w:t>本公司旗下</w:t>
      </w:r>
      <w:r>
        <w:rPr>
          <w:rFonts w:ascii="华文仿宋" w:eastAsia="华文仿宋" w:hAnsi="华文仿宋" w:hint="eastAsia"/>
          <w:sz w:val="28"/>
          <w:szCs w:val="28"/>
        </w:rPr>
        <w:t>部分开放式基金</w:t>
      </w:r>
      <w:r>
        <w:rPr>
          <w:rFonts w:ascii="华文仿宋" w:eastAsia="华文仿宋" w:hAnsi="华文仿宋"/>
          <w:sz w:val="28"/>
          <w:szCs w:val="28"/>
        </w:rPr>
        <w:t>新增</w:t>
      </w:r>
      <w:r>
        <w:rPr>
          <w:rFonts w:ascii="华文仿宋" w:eastAsia="华文仿宋" w:hAnsi="华文仿宋" w:hint="eastAsia"/>
          <w:sz w:val="28"/>
          <w:szCs w:val="28"/>
        </w:rPr>
        <w:t>招赢通</w:t>
      </w:r>
      <w:r>
        <w:rPr>
          <w:rFonts w:ascii="华文仿宋" w:eastAsia="华文仿宋" w:hAnsi="华文仿宋"/>
          <w:sz w:val="28"/>
          <w:szCs w:val="28"/>
        </w:rPr>
        <w:t>为销售机构</w:t>
      </w:r>
      <w:r>
        <w:rPr>
          <w:rFonts w:ascii="华文仿宋" w:eastAsia="华文仿宋" w:hAnsi="华文仿宋" w:hint="eastAsia"/>
          <w:sz w:val="28"/>
          <w:szCs w:val="28"/>
        </w:rPr>
        <w:t>，</w:t>
      </w:r>
      <w:r>
        <w:rPr>
          <w:rFonts w:ascii="华文仿宋" w:eastAsia="华文仿宋" w:hAnsi="华文仿宋"/>
          <w:sz w:val="28"/>
          <w:szCs w:val="28"/>
        </w:rPr>
        <w:t>并开通定投、转换业务</w:t>
      </w:r>
      <w:r>
        <w:rPr>
          <w:rFonts w:ascii="华文仿宋" w:eastAsia="华文仿宋" w:hAnsi="华文仿宋" w:hint="eastAsia"/>
          <w:sz w:val="28"/>
          <w:szCs w:val="28"/>
        </w:rPr>
        <w:t>及参加其费率优惠活动。</w:t>
      </w:r>
    </w:p>
    <w:p w:rsidR="00EC7C9B" w:rsidRDefault="00A330DD">
      <w:pPr>
        <w:pStyle w:val="Default"/>
        <w:numPr>
          <w:ilvl w:val="0"/>
          <w:numId w:val="1"/>
        </w:numPr>
        <w:rPr>
          <w:rFonts w:ascii="华文仿宋" w:eastAsia="华文仿宋" w:hAnsi="华文仿宋"/>
          <w:sz w:val="28"/>
          <w:szCs w:val="28"/>
        </w:rPr>
      </w:pPr>
      <w:r>
        <w:rPr>
          <w:rFonts w:ascii="华文仿宋" w:eastAsia="华文仿宋" w:hAnsi="华文仿宋" w:hint="eastAsia"/>
          <w:sz w:val="28"/>
          <w:szCs w:val="28"/>
        </w:rPr>
        <w:t>新增销售基金范围及业务开通情况：</w:t>
      </w:r>
    </w:p>
    <w:tbl>
      <w:tblPr>
        <w:tblW w:w="8239" w:type="dxa"/>
        <w:tblInd w:w="96" w:type="dxa"/>
        <w:tblLook w:val="04A0"/>
      </w:tblPr>
      <w:tblGrid>
        <w:gridCol w:w="2371"/>
        <w:gridCol w:w="2177"/>
        <w:gridCol w:w="1843"/>
        <w:gridCol w:w="1848"/>
      </w:tblGrid>
      <w:tr w:rsidR="00EC7C9B" w:rsidRPr="00A02873" w:rsidTr="00A02873">
        <w:trPr>
          <w:trHeight w:val="288"/>
        </w:trPr>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基金</w:t>
            </w:r>
            <w:r w:rsidR="00A02873">
              <w:rPr>
                <w:rFonts w:ascii="仿宋" w:eastAsia="仿宋" w:hAnsi="仿宋" w:cs="仿宋" w:hint="eastAsia"/>
                <w:color w:val="000000"/>
                <w:kern w:val="0"/>
                <w:sz w:val="24"/>
                <w:lang/>
              </w:rPr>
              <w:t>简</w:t>
            </w:r>
            <w:r w:rsidRPr="00A02873">
              <w:rPr>
                <w:rFonts w:ascii="仿宋" w:eastAsia="仿宋" w:hAnsi="仿宋" w:cs="仿宋" w:hint="eastAsia"/>
                <w:color w:val="000000"/>
                <w:kern w:val="0"/>
                <w:sz w:val="24"/>
                <w:lang/>
              </w:rPr>
              <w:t>称</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基金代码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0287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是否开通</w:t>
            </w:r>
            <w:r w:rsidR="00A330DD" w:rsidRPr="00A02873">
              <w:rPr>
                <w:rFonts w:ascii="仿宋" w:eastAsia="仿宋" w:hAnsi="仿宋" w:cs="仿宋" w:hint="eastAsia"/>
                <w:color w:val="000000"/>
                <w:kern w:val="0"/>
                <w:sz w:val="24"/>
                <w:lang/>
              </w:rPr>
              <w:t>转换</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0287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是否开通</w:t>
            </w:r>
            <w:r w:rsidR="00A330DD" w:rsidRPr="00A02873">
              <w:rPr>
                <w:rFonts w:ascii="仿宋" w:eastAsia="仿宋" w:hAnsi="仿宋" w:cs="仿宋" w:hint="eastAsia"/>
                <w:color w:val="000000"/>
                <w:kern w:val="0"/>
                <w:sz w:val="24"/>
                <w:lang/>
              </w:rPr>
              <w:t>定投</w:t>
            </w:r>
          </w:p>
        </w:tc>
      </w:tr>
      <w:tr w:rsidR="00EC7C9B" w:rsidRPr="00A02873" w:rsidTr="00A02873">
        <w:trPr>
          <w:trHeight w:val="288"/>
        </w:trPr>
        <w:tc>
          <w:tcPr>
            <w:tcW w:w="2371" w:type="dxa"/>
            <w:vMerge w:val="restart"/>
            <w:tcBorders>
              <w:top w:val="single" w:sz="4" w:space="0" w:color="000000"/>
              <w:left w:val="single" w:sz="4" w:space="0" w:color="000000"/>
              <w:bottom w:val="nil"/>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泰信天天收益货币</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A类：290001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r>
      <w:tr w:rsidR="00EC7C9B" w:rsidRPr="00A02873" w:rsidTr="00A02873">
        <w:trPr>
          <w:trHeight w:val="288"/>
        </w:trPr>
        <w:tc>
          <w:tcPr>
            <w:tcW w:w="2371" w:type="dxa"/>
            <w:vMerge/>
            <w:tcBorders>
              <w:top w:val="single" w:sz="4" w:space="0" w:color="000000"/>
              <w:left w:val="single" w:sz="4" w:space="0" w:color="000000"/>
              <w:bottom w:val="nil"/>
              <w:right w:val="single" w:sz="4" w:space="0" w:color="000000"/>
            </w:tcBorders>
            <w:shd w:val="clear" w:color="auto" w:fill="auto"/>
            <w:vAlign w:val="center"/>
          </w:tcPr>
          <w:p w:rsidR="00EC7C9B" w:rsidRPr="00A02873" w:rsidRDefault="00EC7C9B">
            <w:pPr>
              <w:jc w:val="center"/>
              <w:rPr>
                <w:rFonts w:ascii="仿宋" w:eastAsia="仿宋" w:hAnsi="仿宋" w:cs="仿宋"/>
                <w:color w:val="000000"/>
                <w:sz w:val="24"/>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B类：002234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否</w:t>
            </w:r>
          </w:p>
        </w:tc>
      </w:tr>
      <w:tr w:rsidR="00EC7C9B" w:rsidRPr="00A02873" w:rsidTr="00A02873">
        <w:trPr>
          <w:trHeight w:val="288"/>
        </w:trPr>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泰信先行策略混合</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290002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r>
      <w:tr w:rsidR="00EC7C9B" w:rsidRPr="00A02873" w:rsidTr="00A02873">
        <w:trPr>
          <w:trHeight w:val="288"/>
        </w:trPr>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泰信优质生活混合</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290004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r>
      <w:tr w:rsidR="00EC7C9B" w:rsidRPr="00A02873" w:rsidTr="00A02873">
        <w:trPr>
          <w:trHeight w:val="288"/>
        </w:trPr>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泰信国策驱动混合</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001569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C9B" w:rsidRPr="00A02873" w:rsidRDefault="00A330DD">
            <w:pPr>
              <w:widowControl/>
              <w:jc w:val="center"/>
              <w:textAlignment w:val="center"/>
              <w:rPr>
                <w:rFonts w:ascii="仿宋" w:eastAsia="仿宋" w:hAnsi="仿宋" w:cs="仿宋"/>
                <w:color w:val="000000"/>
                <w:sz w:val="24"/>
              </w:rPr>
            </w:pPr>
            <w:r w:rsidRPr="00A02873">
              <w:rPr>
                <w:rFonts w:ascii="仿宋" w:eastAsia="仿宋" w:hAnsi="仿宋" w:cs="仿宋" w:hint="eastAsia"/>
                <w:color w:val="000000"/>
                <w:kern w:val="0"/>
                <w:sz w:val="24"/>
                <w:lang/>
              </w:rPr>
              <w:t>是</w:t>
            </w:r>
          </w:p>
        </w:tc>
      </w:tr>
    </w:tbl>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二、具体费率优惠情况</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投资者通过招赢通的交易系统申购及定投上述基金（仅限场外、前端模式），</w:t>
      </w:r>
      <w:r>
        <w:rPr>
          <w:rFonts w:ascii="仿宋" w:eastAsia="仿宋" w:hAnsi="仿宋" w:hint="eastAsia"/>
          <w:sz w:val="28"/>
          <w:szCs w:val="28"/>
        </w:rPr>
        <w:t>享有费率优惠</w:t>
      </w:r>
      <w:r>
        <w:rPr>
          <w:rFonts w:ascii="华文仿宋" w:eastAsia="华文仿宋" w:hAnsi="华文仿宋"/>
          <w:sz w:val="28"/>
          <w:szCs w:val="28"/>
        </w:rPr>
        <w:t>，</w:t>
      </w:r>
      <w:r>
        <w:rPr>
          <w:rFonts w:ascii="华文仿宋" w:eastAsia="华文仿宋" w:hAnsi="华文仿宋" w:hint="eastAsia"/>
          <w:sz w:val="28"/>
          <w:szCs w:val="28"/>
        </w:rPr>
        <w:t>具体折扣后费率及费率优惠活动期限以招赢通公示为准。上述基金原费率标准详见该基金的基金合同、招募说明书（更新）等法律文件，以及本公司发布的最新业务公告。</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三 、基金转换业务规则</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1.基金转换是指投资者在持有本公司发行的任一开放式基金后，可将其持有的基金份额直接转换成本公司管理的其它开放式基金的</w:t>
      </w:r>
      <w:r>
        <w:rPr>
          <w:rFonts w:ascii="华文仿宋" w:eastAsia="华文仿宋" w:hAnsi="华文仿宋"/>
          <w:sz w:val="28"/>
          <w:szCs w:val="28"/>
        </w:rPr>
        <w:lastRenderedPageBreak/>
        <w:t>基金份额，而不需要先赎回已持有的基金份额，再申购目标基金的一种业务模式。</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2.基金转换只能在同一销售机构进行。转换的两只基金必须都是该销售人代理的同一基金管理人管理的、在同一注册登记人处注册且已开通转换业务的基金。</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③转入金额=转出金额-转出基金赎回费用</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lastRenderedPageBreak/>
        <w:t xml:space="preserve"> ④转入基金申购费=转入金额/(1+转入基金申购费率)×转入基金申购费率</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若转入基金申购费适用固定费用</w:t>
      </w:r>
      <w:r>
        <w:rPr>
          <w:rFonts w:ascii="华文仿宋" w:eastAsia="华文仿宋" w:hAnsi="华文仿宋"/>
          <w:sz w:val="28"/>
          <w:szCs w:val="28"/>
        </w:rPr>
        <w:t>,则转入基金申购费=转入基金固定申购费</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若转出基金申购费适用固定费用,则转出基金申购费=转出基金固定申购费</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w:t>
      </w:r>
      <w:r>
        <w:rPr>
          <w:rFonts w:ascii="华文仿宋" w:eastAsia="华文仿宋" w:hAnsi="华文仿宋" w:hint="eastAsia"/>
          <w:sz w:val="28"/>
          <w:szCs w:val="28"/>
        </w:rPr>
        <w:t>A</w:t>
      </w:r>
      <w:r>
        <w:rPr>
          <w:rFonts w:ascii="华文仿宋" w:eastAsia="华文仿宋" w:hAnsi="华文仿宋"/>
          <w:sz w:val="28"/>
          <w:szCs w:val="28"/>
        </w:rPr>
        <w:t>（以下简称“泰信周期回报债券</w:t>
      </w:r>
      <w:r>
        <w:rPr>
          <w:rFonts w:ascii="华文仿宋" w:eastAsia="华文仿宋" w:hAnsi="华文仿宋" w:hint="eastAsia"/>
          <w:sz w:val="28"/>
          <w:szCs w:val="28"/>
        </w:rPr>
        <w:t>A</w:t>
      </w:r>
      <w:r>
        <w:rPr>
          <w:rFonts w:ascii="华文仿宋" w:eastAsia="华文仿宋" w:hAnsi="华文仿宋"/>
          <w:sz w:val="28"/>
          <w:szCs w:val="28"/>
        </w:rPr>
        <w:t>”）（持有7天-365天内）转换为泰信中小盘精选混合型证券投资基金（以下简称“泰信中小盘精选混合”）。泰信周期回报债券</w:t>
      </w:r>
      <w:r>
        <w:rPr>
          <w:rFonts w:ascii="华文仿宋" w:eastAsia="华文仿宋" w:hAnsi="华文仿宋" w:hint="eastAsia"/>
          <w:sz w:val="28"/>
          <w:szCs w:val="28"/>
        </w:rPr>
        <w:t>A</w:t>
      </w:r>
      <w:r>
        <w:rPr>
          <w:rFonts w:ascii="华文仿宋" w:eastAsia="华文仿宋" w:hAnsi="华文仿宋"/>
          <w:sz w:val="28"/>
          <w:szCs w:val="28"/>
        </w:rPr>
        <w:t>对应申请日份额净值假设为1.020元,对应申购费率为0.8%,对应赎回费率为0.1% 。泰信中小盘精选混合对应申请日份额净值假设为1.500元,对应申购费率为1.5% 。则该次转换投资者可得到的泰信中小盘精选混合份额计算方法为：</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EC7C9B" w:rsidRDefault="00A330DD">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四、其他事项</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五、投资者可通过以下途径了解或咨询相关情况</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5" w:history="1">
        <w:r>
          <w:rPr>
            <w:rStyle w:val="a5"/>
            <w:rFonts w:ascii="华文仿宋" w:eastAsia="华文仿宋" w:hAnsi="华文仿宋" w:cs="仿宋_GB2312" w:hint="eastAsia"/>
            <w:color w:val="auto"/>
            <w:kern w:val="0"/>
            <w:sz w:val="28"/>
            <w:szCs w:val="28"/>
            <w:u w:val="none"/>
          </w:rPr>
          <w:t>www.ftfund.com</w:t>
        </w:r>
      </w:hyperlink>
    </w:p>
    <w:p w:rsidR="00EC7C9B" w:rsidRDefault="00A330DD">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2、招商银行股份有限公司招赢通平台</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客服电话：95555</w:t>
      </w:r>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bookmarkStart w:id="0" w:name="OLE_LINK1"/>
      <w:r>
        <w:rPr>
          <w:rFonts w:ascii="华文仿宋" w:eastAsia="华文仿宋" w:hAnsi="华文仿宋" w:cs="仿宋_GB2312" w:hint="eastAsia"/>
          <w:kern w:val="0"/>
          <w:sz w:val="28"/>
          <w:szCs w:val="28"/>
        </w:rPr>
        <w:t>fi.cmbchina.com</w:t>
      </w:r>
      <w:bookmarkEnd w:id="0"/>
    </w:p>
    <w:p w:rsidR="00EC7C9B" w:rsidRDefault="00A330DD">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EC7C9B" w:rsidRDefault="00A330DD">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EC7C9B" w:rsidRDefault="00A330DD">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EC7C9B" w:rsidRDefault="00A330DD">
      <w:pPr>
        <w:ind w:right="140"/>
        <w:jc w:val="right"/>
        <w:rPr>
          <w:rFonts w:ascii="华文仿宋" w:eastAsia="华文仿宋" w:hAnsi="华文仿宋"/>
        </w:rPr>
      </w:pPr>
      <w:r>
        <w:rPr>
          <w:rFonts w:ascii="华文仿宋" w:eastAsia="华文仿宋" w:hAnsi="华文仿宋" w:cs="仿宋_GB2312" w:hint="eastAsia"/>
          <w:kern w:val="0"/>
          <w:sz w:val="28"/>
          <w:szCs w:val="28"/>
        </w:rPr>
        <w:t>2025年4月9日</w:t>
      </w:r>
    </w:p>
    <w:p w:rsidR="00EC7C9B" w:rsidRDefault="00EC7C9B">
      <w:pPr>
        <w:pStyle w:val="Default"/>
        <w:ind w:firstLineChars="200" w:firstLine="560"/>
        <w:rPr>
          <w:rFonts w:ascii="华文仿宋" w:eastAsia="华文仿宋" w:hAnsi="华文仿宋"/>
          <w:sz w:val="28"/>
          <w:szCs w:val="28"/>
        </w:rPr>
      </w:pPr>
    </w:p>
    <w:sectPr w:rsidR="00EC7C9B" w:rsidSect="00C26A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C7C9B"/>
    <w:rsid w:val="00412126"/>
    <w:rsid w:val="006A5F7E"/>
    <w:rsid w:val="00A02873"/>
    <w:rsid w:val="00A330DD"/>
    <w:rsid w:val="00A458C0"/>
    <w:rsid w:val="00C26A31"/>
    <w:rsid w:val="00EC14A6"/>
    <w:rsid w:val="00EC7C9B"/>
    <w:rsid w:val="12994433"/>
    <w:rsid w:val="188669B7"/>
    <w:rsid w:val="6A90105F"/>
    <w:rsid w:val="7CF63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6A3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semiHidden/>
    <w:unhideWhenUsed/>
    <w:qFormat/>
    <w:rsid w:val="00C26A31"/>
    <w:rPr>
      <w:sz w:val="18"/>
      <w:szCs w:val="18"/>
    </w:rPr>
  </w:style>
  <w:style w:type="paragraph" w:styleId="a4">
    <w:name w:val="footer"/>
    <w:basedOn w:val="a"/>
    <w:uiPriority w:val="99"/>
    <w:unhideWhenUsed/>
    <w:qFormat/>
    <w:rsid w:val="00C26A31"/>
    <w:pPr>
      <w:tabs>
        <w:tab w:val="center" w:pos="4153"/>
        <w:tab w:val="right" w:pos="8306"/>
      </w:tabs>
      <w:snapToGrid w:val="0"/>
      <w:jc w:val="left"/>
    </w:pPr>
    <w:rPr>
      <w:sz w:val="18"/>
      <w:szCs w:val="18"/>
    </w:rPr>
  </w:style>
  <w:style w:type="character" w:styleId="a5">
    <w:name w:val="Hyperlink"/>
    <w:basedOn w:val="a1"/>
    <w:unhideWhenUsed/>
    <w:qFormat/>
    <w:rsid w:val="00C26A31"/>
    <w:rPr>
      <w:color w:val="0000FF"/>
      <w:u w:val="single"/>
    </w:rPr>
  </w:style>
  <w:style w:type="paragraph" w:customStyle="1" w:styleId="Default">
    <w:name w:val="Default"/>
    <w:qFormat/>
    <w:rsid w:val="00C26A31"/>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tfu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2438</Characters>
  <Application>Microsoft Office Word</Application>
  <DocSecurity>4</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zhaoxiaolin</dc:creator>
  <cp:lastModifiedBy>ZHONGM</cp:lastModifiedBy>
  <cp:revision>2</cp:revision>
  <cp:lastPrinted>2025-04-08T02:52:00Z</cp:lastPrinted>
  <dcterms:created xsi:type="dcterms:W3CDTF">2025-04-08T16:01:00Z</dcterms:created>
  <dcterms:modified xsi:type="dcterms:W3CDTF">2025-04-08T16:01:00Z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F40A9553E2AC4ECF983E82CD4B90102A</vt:lpwstr>
  </property>
</Properties>
</file>