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28" w:rsidRDefault="0027013E">
      <w:pPr>
        <w:widowControl/>
        <w:spacing w:before="100" w:beforeAutospacing="1" w:after="100" w:afterAutospacing="1"/>
        <w:jc w:val="center"/>
        <w:rPr>
          <w:rFonts w:ascii="宋体" w:hAnsi="宋体" w:cs="宋体"/>
          <w:kern w:val="0"/>
          <w:sz w:val="24"/>
        </w:rPr>
      </w:pPr>
      <w:r>
        <w:rPr>
          <w:rFonts w:ascii="宋体" w:hAnsi="宋体" w:cs="宋体"/>
          <w:b/>
          <w:bCs/>
          <w:kern w:val="0"/>
          <w:sz w:val="24"/>
        </w:rPr>
        <w:t>易方达基金管理有限公司关于公司旗下部分基金估值调整情况的公告</w:t>
      </w:r>
    </w:p>
    <w:p w:rsidR="004C5E28" w:rsidRDefault="0027013E">
      <w:pPr>
        <w:spacing w:line="360" w:lineRule="auto"/>
        <w:ind w:firstLine="482"/>
        <w:rPr>
          <w:rFonts w:ascii="宋体" w:hAnsi="宋体"/>
          <w:kern w:val="0"/>
          <w:sz w:val="24"/>
        </w:rPr>
      </w:pPr>
      <w:r>
        <w:rPr>
          <w:rFonts w:hAnsi="宋体"/>
          <w:kern w:val="0"/>
          <w:sz w:val="24"/>
        </w:rPr>
        <w:t>根据《中国证监会关于证券投资基金估值业务的指导意见》（中国证券监督管理委员会公告</w:t>
      </w:r>
      <w:r>
        <w:rPr>
          <w:rFonts w:hAnsi="宋体"/>
          <w:kern w:val="0"/>
          <w:sz w:val="24"/>
        </w:rPr>
        <w:t>[2017]13</w:t>
      </w:r>
      <w:r>
        <w:rPr>
          <w:rFonts w:hAnsi="宋体"/>
          <w:kern w:val="0"/>
          <w:sz w:val="24"/>
        </w:rPr>
        <w:t>号）的有关规定，经与基金托管人协商一致，自</w:t>
      </w:r>
      <w:r>
        <w:rPr>
          <w:rFonts w:hAnsi="宋体"/>
          <w:kern w:val="0"/>
          <w:sz w:val="24"/>
        </w:rPr>
        <w:t>2025</w:t>
      </w:r>
      <w:r>
        <w:rPr>
          <w:rFonts w:hAnsi="宋体"/>
          <w:kern w:val="0"/>
          <w:sz w:val="24"/>
        </w:rPr>
        <w:t>年</w:t>
      </w:r>
      <w:r>
        <w:rPr>
          <w:rFonts w:hAnsi="宋体"/>
          <w:kern w:val="0"/>
          <w:sz w:val="24"/>
        </w:rPr>
        <w:t>4</w:t>
      </w:r>
      <w:r>
        <w:rPr>
          <w:rFonts w:hAnsi="宋体"/>
          <w:kern w:val="0"/>
          <w:sz w:val="24"/>
        </w:rPr>
        <w:t>月</w:t>
      </w:r>
      <w:r>
        <w:rPr>
          <w:rFonts w:hAnsi="宋体"/>
          <w:kern w:val="0"/>
          <w:sz w:val="24"/>
        </w:rPr>
        <w:t>7</w:t>
      </w:r>
      <w:r>
        <w:rPr>
          <w:rFonts w:hAnsi="宋体"/>
          <w:kern w:val="0"/>
          <w:sz w:val="24"/>
        </w:rPr>
        <w:t>日起，易方达基金管理有限公司对旗下证券投资基金（交易型开放式指数证券投资基金除外）持有的</w:t>
      </w:r>
      <w:r>
        <w:rPr>
          <w:rFonts w:hAnsi="宋体"/>
          <w:kern w:val="0"/>
          <w:sz w:val="24"/>
        </w:rPr>
        <w:t>“</w:t>
      </w:r>
      <w:r>
        <w:rPr>
          <w:rFonts w:hAnsi="宋体"/>
          <w:kern w:val="0"/>
          <w:sz w:val="24"/>
        </w:rPr>
        <w:t>泰豪科技（代码：</w:t>
      </w:r>
      <w:r>
        <w:rPr>
          <w:rFonts w:hAnsi="宋体"/>
          <w:kern w:val="0"/>
          <w:sz w:val="24"/>
        </w:rPr>
        <w:t>600590</w:t>
      </w:r>
      <w:r>
        <w:rPr>
          <w:rFonts w:hAnsi="宋体"/>
          <w:kern w:val="0"/>
          <w:sz w:val="24"/>
        </w:rPr>
        <w:t>）</w:t>
      </w:r>
      <w:r>
        <w:rPr>
          <w:rFonts w:hAnsi="宋体"/>
          <w:kern w:val="0"/>
          <w:sz w:val="24"/>
        </w:rPr>
        <w:t>”</w:t>
      </w:r>
      <w:r>
        <w:rPr>
          <w:rFonts w:hAnsi="宋体"/>
          <w:kern w:val="0"/>
          <w:sz w:val="24"/>
        </w:rPr>
        <w:t>采用《中国证券业协会基金估值工作小组关于停牌股票估值的参考方法》中的</w:t>
      </w:r>
      <w:r>
        <w:rPr>
          <w:rFonts w:hAnsi="宋体"/>
          <w:kern w:val="0"/>
          <w:sz w:val="24"/>
        </w:rPr>
        <w:t>“</w:t>
      </w:r>
      <w:r>
        <w:rPr>
          <w:rFonts w:hAnsi="宋体"/>
          <w:kern w:val="0"/>
          <w:sz w:val="24"/>
        </w:rPr>
        <w:t>指数收益法</w:t>
      </w:r>
      <w:r>
        <w:rPr>
          <w:rFonts w:hAnsi="宋体"/>
          <w:kern w:val="0"/>
          <w:sz w:val="24"/>
        </w:rPr>
        <w:t>”</w:t>
      </w:r>
      <w:r>
        <w:rPr>
          <w:rFonts w:hAnsi="宋体"/>
          <w:kern w:val="0"/>
          <w:sz w:val="24"/>
        </w:rPr>
        <w:t>进行估值</w:t>
      </w:r>
      <w:r>
        <w:rPr>
          <w:rFonts w:hAnsi="宋体" w:hint="eastAsia"/>
          <w:kern w:val="0"/>
          <w:sz w:val="24"/>
        </w:rPr>
        <w:t>；</w:t>
      </w:r>
      <w:r>
        <w:rPr>
          <w:rFonts w:hAnsi="宋体"/>
          <w:kern w:val="0"/>
          <w:sz w:val="24"/>
        </w:rPr>
        <w:t>对易方达中证物联网主题交易型开放式指数证券投资基金发起式联接基金持有的易方达中证物联网主题交易型开放式指数证券投资基金，在其当日份额净值的基础上，考虑其持有的</w:t>
      </w:r>
      <w:r>
        <w:rPr>
          <w:rFonts w:hAnsi="宋体"/>
          <w:kern w:val="0"/>
          <w:sz w:val="24"/>
        </w:rPr>
        <w:t>“</w:t>
      </w:r>
      <w:r>
        <w:rPr>
          <w:rFonts w:hAnsi="宋体"/>
          <w:kern w:val="0"/>
          <w:sz w:val="24"/>
        </w:rPr>
        <w:t>欧菲光（代码：</w:t>
      </w:r>
      <w:r>
        <w:rPr>
          <w:rFonts w:hAnsi="宋体"/>
          <w:kern w:val="0"/>
          <w:sz w:val="24"/>
        </w:rPr>
        <w:t>002456</w:t>
      </w:r>
      <w:r>
        <w:rPr>
          <w:rFonts w:hAnsi="宋体"/>
          <w:kern w:val="0"/>
          <w:sz w:val="24"/>
        </w:rPr>
        <w:t>）</w:t>
      </w:r>
      <w:r>
        <w:rPr>
          <w:rFonts w:hAnsi="宋体"/>
          <w:kern w:val="0"/>
          <w:sz w:val="24"/>
        </w:rPr>
        <w:t>”</w:t>
      </w:r>
      <w:r>
        <w:rPr>
          <w:rFonts w:hAnsi="宋体"/>
          <w:kern w:val="0"/>
          <w:sz w:val="24"/>
        </w:rPr>
        <w:t>采用《中国证券业协会基金估值工作小组关于停牌股票估值的参考方法》中的</w:t>
      </w:r>
      <w:r>
        <w:rPr>
          <w:rFonts w:hAnsi="宋体"/>
          <w:kern w:val="0"/>
          <w:sz w:val="24"/>
        </w:rPr>
        <w:t>“</w:t>
      </w:r>
      <w:r>
        <w:rPr>
          <w:rFonts w:hAnsi="宋体"/>
          <w:kern w:val="0"/>
          <w:sz w:val="24"/>
        </w:rPr>
        <w:t>指数收益法</w:t>
      </w:r>
      <w:r>
        <w:rPr>
          <w:rFonts w:hAnsi="宋体"/>
          <w:kern w:val="0"/>
          <w:sz w:val="24"/>
        </w:rPr>
        <w:t>”</w:t>
      </w:r>
      <w:r>
        <w:rPr>
          <w:rFonts w:hAnsi="宋体"/>
          <w:kern w:val="0"/>
          <w:sz w:val="24"/>
        </w:rPr>
        <w:t>计算所得估值的影响，并按此调整因素进行估值。</w:t>
      </w:r>
    </w:p>
    <w:p w:rsidR="004C5E28" w:rsidRDefault="0027013E">
      <w:pPr>
        <w:spacing w:line="360" w:lineRule="auto"/>
        <w:ind w:firstLine="482"/>
        <w:outlineLvl w:val="0"/>
        <w:rPr>
          <w:rFonts w:ascii="宋体" w:hAnsi="宋体"/>
          <w:color w:val="000000" w:themeColor="text1"/>
          <w:sz w:val="24"/>
        </w:rPr>
      </w:pPr>
      <w:r>
        <w:rPr>
          <w:rFonts w:ascii="宋体" w:hAnsi="宋体"/>
          <w:color w:val="000000" w:themeColor="text1"/>
          <w:sz w:val="24"/>
        </w:rPr>
        <w:t>待上述股票复牌且交易体现活跃市场交易特征后，将恢复为采用当日收盘价格进行估值，届时不再另行公告，敬请投资者予以关注。</w:t>
      </w:r>
    </w:p>
    <w:p w:rsidR="004C5E28" w:rsidRDefault="0027013E">
      <w:pPr>
        <w:spacing w:line="360" w:lineRule="auto"/>
        <w:ind w:firstLine="482"/>
        <w:rPr>
          <w:kern w:val="0"/>
          <w:sz w:val="24"/>
        </w:rPr>
      </w:pPr>
      <w:r>
        <w:rPr>
          <w:rFonts w:hAnsi="宋体"/>
          <w:kern w:val="0"/>
          <w:sz w:val="24"/>
        </w:rPr>
        <w:t>投资者可登陆基金管理人网站（</w:t>
      </w:r>
      <w:r>
        <w:rPr>
          <w:kern w:val="0"/>
          <w:sz w:val="24"/>
        </w:rPr>
        <w:t>www.efunds.com.cn</w:t>
      </w:r>
      <w:r>
        <w:rPr>
          <w:rFonts w:hAnsi="宋体"/>
          <w:kern w:val="0"/>
          <w:sz w:val="24"/>
        </w:rPr>
        <w:t>）或拨打</w:t>
      </w:r>
      <w:r>
        <w:rPr>
          <w:rFonts w:hAnsi="宋体" w:hint="eastAsia"/>
          <w:kern w:val="0"/>
          <w:sz w:val="24"/>
        </w:rPr>
        <w:t>客户服</w:t>
      </w:r>
      <w:r>
        <w:rPr>
          <w:rFonts w:hAnsi="宋体" w:hint="eastAsia"/>
          <w:kern w:val="0"/>
          <w:sz w:val="24"/>
        </w:rPr>
        <w:t>务热线</w:t>
      </w:r>
      <w:r>
        <w:rPr>
          <w:rFonts w:hAnsi="宋体" w:hint="eastAsia"/>
          <w:kern w:val="0"/>
          <w:sz w:val="24"/>
        </w:rPr>
        <w:t>40088-18088</w:t>
      </w:r>
      <w:r>
        <w:rPr>
          <w:rFonts w:hAnsi="宋体"/>
          <w:kern w:val="0"/>
          <w:sz w:val="24"/>
        </w:rPr>
        <w:t>咨询有关信息。</w:t>
      </w:r>
    </w:p>
    <w:p w:rsidR="004C5E28" w:rsidRDefault="0027013E">
      <w:pPr>
        <w:tabs>
          <w:tab w:val="left" w:pos="2985"/>
        </w:tabs>
        <w:spacing w:line="360" w:lineRule="auto"/>
        <w:ind w:firstLine="482"/>
        <w:rPr>
          <w:kern w:val="0"/>
          <w:sz w:val="24"/>
        </w:rPr>
      </w:pPr>
      <w:r>
        <w:rPr>
          <w:rFonts w:hAnsi="宋体"/>
          <w:kern w:val="0"/>
          <w:sz w:val="24"/>
        </w:rPr>
        <w:t>特此公告。</w:t>
      </w:r>
      <w:r>
        <w:rPr>
          <w:rFonts w:hAnsi="宋体"/>
          <w:kern w:val="0"/>
          <w:sz w:val="24"/>
        </w:rPr>
        <w:tab/>
      </w:r>
      <w:bookmarkStart w:id="0" w:name="_GoBack"/>
      <w:bookmarkEnd w:id="0"/>
    </w:p>
    <w:p w:rsidR="004C5E28" w:rsidRDefault="0027013E">
      <w:pPr>
        <w:wordWrap w:val="0"/>
        <w:spacing w:line="360" w:lineRule="auto"/>
        <w:jc w:val="right"/>
        <w:rPr>
          <w:kern w:val="0"/>
          <w:sz w:val="24"/>
        </w:rPr>
      </w:pPr>
      <w:r>
        <w:rPr>
          <w:rFonts w:hAnsi="宋体"/>
          <w:kern w:val="0"/>
          <w:sz w:val="24"/>
        </w:rPr>
        <w:t>易方达基金管理有限公司</w:t>
      </w:r>
    </w:p>
    <w:p w:rsidR="004C5E28" w:rsidRDefault="0027013E">
      <w:pPr>
        <w:jc w:val="right"/>
        <w:rPr>
          <w:color w:val="000000" w:themeColor="text1"/>
          <w:sz w:val="24"/>
          <w:u w:val="single"/>
        </w:rPr>
      </w:pPr>
      <w:r>
        <w:rPr>
          <w:color w:val="000000" w:themeColor="text1"/>
          <w:sz w:val="24"/>
        </w:rPr>
        <w:t>2025</w:t>
      </w:r>
      <w:r>
        <w:rPr>
          <w:color w:val="000000" w:themeColor="text1"/>
          <w:sz w:val="24"/>
        </w:rPr>
        <w:t>年</w:t>
      </w:r>
      <w:r>
        <w:rPr>
          <w:color w:val="000000" w:themeColor="text1"/>
          <w:sz w:val="24"/>
        </w:rPr>
        <w:t>4</w:t>
      </w:r>
      <w:r>
        <w:rPr>
          <w:color w:val="000000" w:themeColor="text1"/>
          <w:sz w:val="24"/>
        </w:rPr>
        <w:t>月</w:t>
      </w:r>
      <w:r>
        <w:rPr>
          <w:color w:val="000000" w:themeColor="text1"/>
          <w:sz w:val="24"/>
        </w:rPr>
        <w:t>8</w:t>
      </w:r>
      <w:r>
        <w:rPr>
          <w:color w:val="000000" w:themeColor="text1"/>
          <w:sz w:val="24"/>
        </w:rPr>
        <w:t>日</w:t>
      </w:r>
    </w:p>
    <w:sectPr w:rsidR="004C5E28" w:rsidSect="004C5E2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28" w:rsidRDefault="004C5E28" w:rsidP="004C5E28">
      <w:r>
        <w:separator/>
      </w:r>
    </w:p>
  </w:endnote>
  <w:endnote w:type="continuationSeparator" w:id="0">
    <w:p w:rsidR="004C5E28" w:rsidRDefault="004C5E28" w:rsidP="004C5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28" w:rsidRDefault="004C5E28" w:rsidP="004C5E28">
      <w:r>
        <w:separator/>
      </w:r>
    </w:p>
  </w:footnote>
  <w:footnote w:type="continuationSeparator" w:id="0">
    <w:p w:rsidR="004C5E28" w:rsidRDefault="004C5E28" w:rsidP="004C5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28" w:rsidRDefault="004C5E28">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2C0"/>
    <w:rsid w:val="8BFF13FE"/>
    <w:rsid w:val="979FB950"/>
    <w:rsid w:val="00014ED0"/>
    <w:rsid w:val="00027157"/>
    <w:rsid w:val="00094F05"/>
    <w:rsid w:val="000C0F5B"/>
    <w:rsid w:val="000D5DA2"/>
    <w:rsid w:val="000D6563"/>
    <w:rsid w:val="00131C74"/>
    <w:rsid w:val="0014583B"/>
    <w:rsid w:val="0018748D"/>
    <w:rsid w:val="0018758A"/>
    <w:rsid w:val="001C1EE3"/>
    <w:rsid w:val="001D2129"/>
    <w:rsid w:val="001E54DB"/>
    <w:rsid w:val="00213F89"/>
    <w:rsid w:val="00220EDD"/>
    <w:rsid w:val="002320D2"/>
    <w:rsid w:val="00234F59"/>
    <w:rsid w:val="0024409A"/>
    <w:rsid w:val="0025205C"/>
    <w:rsid w:val="0027013E"/>
    <w:rsid w:val="00286BEF"/>
    <w:rsid w:val="002C0044"/>
    <w:rsid w:val="002C0FAB"/>
    <w:rsid w:val="002C502D"/>
    <w:rsid w:val="002E2C6F"/>
    <w:rsid w:val="00302887"/>
    <w:rsid w:val="00303541"/>
    <w:rsid w:val="00310506"/>
    <w:rsid w:val="00311E10"/>
    <w:rsid w:val="00332929"/>
    <w:rsid w:val="00365733"/>
    <w:rsid w:val="0038514E"/>
    <w:rsid w:val="003B05B1"/>
    <w:rsid w:val="003D25F9"/>
    <w:rsid w:val="003D6F49"/>
    <w:rsid w:val="003F2F45"/>
    <w:rsid w:val="00476A03"/>
    <w:rsid w:val="004C5E28"/>
    <w:rsid w:val="005165B8"/>
    <w:rsid w:val="005646E7"/>
    <w:rsid w:val="00575056"/>
    <w:rsid w:val="005B2939"/>
    <w:rsid w:val="00603096"/>
    <w:rsid w:val="00606D0F"/>
    <w:rsid w:val="0061210F"/>
    <w:rsid w:val="006701BD"/>
    <w:rsid w:val="00677EB6"/>
    <w:rsid w:val="00684ED6"/>
    <w:rsid w:val="0069271E"/>
    <w:rsid w:val="006A7A2E"/>
    <w:rsid w:val="006B67D9"/>
    <w:rsid w:val="00713ADC"/>
    <w:rsid w:val="00726E17"/>
    <w:rsid w:val="007645BE"/>
    <w:rsid w:val="00776743"/>
    <w:rsid w:val="00781C4C"/>
    <w:rsid w:val="00794F65"/>
    <w:rsid w:val="00800D56"/>
    <w:rsid w:val="00802147"/>
    <w:rsid w:val="00833223"/>
    <w:rsid w:val="00854D9B"/>
    <w:rsid w:val="00876A07"/>
    <w:rsid w:val="00897B9A"/>
    <w:rsid w:val="008E2BDF"/>
    <w:rsid w:val="008E7BCD"/>
    <w:rsid w:val="009159EA"/>
    <w:rsid w:val="00925288"/>
    <w:rsid w:val="00950625"/>
    <w:rsid w:val="009A19FC"/>
    <w:rsid w:val="009A33CA"/>
    <w:rsid w:val="00A22B20"/>
    <w:rsid w:val="00A52A2B"/>
    <w:rsid w:val="00A722C0"/>
    <w:rsid w:val="00A82280"/>
    <w:rsid w:val="00AA0170"/>
    <w:rsid w:val="00AA5485"/>
    <w:rsid w:val="00AC743C"/>
    <w:rsid w:val="00AD0305"/>
    <w:rsid w:val="00AD0858"/>
    <w:rsid w:val="00AF2632"/>
    <w:rsid w:val="00B124EA"/>
    <w:rsid w:val="00B748E1"/>
    <w:rsid w:val="00BA1B08"/>
    <w:rsid w:val="00BA1FE3"/>
    <w:rsid w:val="00BD6A7F"/>
    <w:rsid w:val="00BD6E8A"/>
    <w:rsid w:val="00BE1163"/>
    <w:rsid w:val="00C45EF0"/>
    <w:rsid w:val="00C75B35"/>
    <w:rsid w:val="00CB7E0A"/>
    <w:rsid w:val="00CD6388"/>
    <w:rsid w:val="00CE2325"/>
    <w:rsid w:val="00D150E5"/>
    <w:rsid w:val="00D22B98"/>
    <w:rsid w:val="00D30E90"/>
    <w:rsid w:val="00D615BB"/>
    <w:rsid w:val="00DE4E88"/>
    <w:rsid w:val="00DE54A5"/>
    <w:rsid w:val="00DF0DCF"/>
    <w:rsid w:val="00E167E4"/>
    <w:rsid w:val="00E750CD"/>
    <w:rsid w:val="00E96BB0"/>
    <w:rsid w:val="00EC5814"/>
    <w:rsid w:val="00EE6F86"/>
    <w:rsid w:val="00F60BE0"/>
    <w:rsid w:val="00FB0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28"/>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C5E28"/>
    <w:rPr>
      <w:rFonts w:ascii="宋体"/>
      <w:sz w:val="18"/>
      <w:szCs w:val="18"/>
    </w:rPr>
  </w:style>
  <w:style w:type="paragraph" w:styleId="a4">
    <w:name w:val="footer"/>
    <w:basedOn w:val="a"/>
    <w:qFormat/>
    <w:rsid w:val="004C5E28"/>
    <w:pPr>
      <w:tabs>
        <w:tab w:val="center" w:pos="4153"/>
        <w:tab w:val="right" w:pos="8306"/>
      </w:tabs>
      <w:snapToGrid w:val="0"/>
      <w:jc w:val="left"/>
    </w:pPr>
    <w:rPr>
      <w:sz w:val="18"/>
      <w:szCs w:val="18"/>
    </w:rPr>
  </w:style>
  <w:style w:type="paragraph" w:styleId="a5">
    <w:name w:val="header"/>
    <w:basedOn w:val="a"/>
    <w:qFormat/>
    <w:rsid w:val="004C5E2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C5E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basedOn w:val="a0"/>
    <w:link w:val="a3"/>
    <w:qFormat/>
    <w:rsid w:val="004C5E2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4</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2025-04-07T16:02:00Z</dcterms:created>
  <dcterms:modified xsi:type="dcterms:W3CDTF">2025-04-07T16:02:00Z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61344B9CF59366291292F367E58F8D73</vt:lpwstr>
  </property>
  <property fmtid="{D5CDD505-2E9C-101B-9397-08002B2CF9AE}" pid="3" name="KSOProductBuildVer">
    <vt:lpwstr>2052-11.8.2.12219</vt:lpwstr>
  </property>
</Properties>
</file>