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F" w:rsidRPr="00FA6DB6" w:rsidRDefault="008930D9" w:rsidP="0092337F">
      <w:pPr>
        <w:widowControl/>
        <w:tabs>
          <w:tab w:val="left" w:pos="840"/>
          <w:tab w:val="center" w:pos="4153"/>
        </w:tabs>
        <w:snapToGrid w:val="0"/>
        <w:spacing w:line="360" w:lineRule="auto"/>
        <w:jc w:val="center"/>
        <w:rPr>
          <w:rFonts w:ascii="Times New Roman" w:eastAsia="宋体" w:hAnsi="宋体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华夏恒生生物科技交易型开放式指数证券投资基金</w:t>
      </w:r>
      <w:r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(QDII</w:t>
      </w:r>
      <w:r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）</w:t>
      </w:r>
    </w:p>
    <w:p w:rsidR="0092337F" w:rsidRPr="00FA6DB6" w:rsidRDefault="0092337F" w:rsidP="0092337F">
      <w:pPr>
        <w:widowControl/>
        <w:tabs>
          <w:tab w:val="left" w:pos="840"/>
          <w:tab w:val="center" w:pos="4153"/>
        </w:tabs>
        <w:snapToGrid w:val="0"/>
        <w:spacing w:line="360" w:lineRule="auto"/>
        <w:jc w:val="center"/>
        <w:rPr>
          <w:rFonts w:ascii="Times New Roman" w:eastAsia="宋体" w:hAnsi="宋体" w:cs="Times New Roman"/>
          <w:b/>
          <w:kern w:val="0"/>
          <w:sz w:val="24"/>
          <w:szCs w:val="24"/>
        </w:rPr>
      </w:pPr>
      <w:r w:rsidRPr="00FA6DB6"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二级市场交易价格溢价风险提示公告</w:t>
      </w:r>
    </w:p>
    <w:p w:rsidR="0092337F" w:rsidRPr="00FA6DB6" w:rsidRDefault="0092337F" w:rsidP="0092337F">
      <w:pPr>
        <w:widowControl/>
        <w:tabs>
          <w:tab w:val="left" w:pos="840"/>
          <w:tab w:val="center" w:pos="4153"/>
        </w:tabs>
        <w:snapToGrid w:val="0"/>
        <w:spacing w:line="360" w:lineRule="auto"/>
        <w:jc w:val="center"/>
        <w:rPr>
          <w:rFonts w:ascii="Times New Roman" w:eastAsia="宋体" w:hAnsi="宋体" w:cs="Times New Roman"/>
          <w:kern w:val="0"/>
          <w:sz w:val="24"/>
          <w:szCs w:val="24"/>
        </w:rPr>
      </w:pPr>
    </w:p>
    <w:p w:rsidR="0092337F" w:rsidRPr="00FA6DB6" w:rsidRDefault="0092337F" w:rsidP="0092337F">
      <w:pPr>
        <w:widowControl/>
        <w:snapToGrid w:val="0"/>
        <w:spacing w:line="360" w:lineRule="auto"/>
        <w:ind w:firstLine="480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近期，华夏基金管理有限公司（以下简称“</w:t>
      </w:r>
      <w:r w:rsidRPr="00FC293A">
        <w:rPr>
          <w:rFonts w:ascii="Times New Roman" w:eastAsia="宋体" w:hAnsi="宋体" w:cs="Times New Roman"/>
          <w:kern w:val="0"/>
          <w:sz w:val="24"/>
          <w:szCs w:val="24"/>
        </w:rPr>
        <w:t>基金管理人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”）旗下</w:t>
      </w:r>
      <w:r w:rsidR="008930D9">
        <w:rPr>
          <w:rFonts w:ascii="Times New Roman" w:eastAsia="宋体" w:hAnsi="宋体" w:cs="Times New Roman" w:hint="eastAsia"/>
          <w:kern w:val="0"/>
          <w:sz w:val="24"/>
          <w:szCs w:val="24"/>
        </w:rPr>
        <w:t>华夏恒生生物科技交易型开放式指数证券投资基金</w:t>
      </w:r>
      <w:r w:rsidR="008930D9">
        <w:rPr>
          <w:rFonts w:ascii="Times New Roman" w:eastAsia="宋体" w:hAnsi="宋体" w:cs="Times New Roman" w:hint="eastAsia"/>
          <w:kern w:val="0"/>
          <w:sz w:val="24"/>
          <w:szCs w:val="24"/>
        </w:rPr>
        <w:t>(QDII</w:t>
      </w:r>
      <w:r w:rsidR="008930D9">
        <w:rPr>
          <w:rFonts w:ascii="Times New Roman" w:eastAsia="宋体" w:hAnsi="宋体" w:cs="Times New Roman" w:hint="eastAsia"/>
          <w:kern w:val="0"/>
          <w:sz w:val="24"/>
          <w:szCs w:val="24"/>
        </w:rPr>
        <w:t>）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（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场内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简称：</w:t>
      </w:r>
      <w:r w:rsidR="008930D9" w:rsidRPr="008930D9">
        <w:rPr>
          <w:rFonts w:ascii="Times New Roman" w:eastAsia="宋体" w:hAnsi="宋体" w:cs="Times New Roman" w:hint="eastAsia"/>
          <w:kern w:val="0"/>
          <w:sz w:val="24"/>
          <w:szCs w:val="24"/>
        </w:rPr>
        <w:t>恒生医药</w:t>
      </w:r>
      <w:r w:rsidR="008930D9" w:rsidRPr="008930D9">
        <w:rPr>
          <w:rFonts w:ascii="Times New Roman" w:eastAsia="宋体" w:hAnsi="宋体" w:cs="Times New Roman"/>
          <w:kern w:val="0"/>
          <w:sz w:val="24"/>
          <w:szCs w:val="24"/>
        </w:rPr>
        <w:t>ETF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，交易代码：</w:t>
      </w:r>
      <w:r w:rsidR="008930D9" w:rsidRPr="008930D9">
        <w:rPr>
          <w:rFonts w:ascii="Times New Roman" w:eastAsia="宋体" w:hAnsi="宋体" w:cs="Times New Roman"/>
          <w:kern w:val="0"/>
          <w:sz w:val="24"/>
          <w:szCs w:val="24"/>
        </w:rPr>
        <w:t>159892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，以下简称“本基金”）</w:t>
      </w:r>
      <w:r w:rsidRPr="00FA6DB6">
        <w:rPr>
          <w:rFonts w:ascii="Times New Roman" w:eastAsia="宋体" w:hAnsi="宋体" w:cs="Times New Roman"/>
          <w:kern w:val="0"/>
          <w:sz w:val="24"/>
          <w:szCs w:val="24"/>
        </w:rPr>
        <w:t>二级市场交易价格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明显高于基金份额参考净值，出现较大幅度溢价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。</w:t>
      </w:r>
      <w:r w:rsidRPr="00FC293A"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特此提示投资者关注二级市场交易价格溢价风险，投资者</w:t>
      </w:r>
      <w:r w:rsidRPr="00FC293A">
        <w:rPr>
          <w:rFonts w:ascii="Times New Roman" w:eastAsia="宋体" w:hAnsi="宋体" w:cs="Times New Roman"/>
          <w:b/>
          <w:kern w:val="0"/>
          <w:sz w:val="24"/>
          <w:szCs w:val="24"/>
        </w:rPr>
        <w:t>如果盲目投资，可能遭受重大损失</w:t>
      </w:r>
      <w:r w:rsidRPr="00FC293A"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。</w:t>
      </w:r>
      <w:r w:rsidRPr="00A263C2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若本基金</w:t>
      </w:r>
      <w:r w:rsidR="008930D9" w:rsidRPr="00A263C2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2</w:t>
      </w:r>
      <w:r w:rsidR="008930D9" w:rsidRPr="00A263C2">
        <w:rPr>
          <w:rFonts w:ascii="Times New Roman" w:eastAsia="宋体" w:hAnsi="宋体" w:cs="Times New Roman"/>
          <w:bCs/>
          <w:kern w:val="0"/>
          <w:sz w:val="24"/>
          <w:szCs w:val="24"/>
        </w:rPr>
        <w:t>025</w:t>
      </w:r>
      <w:r w:rsidR="008930D9" w:rsidRPr="00A263C2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年</w:t>
      </w:r>
      <w:r w:rsidR="008930D9">
        <w:rPr>
          <w:rFonts w:ascii="Times New Roman" w:eastAsia="宋体" w:hAnsi="宋体" w:cs="Times New Roman"/>
          <w:bCs/>
          <w:kern w:val="0"/>
          <w:sz w:val="24"/>
          <w:szCs w:val="24"/>
        </w:rPr>
        <w:t>4</w:t>
      </w:r>
      <w:r w:rsidRPr="00A263C2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月</w:t>
      </w:r>
      <w:r w:rsidR="008930D9">
        <w:rPr>
          <w:rFonts w:ascii="Times New Roman" w:eastAsia="宋体" w:hAnsi="宋体" w:cs="Times New Roman"/>
          <w:bCs/>
          <w:kern w:val="0"/>
          <w:sz w:val="24"/>
          <w:szCs w:val="24"/>
        </w:rPr>
        <w:t>8</w:t>
      </w:r>
      <w:r w:rsidRPr="00A263C2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日二级市场交易价格溢价幅度未有效回落，本基金有权采取向深圳证券交易所申请</w:t>
      </w:r>
      <w:r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盘中临时停牌</w:t>
      </w:r>
      <w:r w:rsidRPr="00A263C2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、延长停牌时间等措施以向市场警示风险，具体以届时公告为准。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现</w:t>
      </w: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特向投资者提示如下：</w:t>
      </w:r>
    </w:p>
    <w:p w:rsidR="0092337F" w:rsidRPr="00FA6DB6" w:rsidRDefault="0092337F" w:rsidP="0092337F">
      <w:pPr>
        <w:widowControl/>
        <w:snapToGrid w:val="0"/>
        <w:spacing w:line="360" w:lineRule="auto"/>
        <w:ind w:firstLine="480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一、本基金为交易型开放式基金，投资者可在二级市场交易本基金，也可以申购、赎回本基金。本基金二级市场的交易价格，</w:t>
      </w:r>
      <w:r w:rsidRPr="00FA6DB6">
        <w:rPr>
          <w:rFonts w:ascii="Times New Roman" w:eastAsia="宋体" w:hAnsi="宋体" w:cs="Times New Roman"/>
          <w:kern w:val="0"/>
          <w:sz w:val="24"/>
          <w:szCs w:val="24"/>
        </w:rPr>
        <w:t>除了有基金份额净值变化的风险外，还会受到市场供求关系、系统性风险、流动性风险等其他因素的影响，可能使投资人面临损失。</w:t>
      </w:r>
    </w:p>
    <w:p w:rsidR="0092337F" w:rsidRPr="00FA6DB6" w:rsidRDefault="0092337F" w:rsidP="0092337F">
      <w:pPr>
        <w:widowControl/>
        <w:snapToGrid w:val="0"/>
        <w:spacing w:line="360" w:lineRule="auto"/>
        <w:ind w:firstLine="480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  <w:r w:rsidRPr="00FA6DB6">
        <w:rPr>
          <w:rFonts w:ascii="Times New Roman" w:eastAsia="宋体" w:hAnsi="宋体" w:cs="Times New Roman" w:hint="eastAsia"/>
          <w:kern w:val="0"/>
          <w:sz w:val="24"/>
          <w:szCs w:val="24"/>
        </w:rPr>
        <w:t>二、截至目前，本基金运作正常且无应披露而未披露的重大信息，基金管理人将严格按照法律法规及基金合同的规定进行投资运作，履行信息披露义务。</w:t>
      </w:r>
    </w:p>
    <w:p w:rsidR="0092337F" w:rsidRPr="00FA6DB6" w:rsidRDefault="0092337F" w:rsidP="0092337F">
      <w:pPr>
        <w:widowControl/>
        <w:snapToGrid w:val="0"/>
        <w:spacing w:line="360" w:lineRule="auto"/>
        <w:ind w:firstLine="480"/>
        <w:jc w:val="left"/>
        <w:rPr>
          <w:rFonts w:ascii="Times New Roman" w:eastAsia="宋体" w:hAnsi="宋体" w:cs="Times New Roman"/>
          <w:b/>
          <w:kern w:val="0"/>
          <w:sz w:val="24"/>
          <w:szCs w:val="24"/>
        </w:rPr>
      </w:pPr>
      <w:r w:rsidRPr="00FA6DB6">
        <w:rPr>
          <w:rFonts w:ascii="Times New Roman" w:eastAsia="宋体" w:hAnsi="宋体" w:cs="Times New Roman"/>
          <w:b/>
          <w:kern w:val="0"/>
          <w:sz w:val="24"/>
          <w:szCs w:val="24"/>
        </w:rPr>
        <w:t>风险提示：</w:t>
      </w:r>
      <w:r w:rsidRPr="0092337F">
        <w:rPr>
          <w:rFonts w:ascii="Times New Roman" w:eastAsia="宋体" w:hAnsi="宋体" w:cs="Times New Roman"/>
          <w:b/>
          <w:kern w:val="0"/>
          <w:sz w:val="24"/>
          <w:szCs w:val="24"/>
        </w:rPr>
        <w:t>基金管理人承诺以诚实信用、勤勉尽责的原则管理和运用基金资产，但不保证基金一定盈利，也不保证最低收益。基金的过往业绩及其净值高低并不预示其未来业绩表现。基金管理人提醒投资者基金投资的“买者自负”原则，在做出投资决策后，基金运营状况与基金净值变化引致的投资风险，由投资者自行负担。投资者在投资基金之前，请仔细阅读本基金的基金合同、招募说明书、基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92337F" w:rsidRPr="00FA6DB6" w:rsidRDefault="0092337F" w:rsidP="0092337F">
      <w:pPr>
        <w:spacing w:line="360" w:lineRule="auto"/>
        <w:ind w:firstLineChars="200" w:firstLine="480"/>
        <w:rPr>
          <w:rFonts w:ascii="Calibri" w:eastAsia="宋体" w:hAnsi="宋体" w:cs="Cordia New"/>
          <w:sz w:val="24"/>
        </w:rPr>
      </w:pPr>
      <w:r w:rsidRPr="00FA6DB6">
        <w:rPr>
          <w:rFonts w:ascii="Calibri" w:eastAsia="宋体" w:hAnsi="宋体" w:cs="Cordia New"/>
          <w:sz w:val="24"/>
        </w:rPr>
        <w:t>特此公告</w:t>
      </w:r>
    </w:p>
    <w:p w:rsidR="0092337F" w:rsidRPr="00FA6DB6" w:rsidRDefault="0092337F" w:rsidP="0092337F">
      <w:pPr>
        <w:tabs>
          <w:tab w:val="left" w:pos="10440"/>
        </w:tabs>
        <w:snapToGrid w:val="0"/>
        <w:spacing w:line="360" w:lineRule="auto"/>
        <w:jc w:val="right"/>
        <w:rPr>
          <w:rFonts w:ascii="Calibri" w:eastAsia="宋体" w:hAnsi="Calibri" w:cs="Cordia New"/>
          <w:color w:val="000000"/>
          <w:sz w:val="24"/>
        </w:rPr>
      </w:pPr>
      <w:r w:rsidRPr="00FA6DB6">
        <w:rPr>
          <w:rFonts w:ascii="Calibri" w:eastAsia="宋体" w:hAnsi="宋体" w:cs="Cordia New"/>
          <w:color w:val="000000"/>
          <w:sz w:val="24"/>
        </w:rPr>
        <w:t>华夏基金管理有限公司</w:t>
      </w:r>
    </w:p>
    <w:p w:rsidR="0044541E" w:rsidRDefault="0092337F" w:rsidP="00A35A76">
      <w:pPr>
        <w:wordWrap w:val="0"/>
        <w:jc w:val="right"/>
      </w:pPr>
      <w:r w:rsidRPr="00FA6DB6">
        <w:rPr>
          <w:rFonts w:ascii="宋体" w:eastAsia="宋体" w:hAnsi="宋体" w:cs="Cordia New"/>
          <w:color w:val="000000"/>
          <w:sz w:val="24"/>
        </w:rPr>
        <w:t>二○二</w:t>
      </w:r>
      <w:r>
        <w:rPr>
          <w:rFonts w:ascii="宋体" w:eastAsia="宋体" w:hAnsi="宋体" w:cs="Cordia New" w:hint="eastAsia"/>
          <w:color w:val="000000"/>
          <w:sz w:val="24"/>
        </w:rPr>
        <w:t>五</w:t>
      </w:r>
      <w:r w:rsidRPr="00FA6DB6">
        <w:rPr>
          <w:rFonts w:ascii="Calibri" w:eastAsia="宋体" w:hAnsi="宋体" w:cs="Cordia New"/>
          <w:color w:val="000000"/>
          <w:sz w:val="24"/>
        </w:rPr>
        <w:t>年</w:t>
      </w:r>
      <w:r w:rsidR="008930D9">
        <w:rPr>
          <w:rFonts w:ascii="Calibri" w:eastAsia="宋体" w:hAnsi="宋体" w:cs="Cordia New" w:hint="eastAsia"/>
          <w:color w:val="000000"/>
          <w:sz w:val="24"/>
        </w:rPr>
        <w:t>四</w:t>
      </w:r>
      <w:r w:rsidRPr="00FA6DB6">
        <w:rPr>
          <w:rFonts w:ascii="Calibri" w:eastAsia="宋体" w:hAnsi="宋体" w:cs="Cordia New"/>
          <w:color w:val="000000"/>
          <w:sz w:val="24"/>
        </w:rPr>
        <w:t>月</w:t>
      </w:r>
      <w:r w:rsidR="00B0296E">
        <w:rPr>
          <w:rFonts w:ascii="Calibri" w:eastAsia="宋体" w:hAnsi="宋体" w:cs="Cordia New" w:hint="eastAsia"/>
          <w:color w:val="000000"/>
          <w:sz w:val="24"/>
        </w:rPr>
        <w:t>八</w:t>
      </w:r>
      <w:r w:rsidRPr="00FA6DB6">
        <w:rPr>
          <w:rFonts w:ascii="Calibri" w:eastAsia="宋体" w:hAnsi="宋体" w:cs="Cordia New"/>
          <w:color w:val="000000"/>
          <w:sz w:val="24"/>
        </w:rPr>
        <w:t>日</w:t>
      </w:r>
    </w:p>
    <w:sectPr w:rsidR="0044541E" w:rsidSect="0092337F"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B5" w:rsidRDefault="004F4BB5" w:rsidP="0092337F">
      <w:r>
        <w:separator/>
      </w:r>
    </w:p>
  </w:endnote>
  <w:endnote w:type="continuationSeparator" w:id="0">
    <w:p w:rsidR="004F4BB5" w:rsidRDefault="004F4BB5" w:rsidP="00923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B5" w:rsidRDefault="004F4BB5" w:rsidP="0092337F">
      <w:r>
        <w:separator/>
      </w:r>
    </w:p>
  </w:footnote>
  <w:footnote w:type="continuationSeparator" w:id="0">
    <w:p w:rsidR="004F4BB5" w:rsidRDefault="004F4BB5" w:rsidP="00923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E2"/>
    <w:rsid w:val="00071747"/>
    <w:rsid w:val="000736F6"/>
    <w:rsid w:val="000E0C01"/>
    <w:rsid w:val="001801E2"/>
    <w:rsid w:val="0019590A"/>
    <w:rsid w:val="001A0B34"/>
    <w:rsid w:val="00273C87"/>
    <w:rsid w:val="00280DE0"/>
    <w:rsid w:val="0044541E"/>
    <w:rsid w:val="004F4BB5"/>
    <w:rsid w:val="0055453E"/>
    <w:rsid w:val="00611FC4"/>
    <w:rsid w:val="00644051"/>
    <w:rsid w:val="006E5FE3"/>
    <w:rsid w:val="007020C3"/>
    <w:rsid w:val="00740C09"/>
    <w:rsid w:val="00765C58"/>
    <w:rsid w:val="008641C6"/>
    <w:rsid w:val="008930D9"/>
    <w:rsid w:val="0092337F"/>
    <w:rsid w:val="00A35A76"/>
    <w:rsid w:val="00A46C67"/>
    <w:rsid w:val="00A9243C"/>
    <w:rsid w:val="00B0296E"/>
    <w:rsid w:val="00B5661B"/>
    <w:rsid w:val="00D06F89"/>
    <w:rsid w:val="00D4418E"/>
    <w:rsid w:val="00D7054D"/>
    <w:rsid w:val="00DB484B"/>
    <w:rsid w:val="00F051B3"/>
    <w:rsid w:val="00FC5D62"/>
    <w:rsid w:val="00FD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18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01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01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01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01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01E2"/>
    <w:pPr>
      <w:keepNext/>
      <w:keepLines/>
      <w:outlineLvl w:val="7"/>
    </w:pPr>
    <w:rPr>
      <w:rFonts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01E2"/>
    <w:pPr>
      <w:keepNext/>
      <w:keepLines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01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80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80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801E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801E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1801E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801E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801E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8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801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8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01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8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01E2"/>
    <w:pPr>
      <w:spacing w:before="160" w:after="160"/>
      <w:jc w:val="center"/>
    </w:pPr>
    <w:rPr>
      <w:i/>
      <w:iCs/>
      <w:color w:val="404040" w:themeColor="text1" w:themeTint="BF"/>
      <w:sz w:val="22"/>
    </w:rPr>
  </w:style>
  <w:style w:type="character" w:customStyle="1" w:styleId="Char1">
    <w:name w:val="引用 Char"/>
    <w:basedOn w:val="a0"/>
    <w:link w:val="a5"/>
    <w:uiPriority w:val="29"/>
    <w:rsid w:val="001801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01E2"/>
    <w:pPr>
      <w:ind w:left="720"/>
      <w:contextualSpacing/>
    </w:pPr>
    <w:rPr>
      <w:sz w:val="22"/>
    </w:rPr>
  </w:style>
  <w:style w:type="character" w:styleId="a7">
    <w:name w:val="Intense Emphasis"/>
    <w:basedOn w:val="a0"/>
    <w:uiPriority w:val="21"/>
    <w:qFormat/>
    <w:rsid w:val="001801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0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Char2">
    <w:name w:val="明显引用 Char"/>
    <w:basedOn w:val="a0"/>
    <w:link w:val="a8"/>
    <w:uiPriority w:val="30"/>
    <w:rsid w:val="001801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01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233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2337F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2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2337F"/>
    <w:rPr>
      <w:sz w:val="18"/>
      <w:szCs w:val="18"/>
    </w:rPr>
  </w:style>
  <w:style w:type="paragraph" w:styleId="ac">
    <w:name w:val="Balloon Text"/>
    <w:basedOn w:val="a"/>
    <w:link w:val="Char5"/>
    <w:uiPriority w:val="99"/>
    <w:semiHidden/>
    <w:unhideWhenUsed/>
    <w:rsid w:val="008930D9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893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2025-04-07T16:03:00Z</dcterms:created>
  <dcterms:modified xsi:type="dcterms:W3CDTF">2025-04-07T16:03:00Z</dcterms:modified>
</cp:coreProperties>
</file>