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30A" w:rsidRDefault="00A47E3E">
      <w:pPr>
        <w:jc w:val="center"/>
        <w:rPr>
          <w:b/>
          <w:sz w:val="32"/>
        </w:rPr>
      </w:pPr>
      <w:r>
        <w:rPr>
          <w:rFonts w:hint="eastAsia"/>
          <w:b/>
          <w:sz w:val="32"/>
        </w:rPr>
        <w:t>南方基金管理股份有限公司关于</w:t>
      </w:r>
      <w:r w:rsidR="00CA3526" w:rsidRPr="00CA3526">
        <w:rPr>
          <w:rFonts w:hint="eastAsia"/>
          <w:b/>
          <w:sz w:val="32"/>
        </w:rPr>
        <w:t>南方恒生交易型开放式指数证券投资基金联接基金</w:t>
      </w:r>
      <w:r w:rsidR="00CA3526" w:rsidRPr="003D2761">
        <w:rPr>
          <w:rFonts w:asciiTheme="majorEastAsia" w:eastAsiaTheme="majorEastAsia" w:hAnsiTheme="majorEastAsia"/>
          <w:b/>
          <w:sz w:val="32"/>
        </w:rPr>
        <w:t>A</w:t>
      </w:r>
      <w:r>
        <w:rPr>
          <w:rFonts w:hint="eastAsia"/>
          <w:b/>
          <w:sz w:val="32"/>
        </w:rPr>
        <w:t>类基金份额</w:t>
      </w:r>
      <w:r w:rsidR="00CA3526" w:rsidRPr="00CA3526">
        <w:rPr>
          <w:rFonts w:hint="eastAsia"/>
          <w:b/>
          <w:sz w:val="32"/>
        </w:rPr>
        <w:t>二级市场交易价格</w:t>
      </w:r>
      <w:r w:rsidR="008E7578">
        <w:rPr>
          <w:rFonts w:hint="eastAsia"/>
          <w:b/>
          <w:sz w:val="32"/>
        </w:rPr>
        <w:t>溢价</w:t>
      </w:r>
      <w:r>
        <w:rPr>
          <w:rFonts w:hint="eastAsia"/>
          <w:b/>
          <w:sz w:val="32"/>
        </w:rPr>
        <w:t>风险提示公告</w:t>
      </w:r>
    </w:p>
    <w:p w:rsidR="007F730A" w:rsidRDefault="007F730A">
      <w:pPr>
        <w:widowControl/>
        <w:spacing w:line="360" w:lineRule="auto"/>
        <w:ind w:firstLine="360"/>
        <w:jc w:val="left"/>
        <w:rPr>
          <w:rFonts w:ascii="宋体" w:hAnsi="宋体"/>
          <w:kern w:val="0"/>
          <w:szCs w:val="18"/>
        </w:rPr>
      </w:pPr>
    </w:p>
    <w:p w:rsidR="007F730A" w:rsidRDefault="00A47E3E" w:rsidP="002866DE">
      <w:pPr>
        <w:widowControl/>
        <w:spacing w:line="360" w:lineRule="auto"/>
        <w:ind w:firstLine="360"/>
        <w:rPr>
          <w:rFonts w:ascii="宋体" w:hAnsi="宋体"/>
          <w:kern w:val="0"/>
          <w:szCs w:val="18"/>
        </w:rPr>
      </w:pPr>
      <w:r>
        <w:rPr>
          <w:rFonts w:ascii="宋体" w:hAnsi="宋体" w:hint="eastAsia"/>
          <w:kern w:val="0"/>
          <w:szCs w:val="18"/>
        </w:rPr>
        <w:t>近期，南方基金管理股份有限公司（以下简称“本基金管理人”）旗下</w:t>
      </w:r>
      <w:r w:rsidR="00CA3526" w:rsidRPr="00CA3526">
        <w:rPr>
          <w:rFonts w:ascii="宋体" w:hAnsi="宋体" w:hint="eastAsia"/>
          <w:kern w:val="0"/>
          <w:szCs w:val="18"/>
        </w:rPr>
        <w:t>南方恒生交易型开放式指数证券投资基金联接基金</w:t>
      </w:r>
      <w:r w:rsidR="00CA3526">
        <w:rPr>
          <w:rFonts w:ascii="宋体" w:hAnsi="宋体" w:hint="eastAsia"/>
          <w:kern w:val="0"/>
          <w:szCs w:val="18"/>
        </w:rPr>
        <w:t>A</w:t>
      </w:r>
      <w:r>
        <w:rPr>
          <w:rFonts w:ascii="宋体" w:hAnsi="宋体" w:hint="eastAsia"/>
          <w:kern w:val="0"/>
          <w:szCs w:val="18"/>
        </w:rPr>
        <w:t>类基金份额（</w:t>
      </w:r>
      <w:r w:rsidR="00CA3526">
        <w:rPr>
          <w:rFonts w:ascii="宋体" w:hAnsi="宋体" w:hint="eastAsia"/>
          <w:kern w:val="0"/>
          <w:szCs w:val="18"/>
        </w:rPr>
        <w:t>场内</w:t>
      </w:r>
      <w:r>
        <w:rPr>
          <w:rFonts w:ascii="宋体" w:hAnsi="宋体" w:hint="eastAsia"/>
          <w:kern w:val="0"/>
          <w:szCs w:val="18"/>
        </w:rPr>
        <w:t>简称：</w:t>
      </w:r>
      <w:r w:rsidR="00CA3526" w:rsidRPr="00CA3526">
        <w:rPr>
          <w:rFonts w:ascii="宋体" w:hAnsi="宋体" w:hint="eastAsia"/>
          <w:kern w:val="0"/>
          <w:szCs w:val="18"/>
        </w:rPr>
        <w:t>恒生联接；恒生指数基金LOF</w:t>
      </w:r>
      <w:r w:rsidR="00CA3526">
        <w:rPr>
          <w:rFonts w:ascii="宋体" w:hAnsi="宋体" w:hint="eastAsia"/>
          <w:kern w:val="0"/>
          <w:szCs w:val="18"/>
        </w:rPr>
        <w:t>，</w:t>
      </w:r>
      <w:r>
        <w:rPr>
          <w:rFonts w:ascii="宋体" w:hAnsi="宋体" w:hint="eastAsia"/>
          <w:kern w:val="0"/>
          <w:szCs w:val="18"/>
        </w:rPr>
        <w:t>交易代码：</w:t>
      </w:r>
      <w:r w:rsidR="00CA3526" w:rsidRPr="00CA3526">
        <w:rPr>
          <w:rFonts w:ascii="宋体" w:hAnsi="宋体"/>
          <w:kern w:val="0"/>
          <w:szCs w:val="18"/>
        </w:rPr>
        <w:t>501302</w:t>
      </w:r>
      <w:r w:rsidR="00CA3526" w:rsidRPr="00CA3526">
        <w:rPr>
          <w:rFonts w:ascii="宋体" w:hAnsi="宋体" w:hint="eastAsia"/>
          <w:kern w:val="0"/>
          <w:szCs w:val="18"/>
        </w:rPr>
        <w:t>，以下简称“本基金”</w:t>
      </w:r>
      <w:r>
        <w:rPr>
          <w:rFonts w:ascii="宋体" w:hAnsi="宋体" w:hint="eastAsia"/>
          <w:kern w:val="0"/>
          <w:szCs w:val="18"/>
        </w:rPr>
        <w:t>）二级市场交易价格波动较大，请投资者密切关注基金份额净值。</w:t>
      </w:r>
      <w:r w:rsidR="002E7AC8" w:rsidRPr="00CA3526">
        <w:rPr>
          <w:rFonts w:ascii="宋体" w:hAnsi="宋体" w:hint="eastAsia"/>
          <w:kern w:val="0"/>
          <w:szCs w:val="18"/>
        </w:rPr>
        <w:t>202</w:t>
      </w:r>
      <w:r w:rsidR="002E7AC8">
        <w:rPr>
          <w:rFonts w:ascii="宋体" w:hAnsi="宋体"/>
          <w:kern w:val="0"/>
          <w:szCs w:val="18"/>
        </w:rPr>
        <w:t>5</w:t>
      </w:r>
      <w:r w:rsidR="00CA3526" w:rsidRPr="00CA3526">
        <w:rPr>
          <w:rFonts w:ascii="宋体" w:hAnsi="宋体" w:hint="eastAsia"/>
          <w:kern w:val="0"/>
          <w:szCs w:val="18"/>
        </w:rPr>
        <w:t>年</w:t>
      </w:r>
      <w:r w:rsidR="002E7AC8">
        <w:rPr>
          <w:rFonts w:ascii="宋体" w:hAnsi="宋体"/>
          <w:kern w:val="0"/>
          <w:szCs w:val="18"/>
        </w:rPr>
        <w:t>4</w:t>
      </w:r>
      <w:r w:rsidR="00CA3526" w:rsidRPr="00CA3526">
        <w:rPr>
          <w:rFonts w:ascii="宋体" w:hAnsi="宋体" w:hint="eastAsia"/>
          <w:kern w:val="0"/>
          <w:szCs w:val="18"/>
        </w:rPr>
        <w:t>月</w:t>
      </w:r>
      <w:r w:rsidR="008B1BCB">
        <w:rPr>
          <w:rFonts w:ascii="宋体" w:hAnsi="宋体"/>
          <w:kern w:val="0"/>
          <w:szCs w:val="18"/>
        </w:rPr>
        <w:t>3</w:t>
      </w:r>
      <w:r w:rsidR="00CA3526" w:rsidRPr="00CA3526">
        <w:rPr>
          <w:rFonts w:ascii="宋体" w:hAnsi="宋体" w:hint="eastAsia"/>
          <w:kern w:val="0"/>
          <w:szCs w:val="18"/>
        </w:rPr>
        <w:t>日本基金基金份额净值为</w:t>
      </w:r>
      <w:r w:rsidR="008B1BCB" w:rsidRPr="008B1BCB">
        <w:rPr>
          <w:rFonts w:ascii="宋体" w:hAnsi="宋体"/>
          <w:kern w:val="0"/>
          <w:szCs w:val="18"/>
        </w:rPr>
        <w:t>1.0850</w:t>
      </w:r>
      <w:r w:rsidR="00CA3526" w:rsidRPr="00077D75">
        <w:rPr>
          <w:rFonts w:ascii="宋体" w:hAnsi="宋体" w:hint="eastAsia"/>
          <w:kern w:val="0"/>
          <w:szCs w:val="18"/>
        </w:rPr>
        <w:t>元</w:t>
      </w:r>
      <w:r w:rsidR="00CA3526" w:rsidRPr="00CA3526">
        <w:rPr>
          <w:rFonts w:ascii="宋体" w:hAnsi="宋体" w:hint="eastAsia"/>
          <w:kern w:val="0"/>
          <w:szCs w:val="18"/>
        </w:rPr>
        <w:t>，</w:t>
      </w:r>
      <w:r w:rsidR="002E7AC8" w:rsidRPr="00CA3526">
        <w:rPr>
          <w:rFonts w:ascii="宋体" w:hAnsi="宋体" w:hint="eastAsia"/>
          <w:kern w:val="0"/>
          <w:szCs w:val="18"/>
        </w:rPr>
        <w:t>202</w:t>
      </w:r>
      <w:r w:rsidR="002E7AC8">
        <w:rPr>
          <w:rFonts w:ascii="宋体" w:hAnsi="宋体"/>
          <w:kern w:val="0"/>
          <w:szCs w:val="18"/>
        </w:rPr>
        <w:t>5</w:t>
      </w:r>
      <w:r w:rsidR="00CA3526" w:rsidRPr="00CA3526">
        <w:rPr>
          <w:rFonts w:ascii="宋体" w:hAnsi="宋体" w:hint="eastAsia"/>
          <w:kern w:val="0"/>
          <w:szCs w:val="18"/>
        </w:rPr>
        <w:t>年</w:t>
      </w:r>
      <w:r w:rsidR="002E7AC8">
        <w:rPr>
          <w:rFonts w:ascii="宋体" w:hAnsi="宋体"/>
          <w:kern w:val="0"/>
          <w:szCs w:val="18"/>
        </w:rPr>
        <w:t>4</w:t>
      </w:r>
      <w:r w:rsidR="00CA3526" w:rsidRPr="00CA3526">
        <w:rPr>
          <w:rFonts w:ascii="宋体" w:hAnsi="宋体" w:hint="eastAsia"/>
          <w:kern w:val="0"/>
          <w:szCs w:val="18"/>
        </w:rPr>
        <w:t>月</w:t>
      </w:r>
      <w:r w:rsidR="008B1BCB">
        <w:rPr>
          <w:rFonts w:ascii="宋体" w:hAnsi="宋体"/>
          <w:kern w:val="0"/>
          <w:szCs w:val="18"/>
        </w:rPr>
        <w:t>7</w:t>
      </w:r>
      <w:r w:rsidR="00CA3526" w:rsidRPr="00CA3526">
        <w:rPr>
          <w:rFonts w:ascii="宋体" w:hAnsi="宋体" w:hint="eastAsia"/>
          <w:kern w:val="0"/>
          <w:szCs w:val="18"/>
        </w:rPr>
        <w:t>日本</w:t>
      </w:r>
      <w:bookmarkStart w:id="0" w:name="_GoBack"/>
      <w:bookmarkEnd w:id="0"/>
      <w:r w:rsidR="00CA3526" w:rsidRPr="00CA3526">
        <w:rPr>
          <w:rFonts w:ascii="宋体" w:hAnsi="宋体" w:hint="eastAsia"/>
          <w:kern w:val="0"/>
          <w:szCs w:val="18"/>
        </w:rPr>
        <w:t>基金在二级市场的收盘价为</w:t>
      </w:r>
      <w:r w:rsidR="00A929BB" w:rsidRPr="00A929BB">
        <w:rPr>
          <w:rFonts w:ascii="宋体" w:hAnsi="宋体"/>
          <w:kern w:val="0"/>
          <w:szCs w:val="18"/>
        </w:rPr>
        <w:t>1.204</w:t>
      </w:r>
      <w:r w:rsidR="00CA3526" w:rsidRPr="00077D75">
        <w:rPr>
          <w:rFonts w:ascii="宋体" w:hAnsi="宋体" w:hint="eastAsia"/>
          <w:kern w:val="0"/>
          <w:szCs w:val="18"/>
        </w:rPr>
        <w:t>元</w:t>
      </w:r>
      <w:r w:rsidR="00CA3526" w:rsidRPr="00CA3526">
        <w:rPr>
          <w:rFonts w:ascii="宋体" w:hAnsi="宋体" w:hint="eastAsia"/>
          <w:kern w:val="0"/>
          <w:szCs w:val="18"/>
        </w:rPr>
        <w:t>，明显高于</w:t>
      </w:r>
      <w:r w:rsidR="002E7AC8" w:rsidRPr="00CA3526">
        <w:rPr>
          <w:rFonts w:ascii="宋体" w:hAnsi="宋体" w:hint="eastAsia"/>
          <w:kern w:val="0"/>
          <w:szCs w:val="18"/>
        </w:rPr>
        <w:t>202</w:t>
      </w:r>
      <w:r w:rsidR="002E7AC8">
        <w:rPr>
          <w:rFonts w:ascii="宋体" w:hAnsi="宋体"/>
          <w:kern w:val="0"/>
          <w:szCs w:val="18"/>
        </w:rPr>
        <w:t>5</w:t>
      </w:r>
      <w:r w:rsidR="00CA3526" w:rsidRPr="00CA3526">
        <w:rPr>
          <w:rFonts w:ascii="宋体" w:hAnsi="宋体" w:hint="eastAsia"/>
          <w:kern w:val="0"/>
          <w:szCs w:val="18"/>
        </w:rPr>
        <w:t>年</w:t>
      </w:r>
      <w:r w:rsidR="002E7AC8">
        <w:rPr>
          <w:rFonts w:ascii="宋体" w:hAnsi="宋体"/>
          <w:kern w:val="0"/>
          <w:szCs w:val="18"/>
        </w:rPr>
        <w:t>4</w:t>
      </w:r>
      <w:r w:rsidR="00CA3526" w:rsidRPr="00CA3526">
        <w:rPr>
          <w:rFonts w:ascii="宋体" w:hAnsi="宋体" w:hint="eastAsia"/>
          <w:kern w:val="0"/>
          <w:szCs w:val="18"/>
        </w:rPr>
        <w:t>月</w:t>
      </w:r>
      <w:r w:rsidR="00A929BB">
        <w:rPr>
          <w:rFonts w:ascii="宋体" w:hAnsi="宋体"/>
          <w:kern w:val="0"/>
          <w:szCs w:val="18"/>
        </w:rPr>
        <w:t>3</w:t>
      </w:r>
      <w:r w:rsidR="00CA3526" w:rsidRPr="00CA3526">
        <w:rPr>
          <w:rFonts w:ascii="宋体" w:hAnsi="宋体" w:hint="eastAsia"/>
          <w:kern w:val="0"/>
          <w:szCs w:val="18"/>
        </w:rPr>
        <w:t>日</w:t>
      </w:r>
      <w:r w:rsidR="00CA3526">
        <w:rPr>
          <w:rFonts w:ascii="宋体" w:hAnsi="宋体" w:hint="eastAsia"/>
          <w:kern w:val="0"/>
          <w:szCs w:val="18"/>
        </w:rPr>
        <w:t>的</w:t>
      </w:r>
      <w:r w:rsidR="00CA3526" w:rsidRPr="00CA3526">
        <w:rPr>
          <w:rFonts w:ascii="宋体" w:hAnsi="宋体" w:hint="eastAsia"/>
          <w:kern w:val="0"/>
          <w:szCs w:val="18"/>
        </w:rPr>
        <w:t>基金份额净值。</w:t>
      </w:r>
      <w:r w:rsidR="002866DE" w:rsidRPr="002866DE">
        <w:rPr>
          <w:rFonts w:ascii="宋体" w:hAnsi="宋体" w:hint="eastAsia"/>
          <w:kern w:val="0"/>
          <w:szCs w:val="18"/>
        </w:rPr>
        <w:t>特此提示投资者关注二级市场交易价格溢价风险，</w:t>
      </w:r>
      <w:r>
        <w:rPr>
          <w:rFonts w:ascii="宋体" w:hAnsi="宋体" w:hint="eastAsia"/>
          <w:kern w:val="0"/>
          <w:szCs w:val="18"/>
        </w:rPr>
        <w:t>投资者如果盲目投资于高溢价率的基金份额，可能遭受重大损失。</w:t>
      </w:r>
      <w:r w:rsidR="005E53BD" w:rsidRPr="005E53BD">
        <w:rPr>
          <w:rFonts w:ascii="宋体" w:hAnsi="宋体" w:hint="eastAsia"/>
          <w:kern w:val="0"/>
          <w:szCs w:val="18"/>
        </w:rPr>
        <w:t>若本基金后续二级市场交易价格溢价幅度未有效回落，本基金有权采取向上海证券交易所申请盘中临时停牌、延长停牌时间等措施以向市场警示风险，具体以届时公告为准。</w:t>
      </w:r>
      <w:r w:rsidR="002866DE" w:rsidRPr="002866DE">
        <w:rPr>
          <w:rFonts w:ascii="宋体" w:hAnsi="宋体" w:hint="eastAsia"/>
          <w:kern w:val="0"/>
          <w:szCs w:val="18"/>
        </w:rPr>
        <w:t>现特向投资者提示如下：</w:t>
      </w:r>
    </w:p>
    <w:p w:rsidR="007F730A" w:rsidRDefault="00A47E3E" w:rsidP="00507136">
      <w:pPr>
        <w:widowControl/>
        <w:spacing w:line="360" w:lineRule="auto"/>
        <w:ind w:firstLine="360"/>
        <w:rPr>
          <w:rFonts w:ascii="宋体" w:hAnsi="宋体"/>
          <w:kern w:val="0"/>
          <w:szCs w:val="18"/>
        </w:rPr>
      </w:pPr>
      <w:r>
        <w:rPr>
          <w:rFonts w:ascii="宋体" w:hAnsi="宋体" w:hint="eastAsia"/>
          <w:kern w:val="0"/>
          <w:szCs w:val="18"/>
        </w:rPr>
        <w:t>1</w:t>
      </w:r>
      <w:r w:rsidR="00006EFB">
        <w:rPr>
          <w:rFonts w:ascii="宋体" w:hAnsi="宋体" w:hint="eastAsia"/>
          <w:kern w:val="0"/>
          <w:szCs w:val="18"/>
        </w:rPr>
        <w:t>、</w:t>
      </w:r>
      <w:r w:rsidR="002866DE" w:rsidRPr="002866DE">
        <w:rPr>
          <w:rFonts w:ascii="宋体" w:hAnsi="宋体" w:hint="eastAsia"/>
          <w:kern w:val="0"/>
          <w:szCs w:val="18"/>
        </w:rPr>
        <w:t>本基金</w:t>
      </w:r>
      <w:r>
        <w:rPr>
          <w:rFonts w:ascii="宋体" w:hAnsi="宋体" w:hint="eastAsia"/>
          <w:kern w:val="0"/>
          <w:szCs w:val="18"/>
        </w:rPr>
        <w:t>为上市型开放式基金，</w:t>
      </w:r>
      <w:r w:rsidR="00716B0B" w:rsidRPr="00716B0B">
        <w:rPr>
          <w:rFonts w:ascii="宋体" w:hAnsi="宋体" w:hint="eastAsia"/>
          <w:kern w:val="0"/>
          <w:szCs w:val="18"/>
        </w:rPr>
        <w:t>根据基金合同，</w:t>
      </w:r>
      <w:r w:rsidR="002866DE" w:rsidRPr="002866DE">
        <w:rPr>
          <w:rFonts w:ascii="宋体" w:hAnsi="宋体" w:hint="eastAsia"/>
          <w:kern w:val="0"/>
          <w:szCs w:val="18"/>
        </w:rPr>
        <w:t>本基金</w:t>
      </w:r>
      <w:r>
        <w:rPr>
          <w:rFonts w:ascii="宋体" w:hAnsi="宋体" w:hint="eastAsia"/>
          <w:kern w:val="0"/>
          <w:szCs w:val="18"/>
        </w:rPr>
        <w:t>除可在二级市场交易外，投资人还可以申购、赎回，申购、赎回价格以申请当日收市后计算的基金份额净值进行计算，投资者可通过基金管理人网站或交易行情系统查询</w:t>
      </w:r>
      <w:r w:rsidR="002866DE">
        <w:rPr>
          <w:rFonts w:ascii="宋体" w:hAnsi="宋体" w:hint="eastAsia"/>
          <w:kern w:val="0"/>
          <w:szCs w:val="18"/>
        </w:rPr>
        <w:t>本基金</w:t>
      </w:r>
      <w:r>
        <w:rPr>
          <w:rFonts w:ascii="宋体" w:hAnsi="宋体" w:hint="eastAsia"/>
          <w:kern w:val="0"/>
          <w:szCs w:val="18"/>
        </w:rPr>
        <w:t>的最新份额净值。</w:t>
      </w:r>
    </w:p>
    <w:p w:rsidR="007F730A" w:rsidRDefault="00A47E3E" w:rsidP="0074034D">
      <w:pPr>
        <w:widowControl/>
        <w:spacing w:line="360" w:lineRule="auto"/>
        <w:ind w:firstLine="360"/>
        <w:rPr>
          <w:rFonts w:ascii="宋体" w:hAnsi="宋体"/>
          <w:kern w:val="0"/>
          <w:szCs w:val="18"/>
        </w:rPr>
      </w:pPr>
      <w:r>
        <w:rPr>
          <w:rFonts w:ascii="宋体" w:hAnsi="宋体" w:hint="eastAsia"/>
          <w:kern w:val="0"/>
          <w:szCs w:val="18"/>
        </w:rPr>
        <w:t>2、截至</w:t>
      </w:r>
      <w:r>
        <w:rPr>
          <w:rFonts w:ascii="宋体" w:hAnsi="宋体"/>
          <w:kern w:val="0"/>
          <w:szCs w:val="18"/>
        </w:rPr>
        <w:t>目前</w:t>
      </w:r>
      <w:r>
        <w:rPr>
          <w:rFonts w:ascii="宋体" w:hAnsi="宋体" w:hint="eastAsia"/>
          <w:kern w:val="0"/>
          <w:szCs w:val="18"/>
        </w:rPr>
        <w:t>，</w:t>
      </w:r>
      <w:r w:rsidR="00C8547B" w:rsidRPr="002866DE">
        <w:rPr>
          <w:rFonts w:ascii="宋体" w:hAnsi="宋体" w:hint="eastAsia"/>
          <w:kern w:val="0"/>
          <w:szCs w:val="18"/>
        </w:rPr>
        <w:t>本基金</w:t>
      </w:r>
      <w:r>
        <w:rPr>
          <w:rFonts w:ascii="宋体" w:hAnsi="宋体" w:hint="eastAsia"/>
          <w:kern w:val="0"/>
          <w:szCs w:val="18"/>
        </w:rPr>
        <w:t>运作正常</w:t>
      </w:r>
      <w:r w:rsidR="00C8547B">
        <w:rPr>
          <w:rFonts w:ascii="宋体" w:hAnsi="宋体" w:hint="eastAsia"/>
          <w:kern w:val="0"/>
          <w:szCs w:val="18"/>
        </w:rPr>
        <w:t>且</w:t>
      </w:r>
      <w:r w:rsidR="00C8547B" w:rsidRPr="00C8547B">
        <w:rPr>
          <w:rFonts w:ascii="宋体" w:hAnsi="宋体" w:hint="eastAsia"/>
          <w:kern w:val="0"/>
          <w:szCs w:val="18"/>
        </w:rPr>
        <w:t>无其他应披露而未披露的重大信息</w:t>
      </w:r>
      <w:r>
        <w:rPr>
          <w:rFonts w:ascii="宋体" w:hAnsi="宋体" w:hint="eastAsia"/>
          <w:kern w:val="0"/>
          <w:szCs w:val="18"/>
        </w:rPr>
        <w:t>。</w:t>
      </w:r>
      <w:r w:rsidR="0074034D" w:rsidRPr="0074034D">
        <w:rPr>
          <w:rFonts w:ascii="宋体" w:hAnsi="宋体" w:hint="eastAsia"/>
          <w:kern w:val="0"/>
          <w:szCs w:val="18"/>
        </w:rPr>
        <w:t>本基金管理人仍将严格按照法律法规及基金合同的规定进行投资运作，履行信息披露义务。</w:t>
      </w:r>
    </w:p>
    <w:p w:rsidR="007F730A" w:rsidRDefault="00094BCC">
      <w:pPr>
        <w:widowControl/>
        <w:spacing w:line="360" w:lineRule="auto"/>
        <w:ind w:firstLine="360"/>
        <w:rPr>
          <w:rFonts w:ascii="宋体" w:hAnsi="宋体"/>
          <w:kern w:val="0"/>
          <w:szCs w:val="18"/>
        </w:rPr>
      </w:pPr>
      <w:r>
        <w:rPr>
          <w:rFonts w:ascii="宋体" w:hAnsi="宋体"/>
          <w:kern w:val="0"/>
          <w:szCs w:val="18"/>
        </w:rPr>
        <w:t>3</w:t>
      </w:r>
      <w:r w:rsidR="00A47E3E">
        <w:rPr>
          <w:rFonts w:ascii="宋体" w:hAnsi="宋体" w:hint="eastAsia"/>
          <w:kern w:val="0"/>
          <w:szCs w:val="18"/>
        </w:rPr>
        <w:t>、</w:t>
      </w:r>
      <w:r w:rsidR="0074034D">
        <w:rPr>
          <w:rFonts w:ascii="宋体" w:hAnsi="宋体" w:hint="eastAsia"/>
          <w:kern w:val="0"/>
          <w:szCs w:val="18"/>
        </w:rPr>
        <w:t>本基金</w:t>
      </w:r>
      <w:r w:rsidR="00A47E3E">
        <w:rPr>
          <w:rFonts w:ascii="宋体" w:hAnsi="宋体" w:hint="eastAsia"/>
          <w:kern w:val="0"/>
          <w:szCs w:val="18"/>
        </w:rPr>
        <w:t>二级市场的交易价格，</w:t>
      </w:r>
      <w:r w:rsidR="00ED0B1C" w:rsidRPr="00ED0B1C">
        <w:rPr>
          <w:rFonts w:ascii="宋体" w:hAnsi="宋体" w:hint="eastAsia"/>
          <w:kern w:val="0"/>
          <w:szCs w:val="18"/>
        </w:rPr>
        <w:t>除了有基金份额净值变化的风险外，</w:t>
      </w:r>
      <w:r w:rsidR="00A47E3E">
        <w:rPr>
          <w:rFonts w:ascii="宋体" w:hAnsi="宋体" w:hint="eastAsia"/>
          <w:kern w:val="0"/>
          <w:szCs w:val="18"/>
        </w:rPr>
        <w:t>还会受到市场供求关系、系统性风险、流动性风险等其他因素的影响，可能使投资人面临损失。</w:t>
      </w:r>
    </w:p>
    <w:p w:rsidR="007F730A" w:rsidRDefault="007F730A">
      <w:pPr>
        <w:widowControl/>
        <w:spacing w:line="360" w:lineRule="auto"/>
        <w:ind w:firstLine="360"/>
        <w:rPr>
          <w:rFonts w:ascii="宋体" w:hAnsi="宋体"/>
          <w:kern w:val="0"/>
          <w:sz w:val="32"/>
          <w:szCs w:val="24"/>
        </w:rPr>
      </w:pPr>
    </w:p>
    <w:p w:rsidR="007F730A" w:rsidRDefault="00A47E3E">
      <w:pPr>
        <w:widowControl/>
        <w:spacing w:line="360" w:lineRule="auto"/>
        <w:ind w:firstLine="360"/>
        <w:jc w:val="left"/>
        <w:rPr>
          <w:rFonts w:ascii="宋体" w:hAnsi="宋体"/>
          <w:kern w:val="0"/>
          <w:szCs w:val="18"/>
        </w:rPr>
      </w:pPr>
      <w:r>
        <w:rPr>
          <w:rFonts w:ascii="宋体" w:hAnsi="宋体" w:hint="eastAsia"/>
          <w:kern w:val="0"/>
          <w:szCs w:val="18"/>
        </w:rPr>
        <w:t>风险提示：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更新的《招募说明书》等基金法律文件，全面认识基金产品的风险收益特征，在了解产品情况及听取销售机构适当性意见的基础上，根据自身的风险承受能力、投资期限和投资目标，对基金投资作出独立决策，选择合适的基金产品。基金管理人提醒投资者基金投</w:t>
      </w:r>
      <w:r>
        <w:rPr>
          <w:rFonts w:ascii="宋体" w:hAnsi="宋体" w:hint="eastAsia"/>
          <w:kern w:val="0"/>
          <w:szCs w:val="18"/>
        </w:rPr>
        <w:lastRenderedPageBreak/>
        <w:t>资的“买者自负”原则，在投资者作出投资决策后，基金运营状况与基金净值变化引致的投资风险，由投资者自行负责。</w:t>
      </w:r>
    </w:p>
    <w:p w:rsidR="007F730A" w:rsidRDefault="00A47E3E">
      <w:pPr>
        <w:widowControl/>
        <w:spacing w:line="360" w:lineRule="auto"/>
        <w:ind w:firstLine="360"/>
        <w:jc w:val="left"/>
        <w:rPr>
          <w:rFonts w:ascii="宋体" w:hAnsi="宋体"/>
          <w:kern w:val="0"/>
          <w:sz w:val="32"/>
          <w:szCs w:val="24"/>
        </w:rPr>
      </w:pPr>
      <w:r>
        <w:rPr>
          <w:rFonts w:ascii="宋体" w:hAnsi="宋体" w:hint="eastAsia"/>
          <w:kern w:val="0"/>
          <w:szCs w:val="18"/>
        </w:rPr>
        <w:t>敬请投资者注意投资风险。</w:t>
      </w:r>
    </w:p>
    <w:p w:rsidR="007F730A" w:rsidRDefault="00A47E3E">
      <w:pPr>
        <w:widowControl/>
        <w:spacing w:line="360" w:lineRule="auto"/>
        <w:ind w:firstLine="360"/>
        <w:jc w:val="left"/>
        <w:rPr>
          <w:rFonts w:ascii="宋体" w:hAnsi="宋体"/>
          <w:kern w:val="0"/>
          <w:szCs w:val="18"/>
        </w:rPr>
      </w:pPr>
      <w:r>
        <w:rPr>
          <w:rFonts w:ascii="宋体" w:hAnsi="宋体" w:hint="eastAsia"/>
          <w:kern w:val="0"/>
          <w:szCs w:val="18"/>
        </w:rPr>
        <w:t>特此公告。</w:t>
      </w:r>
    </w:p>
    <w:p w:rsidR="007F730A" w:rsidRDefault="007F730A">
      <w:pPr>
        <w:widowControl/>
        <w:spacing w:line="360" w:lineRule="auto"/>
        <w:ind w:firstLine="360"/>
        <w:jc w:val="left"/>
        <w:rPr>
          <w:rFonts w:ascii="宋体" w:hAnsi="宋体"/>
          <w:kern w:val="0"/>
          <w:szCs w:val="18"/>
        </w:rPr>
      </w:pPr>
    </w:p>
    <w:p w:rsidR="007F730A" w:rsidRDefault="007F730A">
      <w:pPr>
        <w:widowControl/>
        <w:spacing w:line="360" w:lineRule="auto"/>
        <w:ind w:firstLine="360"/>
        <w:jc w:val="left"/>
        <w:rPr>
          <w:rFonts w:ascii="宋体" w:hAnsi="宋体"/>
          <w:kern w:val="0"/>
          <w:sz w:val="32"/>
          <w:szCs w:val="24"/>
        </w:rPr>
      </w:pPr>
    </w:p>
    <w:p w:rsidR="007F730A" w:rsidRDefault="00A47E3E">
      <w:pPr>
        <w:widowControl/>
        <w:spacing w:line="360" w:lineRule="auto"/>
        <w:jc w:val="right"/>
        <w:rPr>
          <w:rFonts w:ascii="宋体" w:hAnsi="宋体"/>
          <w:kern w:val="0"/>
          <w:sz w:val="32"/>
          <w:szCs w:val="24"/>
        </w:rPr>
      </w:pPr>
      <w:r>
        <w:rPr>
          <w:rFonts w:ascii="宋体" w:hAnsi="宋体" w:hint="eastAsia"/>
          <w:kern w:val="0"/>
          <w:szCs w:val="18"/>
        </w:rPr>
        <w:t>南方基金管理股份有限公司</w:t>
      </w:r>
    </w:p>
    <w:p w:rsidR="007F730A" w:rsidRDefault="002E7AC8">
      <w:pPr>
        <w:widowControl/>
        <w:spacing w:line="360" w:lineRule="auto"/>
        <w:jc w:val="right"/>
        <w:rPr>
          <w:sz w:val="24"/>
        </w:rPr>
      </w:pPr>
      <w:r>
        <w:rPr>
          <w:rFonts w:ascii="宋体" w:hAnsi="宋体"/>
          <w:kern w:val="0"/>
          <w:szCs w:val="18"/>
        </w:rPr>
        <w:t>2025</w:t>
      </w:r>
      <w:r w:rsidR="00A47E3E">
        <w:rPr>
          <w:rFonts w:ascii="宋体" w:hAnsi="宋体" w:hint="eastAsia"/>
          <w:kern w:val="0"/>
          <w:szCs w:val="18"/>
        </w:rPr>
        <w:t>年</w:t>
      </w:r>
      <w:r>
        <w:rPr>
          <w:rFonts w:ascii="宋体" w:hAnsi="宋体"/>
          <w:kern w:val="0"/>
          <w:szCs w:val="18"/>
        </w:rPr>
        <w:t>4</w:t>
      </w:r>
      <w:r w:rsidR="00A47E3E">
        <w:rPr>
          <w:rFonts w:ascii="宋体" w:hAnsi="宋体" w:hint="eastAsia"/>
          <w:kern w:val="0"/>
          <w:szCs w:val="18"/>
        </w:rPr>
        <w:t>月</w:t>
      </w:r>
      <w:r w:rsidR="008B1BCB">
        <w:rPr>
          <w:rFonts w:ascii="宋体" w:hAnsi="宋体"/>
          <w:kern w:val="0"/>
          <w:szCs w:val="18"/>
        </w:rPr>
        <w:t>8</w:t>
      </w:r>
      <w:r w:rsidR="00A47E3E">
        <w:rPr>
          <w:rFonts w:ascii="宋体" w:hAnsi="宋体" w:hint="eastAsia"/>
          <w:kern w:val="0"/>
          <w:szCs w:val="18"/>
        </w:rPr>
        <w:t>日</w:t>
      </w:r>
    </w:p>
    <w:sectPr w:rsidR="007F730A" w:rsidSect="001350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2E6D" w:rsidRDefault="00EB2E6D" w:rsidP="00CA3526">
      <w:r>
        <w:separator/>
      </w:r>
    </w:p>
  </w:endnote>
  <w:endnote w:type="continuationSeparator" w:id="0">
    <w:p w:rsidR="00EB2E6D" w:rsidRDefault="00EB2E6D" w:rsidP="00CA35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2E6D" w:rsidRDefault="00EB2E6D" w:rsidP="00CA3526">
      <w:r>
        <w:separator/>
      </w:r>
    </w:p>
  </w:footnote>
  <w:footnote w:type="continuationSeparator" w:id="0">
    <w:p w:rsidR="00EB2E6D" w:rsidRDefault="00EB2E6D" w:rsidP="00CA35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730A"/>
    <w:rsid w:val="00006B4D"/>
    <w:rsid w:val="00006EFB"/>
    <w:rsid w:val="00014A40"/>
    <w:rsid w:val="00027E49"/>
    <w:rsid w:val="00077B72"/>
    <w:rsid w:val="00077D75"/>
    <w:rsid w:val="0008232A"/>
    <w:rsid w:val="00082430"/>
    <w:rsid w:val="00094BCC"/>
    <w:rsid w:val="00096C2A"/>
    <w:rsid w:val="000C14F2"/>
    <w:rsid w:val="000D07E9"/>
    <w:rsid w:val="000D4304"/>
    <w:rsid w:val="000F1211"/>
    <w:rsid w:val="0010431A"/>
    <w:rsid w:val="001350E6"/>
    <w:rsid w:val="0014641C"/>
    <w:rsid w:val="00150B0F"/>
    <w:rsid w:val="00155CAE"/>
    <w:rsid w:val="00171F25"/>
    <w:rsid w:val="00172FBC"/>
    <w:rsid w:val="0017310D"/>
    <w:rsid w:val="001808F9"/>
    <w:rsid w:val="00193CFC"/>
    <w:rsid w:val="001B6E77"/>
    <w:rsid w:val="001D5225"/>
    <w:rsid w:val="001E365A"/>
    <w:rsid w:val="00202149"/>
    <w:rsid w:val="00203556"/>
    <w:rsid w:val="00206653"/>
    <w:rsid w:val="0021009F"/>
    <w:rsid w:val="002407D7"/>
    <w:rsid w:val="0028494E"/>
    <w:rsid w:val="002866DE"/>
    <w:rsid w:val="00287643"/>
    <w:rsid w:val="0029529D"/>
    <w:rsid w:val="0029693D"/>
    <w:rsid w:val="002A5E06"/>
    <w:rsid w:val="002C6359"/>
    <w:rsid w:val="002E7AC8"/>
    <w:rsid w:val="00333147"/>
    <w:rsid w:val="00337DEF"/>
    <w:rsid w:val="00361C03"/>
    <w:rsid w:val="003A10D5"/>
    <w:rsid w:val="003B0893"/>
    <w:rsid w:val="003C0755"/>
    <w:rsid w:val="003D18DF"/>
    <w:rsid w:val="003D2761"/>
    <w:rsid w:val="00413572"/>
    <w:rsid w:val="004150F0"/>
    <w:rsid w:val="00434ABF"/>
    <w:rsid w:val="004608E7"/>
    <w:rsid w:val="00463207"/>
    <w:rsid w:val="00480357"/>
    <w:rsid w:val="004B0B94"/>
    <w:rsid w:val="004B250B"/>
    <w:rsid w:val="004B6701"/>
    <w:rsid w:val="00507136"/>
    <w:rsid w:val="00555534"/>
    <w:rsid w:val="00557E24"/>
    <w:rsid w:val="005620BF"/>
    <w:rsid w:val="00570666"/>
    <w:rsid w:val="005708DD"/>
    <w:rsid w:val="00574194"/>
    <w:rsid w:val="00575CD4"/>
    <w:rsid w:val="00583796"/>
    <w:rsid w:val="00593618"/>
    <w:rsid w:val="005A55A8"/>
    <w:rsid w:val="005A58C9"/>
    <w:rsid w:val="005C1D96"/>
    <w:rsid w:val="005D4FF2"/>
    <w:rsid w:val="005E53BD"/>
    <w:rsid w:val="005F5EAE"/>
    <w:rsid w:val="006016F6"/>
    <w:rsid w:val="00621AFD"/>
    <w:rsid w:val="00625BE1"/>
    <w:rsid w:val="006356E4"/>
    <w:rsid w:val="006443F6"/>
    <w:rsid w:val="006471D7"/>
    <w:rsid w:val="006F08DE"/>
    <w:rsid w:val="006F3231"/>
    <w:rsid w:val="00712388"/>
    <w:rsid w:val="00716B0B"/>
    <w:rsid w:val="0073539D"/>
    <w:rsid w:val="0074034D"/>
    <w:rsid w:val="00746716"/>
    <w:rsid w:val="00751032"/>
    <w:rsid w:val="00777061"/>
    <w:rsid w:val="007872E8"/>
    <w:rsid w:val="007C4455"/>
    <w:rsid w:val="007D4B6B"/>
    <w:rsid w:val="007D6533"/>
    <w:rsid w:val="007E611D"/>
    <w:rsid w:val="007F495C"/>
    <w:rsid w:val="007F730A"/>
    <w:rsid w:val="00821DAE"/>
    <w:rsid w:val="00853D81"/>
    <w:rsid w:val="008651BC"/>
    <w:rsid w:val="008A36AE"/>
    <w:rsid w:val="008B1BCB"/>
    <w:rsid w:val="008E7578"/>
    <w:rsid w:val="00913E01"/>
    <w:rsid w:val="009168F4"/>
    <w:rsid w:val="00927035"/>
    <w:rsid w:val="00955F1F"/>
    <w:rsid w:val="009A384A"/>
    <w:rsid w:val="009A40A8"/>
    <w:rsid w:val="009C1644"/>
    <w:rsid w:val="009C6AE7"/>
    <w:rsid w:val="009D37A1"/>
    <w:rsid w:val="00A038F6"/>
    <w:rsid w:val="00A1328C"/>
    <w:rsid w:val="00A24FB4"/>
    <w:rsid w:val="00A47E3E"/>
    <w:rsid w:val="00A54BB0"/>
    <w:rsid w:val="00A8088B"/>
    <w:rsid w:val="00A929BB"/>
    <w:rsid w:val="00AC0447"/>
    <w:rsid w:val="00AD21AB"/>
    <w:rsid w:val="00AD223E"/>
    <w:rsid w:val="00AE740B"/>
    <w:rsid w:val="00B2340E"/>
    <w:rsid w:val="00B45103"/>
    <w:rsid w:val="00B95A32"/>
    <w:rsid w:val="00BB1B5E"/>
    <w:rsid w:val="00BD33F7"/>
    <w:rsid w:val="00BD594F"/>
    <w:rsid w:val="00BE0526"/>
    <w:rsid w:val="00C02B5D"/>
    <w:rsid w:val="00C152D5"/>
    <w:rsid w:val="00C53CBF"/>
    <w:rsid w:val="00C7180A"/>
    <w:rsid w:val="00C72D12"/>
    <w:rsid w:val="00C8547B"/>
    <w:rsid w:val="00C85DE6"/>
    <w:rsid w:val="00C9271D"/>
    <w:rsid w:val="00CA100B"/>
    <w:rsid w:val="00CA3526"/>
    <w:rsid w:val="00CA4283"/>
    <w:rsid w:val="00CC1E96"/>
    <w:rsid w:val="00CF0DD3"/>
    <w:rsid w:val="00D01D8D"/>
    <w:rsid w:val="00D0319B"/>
    <w:rsid w:val="00D23E2C"/>
    <w:rsid w:val="00D506E3"/>
    <w:rsid w:val="00D50A74"/>
    <w:rsid w:val="00D60FEA"/>
    <w:rsid w:val="00DB56D2"/>
    <w:rsid w:val="00E32CBD"/>
    <w:rsid w:val="00EA0481"/>
    <w:rsid w:val="00EB0DAF"/>
    <w:rsid w:val="00EB2E6D"/>
    <w:rsid w:val="00EB73F2"/>
    <w:rsid w:val="00ED0B1C"/>
    <w:rsid w:val="00EE4033"/>
    <w:rsid w:val="00F6074C"/>
    <w:rsid w:val="00F709A9"/>
    <w:rsid w:val="00F83C36"/>
    <w:rsid w:val="00FA39F6"/>
    <w:rsid w:val="00FC2F69"/>
    <w:rsid w:val="00FC3B6D"/>
    <w:rsid w:val="00FC41B2"/>
    <w:rsid w:val="00FE5D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0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350E6"/>
    <w:rPr>
      <w:b/>
      <w:bCs/>
    </w:rPr>
  </w:style>
  <w:style w:type="paragraph" w:styleId="a4">
    <w:name w:val="header"/>
    <w:basedOn w:val="a"/>
    <w:link w:val="Char"/>
    <w:uiPriority w:val="99"/>
    <w:rsid w:val="001350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350E6"/>
    <w:rPr>
      <w:sz w:val="18"/>
      <w:szCs w:val="18"/>
    </w:rPr>
  </w:style>
  <w:style w:type="paragraph" w:styleId="a5">
    <w:name w:val="footer"/>
    <w:basedOn w:val="a"/>
    <w:link w:val="Char0"/>
    <w:uiPriority w:val="99"/>
    <w:rsid w:val="001350E6"/>
    <w:pPr>
      <w:tabs>
        <w:tab w:val="center" w:pos="4153"/>
        <w:tab w:val="right" w:pos="8306"/>
      </w:tabs>
      <w:snapToGrid w:val="0"/>
      <w:jc w:val="left"/>
    </w:pPr>
    <w:rPr>
      <w:sz w:val="18"/>
      <w:szCs w:val="18"/>
    </w:rPr>
  </w:style>
  <w:style w:type="character" w:customStyle="1" w:styleId="Char0">
    <w:name w:val="页脚 Char"/>
    <w:basedOn w:val="a0"/>
    <w:link w:val="a5"/>
    <w:uiPriority w:val="99"/>
    <w:rsid w:val="001350E6"/>
    <w:rPr>
      <w:sz w:val="18"/>
      <w:szCs w:val="18"/>
    </w:rPr>
  </w:style>
  <w:style w:type="paragraph" w:styleId="a6">
    <w:name w:val="Balloon Text"/>
    <w:basedOn w:val="a"/>
    <w:link w:val="Char1"/>
    <w:uiPriority w:val="99"/>
    <w:rsid w:val="001350E6"/>
    <w:rPr>
      <w:sz w:val="18"/>
      <w:szCs w:val="18"/>
    </w:rPr>
  </w:style>
  <w:style w:type="character" w:customStyle="1" w:styleId="Char1">
    <w:name w:val="批注框文本 Char"/>
    <w:basedOn w:val="a0"/>
    <w:link w:val="a6"/>
    <w:uiPriority w:val="99"/>
    <w:rsid w:val="001350E6"/>
    <w:rPr>
      <w:sz w:val="18"/>
      <w:szCs w:val="18"/>
    </w:rPr>
  </w:style>
  <w:style w:type="character" w:styleId="a7">
    <w:name w:val="annotation reference"/>
    <w:basedOn w:val="a0"/>
    <w:uiPriority w:val="99"/>
    <w:rsid w:val="001350E6"/>
    <w:rPr>
      <w:sz w:val="21"/>
      <w:szCs w:val="21"/>
    </w:rPr>
  </w:style>
  <w:style w:type="paragraph" w:styleId="a8">
    <w:name w:val="annotation text"/>
    <w:basedOn w:val="a"/>
    <w:link w:val="Char2"/>
    <w:uiPriority w:val="99"/>
    <w:rsid w:val="001350E6"/>
    <w:pPr>
      <w:jc w:val="left"/>
    </w:pPr>
  </w:style>
  <w:style w:type="character" w:customStyle="1" w:styleId="Char2">
    <w:name w:val="批注文字 Char"/>
    <w:basedOn w:val="a0"/>
    <w:link w:val="a8"/>
    <w:uiPriority w:val="99"/>
    <w:rsid w:val="001350E6"/>
  </w:style>
  <w:style w:type="paragraph" w:styleId="a9">
    <w:name w:val="annotation subject"/>
    <w:basedOn w:val="a8"/>
    <w:next w:val="a8"/>
    <w:link w:val="Char3"/>
    <w:uiPriority w:val="99"/>
    <w:rsid w:val="001350E6"/>
    <w:rPr>
      <w:b/>
      <w:bCs/>
    </w:rPr>
  </w:style>
  <w:style w:type="character" w:customStyle="1" w:styleId="Char3">
    <w:name w:val="批注主题 Char"/>
    <w:basedOn w:val="Char2"/>
    <w:link w:val="a9"/>
    <w:uiPriority w:val="99"/>
    <w:rsid w:val="001350E6"/>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851</Characters>
  <Application>Microsoft Office Word</Application>
  <DocSecurity>4</DocSecurity>
  <Lines>7</Lines>
  <Paragraphs>1</Paragraphs>
  <ScaleCrop>false</ScaleCrop>
  <Company/>
  <LinksUpToDate>false</LinksUpToDate>
  <CharactersWithSpaces>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ZHONGM</dc:creator>
  <cp:lastModifiedBy>ZHONGM</cp:lastModifiedBy>
  <cp:revision>2</cp:revision>
  <cp:lastPrinted>2020-05-22T08:45:00Z</cp:lastPrinted>
  <dcterms:created xsi:type="dcterms:W3CDTF">2025-04-07T16:03:00Z</dcterms:created>
  <dcterms:modified xsi:type="dcterms:W3CDTF">2025-04-07T16:03:00Z</dcterms:modified>
</cp:coreProperties>
</file>