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1D" w:rsidRPr="00C11FD3" w:rsidRDefault="00C11FD3" w:rsidP="00C11FD3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Theme="minorEastAsia" w:hAnsiTheme="minorEastAsia" w:cs="Arial Unicode MS"/>
          <w:sz w:val="28"/>
          <w:szCs w:val="30"/>
        </w:rPr>
      </w:pPr>
      <w:r w:rsidRPr="00C11FD3">
        <w:rPr>
          <w:rFonts w:asciiTheme="minorEastAsia" w:hAnsiTheme="minorEastAsia" w:cs="Arial Unicode MS" w:hint="eastAsia"/>
          <w:spacing w:val="-1"/>
          <w:sz w:val="28"/>
          <w:szCs w:val="30"/>
        </w:rPr>
        <w:t>富国基金管理有限公司</w:t>
      </w:r>
      <w:r w:rsidR="00210359" w:rsidRPr="00C11FD3">
        <w:rPr>
          <w:rFonts w:asciiTheme="minorEastAsia" w:hAnsiTheme="minorEastAsia" w:cs="Arial Unicode MS"/>
          <w:sz w:val="28"/>
          <w:szCs w:val="30"/>
        </w:rPr>
        <w:t>关于</w:t>
      </w:r>
      <w:r w:rsidRPr="00C11FD3">
        <w:rPr>
          <w:rFonts w:asciiTheme="minorEastAsia" w:hAnsiTheme="minorEastAsia" w:cs="Arial Unicode MS"/>
          <w:sz w:val="28"/>
          <w:szCs w:val="30"/>
        </w:rPr>
        <w:t>富国恒生港股通医疗保健交易型开放式指数证券投资基金</w:t>
      </w:r>
      <w:r w:rsidR="00210359" w:rsidRPr="00C11FD3">
        <w:rPr>
          <w:rFonts w:asciiTheme="minorEastAsia" w:hAnsiTheme="minorEastAsia" w:cs="Arial Unicode MS"/>
          <w:spacing w:val="1"/>
          <w:sz w:val="28"/>
          <w:szCs w:val="30"/>
        </w:rPr>
        <w:t>二级市场交易价格溢价风险提示及停牌公告</w:t>
      </w:r>
    </w:p>
    <w:p w:rsidR="00E7021D" w:rsidRDefault="00E7021D">
      <w:pPr>
        <w:spacing w:line="247" w:lineRule="auto"/>
      </w:pPr>
    </w:p>
    <w:p w:rsidR="00E7021D" w:rsidRDefault="00E7021D">
      <w:pPr>
        <w:spacing w:line="248" w:lineRule="auto"/>
      </w:pPr>
    </w:p>
    <w:p w:rsidR="00E7021D" w:rsidRPr="00C11FD3" w:rsidRDefault="00210359" w:rsidP="0059647C">
      <w:pPr>
        <w:spacing w:before="91" w:line="360" w:lineRule="auto"/>
        <w:ind w:left="20" w:firstLineChars="200" w:firstLine="480"/>
        <w:jc w:val="both"/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</w:pPr>
      <w:r w:rsidRPr="00C11FD3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近期，</w:t>
      </w:r>
      <w:r w:rsidR="00C11FD3" w:rsidRPr="00C11FD3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富国基金管理有限公司（</w:t>
      </w:r>
      <w:r w:rsidRPr="00C11FD3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以下简称“基金管理人”</w:t>
      </w:r>
      <w:r w:rsidR="00C11FD3" w:rsidRPr="00C11FD3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）</w:t>
      </w:r>
      <w:r w:rsidRPr="00C11FD3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旗下</w:t>
      </w:r>
      <w:r w:rsidR="00C11FD3" w:rsidRPr="00C11FD3">
        <w:rPr>
          <w:rFonts w:asciiTheme="minorEastAsia" w:hAnsiTheme="minorEastAsia" w:cs="Times New Roman" w:hint="eastAsia"/>
          <w:noProof w:val="0"/>
          <w:snapToGrid/>
          <w:color w:val="auto"/>
          <w:kern w:val="2"/>
          <w:sz w:val="24"/>
          <w:szCs w:val="24"/>
        </w:rPr>
        <w:t>富国恒生港股通医疗保健交易型开放式指数证券投资基金</w:t>
      </w:r>
      <w:r w:rsidR="00C11FD3" w:rsidRPr="00C11FD3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（</w:t>
      </w:r>
      <w:r w:rsidR="00C11FD3" w:rsidRPr="00C11FD3">
        <w:rPr>
          <w:rFonts w:asciiTheme="minorEastAsia" w:hAnsiTheme="minorEastAsia" w:hint="eastAsia"/>
          <w:sz w:val="24"/>
          <w:szCs w:val="24"/>
        </w:rPr>
        <w:t>场内简称：恒生医疗ETF，基金代码：</w:t>
      </w:r>
      <w:r w:rsidR="00C11FD3" w:rsidRPr="00C11FD3">
        <w:rPr>
          <w:rFonts w:asciiTheme="minorEastAsia" w:hAnsiTheme="minorEastAsia"/>
          <w:sz w:val="24"/>
          <w:szCs w:val="24"/>
        </w:rPr>
        <w:t>159506</w:t>
      </w:r>
      <w:r w:rsidR="00C11FD3" w:rsidRPr="00C11FD3">
        <w:rPr>
          <w:rFonts w:asciiTheme="minorEastAsia" w:hAnsiTheme="minorEastAsia" w:hint="eastAsia"/>
          <w:sz w:val="24"/>
          <w:szCs w:val="24"/>
        </w:rPr>
        <w:t>，</w:t>
      </w:r>
      <w:r w:rsidRPr="00C11FD3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以下简称“本基金”</w:t>
      </w:r>
      <w:r w:rsidR="00C11FD3" w:rsidRPr="00C11FD3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）</w:t>
      </w:r>
      <w:r w:rsidRPr="00C11FD3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二级市场交易价格明显高于基金份额参考净值，出现较大幅度溢价。特此提示投资者关注二级市场交易价格溢价风险，投资者如果盲目投资，可能遭受重大损失。为保护投资者利益，本基金将于2025年4月</w:t>
      </w:r>
      <w:r w:rsidR="00FD522C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8</w:t>
      </w:r>
      <w:r w:rsidRPr="00C11FD3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日开市起至当日10:30停牌。若本基金2025年4月</w:t>
      </w:r>
      <w:r w:rsidR="00FD522C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8</w:t>
      </w:r>
      <w:r w:rsidRPr="00C11FD3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日二级市场交易价格溢价幅度未有效回落，本基金有权采取向深圳证券交易所申请盘中临时停牌、延长停牌时间等措施以向市场警示风险，具体以届时公告为准。现特向投资者提示如下：</w:t>
      </w:r>
    </w:p>
    <w:p w:rsidR="00E7021D" w:rsidRPr="00C11FD3" w:rsidRDefault="00210359" w:rsidP="0059647C">
      <w:pPr>
        <w:spacing w:before="2" w:line="360" w:lineRule="auto"/>
        <w:ind w:left="23" w:right="75" w:firstLineChars="200" w:firstLine="480"/>
        <w:jc w:val="both"/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</w:pPr>
      <w:r w:rsidRPr="00C11FD3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一、本基金为交易型开放式基金，投资者可在二级市场交易本基金，也可以申购、赎回本基金。本基金二级市场的交易价格，除了有基金份额净值变化的风险外，还会受到市场供求关系、系统性风险、流动性风险等其他因素的影响，可能使投资人面临损失。</w:t>
      </w:r>
    </w:p>
    <w:p w:rsidR="00E7021D" w:rsidRPr="00C11FD3" w:rsidRDefault="00210359" w:rsidP="0059647C">
      <w:pPr>
        <w:spacing w:before="1" w:line="360" w:lineRule="auto"/>
        <w:ind w:left="28" w:right="75" w:firstLineChars="200" w:firstLine="480"/>
        <w:jc w:val="both"/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</w:pPr>
      <w:r w:rsidRPr="00C11FD3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二、截至目前，本基金运作正常且无应披露而未披露的重大信息，基金管理人将严格按照法律法规及基金合同的规定进行投资运作，履行信息披露义务。</w:t>
      </w:r>
    </w:p>
    <w:p w:rsidR="00E7021D" w:rsidRPr="00C11FD3" w:rsidRDefault="00210359" w:rsidP="00A740DB">
      <w:pPr>
        <w:spacing w:before="4" w:line="360" w:lineRule="auto"/>
        <w:ind w:left="19" w:right="7" w:firstLineChars="200" w:firstLine="480"/>
        <w:jc w:val="both"/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</w:pPr>
      <w:r w:rsidRPr="00C11FD3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风险提示：本公司承诺以诚实信用、勤勉尽责的原则管理和运用基金资产，但不保证基金一定盈利，也不保证最低收益。敬请投资者注意投资风险。投资者在投资基金之前，请仔细阅读本基金的基金合同、招募说明书、基金产品资料概要等法律文件，全面认识基金的风险收益特征和产品特性，充分考虑自身的风险承受能力，在了解产品情况、听取销售机构适当性匹配意见的基础上，理性判断市场，谨慎做出投资决策。基金具体风险评级结果以销售机构提供的评级结果为准。</w:t>
      </w:r>
    </w:p>
    <w:p w:rsidR="00E7021D" w:rsidRPr="00C11FD3" w:rsidRDefault="00210359" w:rsidP="00A740DB">
      <w:pPr>
        <w:spacing w:before="1" w:line="360" w:lineRule="auto"/>
        <w:ind w:firstLineChars="200" w:firstLine="480"/>
        <w:jc w:val="both"/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</w:pPr>
      <w:r w:rsidRPr="00C11FD3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特此公告</w:t>
      </w:r>
      <w:bookmarkStart w:id="0" w:name="_GoBack"/>
      <w:bookmarkEnd w:id="0"/>
      <w:r w:rsidRPr="00C11FD3"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  <w:t>。</w:t>
      </w:r>
    </w:p>
    <w:p w:rsidR="00E7021D" w:rsidRPr="00C11FD3" w:rsidRDefault="00E7021D" w:rsidP="00C11FD3">
      <w:pPr>
        <w:spacing w:line="360" w:lineRule="auto"/>
        <w:rPr>
          <w:rFonts w:asciiTheme="minorEastAsia" w:hAnsiTheme="minorEastAsia" w:cs="Times New Roman"/>
          <w:noProof w:val="0"/>
          <w:snapToGrid/>
          <w:color w:val="auto"/>
          <w:kern w:val="2"/>
          <w:sz w:val="24"/>
          <w:szCs w:val="24"/>
        </w:rPr>
      </w:pPr>
    </w:p>
    <w:p w:rsidR="00C11FD3" w:rsidRPr="00C11FD3" w:rsidRDefault="00C11FD3" w:rsidP="00C11FD3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  <w:r w:rsidRPr="00C11FD3">
        <w:rPr>
          <w:rFonts w:asciiTheme="minorEastAsia" w:hAnsiTheme="minorEastAsia" w:cs="Times New Roman"/>
          <w:sz w:val="24"/>
          <w:szCs w:val="24"/>
        </w:rPr>
        <w:t>富国基金管理有限公司</w:t>
      </w:r>
    </w:p>
    <w:p w:rsidR="00C11FD3" w:rsidRPr="00C11FD3" w:rsidRDefault="00C11FD3" w:rsidP="00A46B88">
      <w:pPr>
        <w:spacing w:line="360" w:lineRule="auto"/>
        <w:ind w:right="240"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C11FD3">
        <w:rPr>
          <w:rFonts w:ascii="Times New Roman" w:hAnsi="Times New Roman" w:cs="Times New Roman"/>
          <w:sz w:val="24"/>
          <w:szCs w:val="24"/>
        </w:rPr>
        <w:t>2025</w:t>
      </w:r>
      <w:r w:rsidRPr="00C11FD3">
        <w:rPr>
          <w:rFonts w:ascii="Times New Roman" w:hAnsi="Times New Roman" w:cs="Times New Roman"/>
          <w:sz w:val="24"/>
          <w:szCs w:val="24"/>
        </w:rPr>
        <w:t>年</w:t>
      </w:r>
      <w:r w:rsidRPr="00C11FD3">
        <w:rPr>
          <w:rFonts w:ascii="Times New Roman" w:hAnsi="Times New Roman" w:cs="Times New Roman"/>
          <w:sz w:val="24"/>
          <w:szCs w:val="24"/>
        </w:rPr>
        <w:t>4</w:t>
      </w:r>
      <w:r w:rsidRPr="00C11FD3">
        <w:rPr>
          <w:rFonts w:ascii="Times New Roman" w:hAnsi="Times New Roman" w:cs="Times New Roman"/>
          <w:sz w:val="24"/>
          <w:szCs w:val="24"/>
        </w:rPr>
        <w:t>月</w:t>
      </w:r>
      <w:r w:rsidRPr="00C11FD3">
        <w:rPr>
          <w:rFonts w:ascii="Times New Roman" w:hAnsi="Times New Roman" w:cs="Times New Roman"/>
          <w:sz w:val="24"/>
          <w:szCs w:val="24"/>
        </w:rPr>
        <w:t>8</w:t>
      </w:r>
      <w:r w:rsidRPr="00C11FD3">
        <w:rPr>
          <w:rFonts w:ascii="Times New Roman" w:hAnsi="Times New Roman" w:cs="Times New Roman"/>
          <w:sz w:val="24"/>
          <w:szCs w:val="24"/>
        </w:rPr>
        <w:t>日</w:t>
      </w:r>
    </w:p>
    <w:p w:rsidR="00E7021D" w:rsidRPr="00C11FD3" w:rsidRDefault="00E7021D">
      <w:pPr>
        <w:spacing w:line="281" w:lineRule="auto"/>
        <w:rPr>
          <w:rFonts w:ascii="Times New Roman" w:hAnsi="Times New Roman" w:cs="Times New Roman"/>
          <w:noProof w:val="0"/>
          <w:snapToGrid/>
          <w:color w:val="auto"/>
          <w:kern w:val="2"/>
          <w:sz w:val="24"/>
          <w:szCs w:val="24"/>
        </w:rPr>
      </w:pPr>
    </w:p>
    <w:p w:rsidR="00E7021D" w:rsidRPr="00C11FD3" w:rsidRDefault="00E7021D" w:rsidP="00C11FD3">
      <w:pPr>
        <w:spacing w:before="91" w:line="424" w:lineRule="auto"/>
        <w:ind w:leftChars="100" w:left="210" w:right="9" w:firstLineChars="100" w:firstLine="240"/>
        <w:jc w:val="right"/>
        <w:rPr>
          <w:rFonts w:ascii="Times New Roman" w:hAnsi="Times New Roman" w:cs="Times New Roman"/>
          <w:noProof w:val="0"/>
          <w:snapToGrid/>
          <w:color w:val="auto"/>
          <w:kern w:val="2"/>
          <w:sz w:val="24"/>
          <w:szCs w:val="24"/>
        </w:rPr>
      </w:pPr>
    </w:p>
    <w:sectPr w:rsidR="00E7021D" w:rsidRPr="00C11FD3" w:rsidSect="00EB1713">
      <w:pgSz w:w="11907" w:h="16839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359" w:rsidRDefault="00210359" w:rsidP="00C11FD3">
      <w:r>
        <w:separator/>
      </w:r>
    </w:p>
  </w:endnote>
  <w:endnote w:type="continuationSeparator" w:id="0">
    <w:p w:rsidR="00210359" w:rsidRDefault="00210359" w:rsidP="00C11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359" w:rsidRDefault="00210359" w:rsidP="00C11FD3">
      <w:r>
        <w:separator/>
      </w:r>
    </w:p>
  </w:footnote>
  <w:footnote w:type="continuationSeparator" w:id="0">
    <w:p w:rsidR="00210359" w:rsidRDefault="00210359" w:rsidP="00C11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E7021D"/>
    <w:rsid w:val="00210359"/>
    <w:rsid w:val="0059647C"/>
    <w:rsid w:val="00A46B88"/>
    <w:rsid w:val="00A740DB"/>
    <w:rsid w:val="00C11FD3"/>
    <w:rsid w:val="00CA6D6D"/>
    <w:rsid w:val="00E7021D"/>
    <w:rsid w:val="00EB1713"/>
    <w:rsid w:val="00FD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EB1713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B17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C11F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FD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F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FD3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4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2025-04-07T16:02:00Z</dcterms:created>
  <dcterms:modified xsi:type="dcterms:W3CDTF">2025-04-07T16:02:00Z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2025-04-07T15:53:36Z</vt:filetime>
  </property>
</Properties>
</file>