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3EC" w:rsidRDefault="00382E0D">
      <w:pPr>
        <w:spacing w:after="280"/>
      </w:pPr>
      <w:r>
        <w:rPr>
          <w:lang w:eastAsia="zh-CN"/>
        </w:rPr>
        <w:t> </w:t>
      </w:r>
    </w:p>
    <w:p w:rsidR="003753EC" w:rsidRDefault="00382E0D">
      <w:pPr>
        <w:spacing w:before="280" w:after="280"/>
      </w:pPr>
      <w:r>
        <w:rPr>
          <w:lang w:eastAsia="zh-CN"/>
        </w:rPr>
        <w:t> </w:t>
      </w:r>
    </w:p>
    <w:p w:rsidR="003753EC" w:rsidRDefault="00382E0D">
      <w:pPr>
        <w:spacing w:before="280" w:after="280"/>
      </w:pPr>
      <w:r>
        <w:rPr>
          <w:lang w:eastAsia="zh-CN"/>
        </w:rPr>
        <w:t> </w:t>
      </w:r>
    </w:p>
    <w:p w:rsidR="003753EC" w:rsidRDefault="00382E0D">
      <w:pPr>
        <w:spacing w:before="280" w:after="280"/>
        <w:jc w:val="center"/>
        <w:rPr>
          <w:rFonts w:ascii="宋体" w:eastAsia="宋体" w:hAnsi="宋体" w:cs="宋体"/>
          <w:sz w:val="48"/>
          <w:szCs w:val="48"/>
        </w:rPr>
      </w:pPr>
      <w:r>
        <w:rPr>
          <w:rFonts w:ascii="宋体" w:eastAsia="宋体" w:hAnsi="宋体" w:cs="宋体"/>
          <w:b/>
          <w:bCs/>
          <w:sz w:val="48"/>
          <w:szCs w:val="48"/>
          <w:lang w:eastAsia="zh-CN"/>
        </w:rPr>
        <w:t>鹏华产业债债券型证券投资基金调整大额申购、转换转入和定期定额投资业务的公告</w:t>
      </w:r>
    </w:p>
    <w:p w:rsidR="003753EC" w:rsidRDefault="00382E0D">
      <w:pPr>
        <w:spacing w:before="280" w:after="280"/>
        <w:jc w:val="center"/>
      </w:pPr>
      <w:r>
        <w:rPr>
          <w:lang w:eastAsia="zh-CN"/>
        </w:rPr>
        <w:t> </w:t>
      </w:r>
    </w:p>
    <w:p w:rsidR="003753EC" w:rsidRDefault="00382E0D">
      <w:pPr>
        <w:spacing w:before="280" w:after="280"/>
        <w:jc w:val="center"/>
      </w:pPr>
      <w:r>
        <w:rPr>
          <w:lang w:eastAsia="zh-CN"/>
        </w:rPr>
        <w:t> </w:t>
      </w:r>
    </w:p>
    <w:p w:rsidR="003753EC" w:rsidRDefault="00382E0D">
      <w:pPr>
        <w:spacing w:before="280" w:after="280"/>
        <w:jc w:val="center"/>
      </w:pPr>
      <w:r>
        <w:rPr>
          <w:lang w:eastAsia="zh-CN"/>
        </w:rPr>
        <w:t> </w:t>
      </w:r>
    </w:p>
    <w:p w:rsidR="003753EC" w:rsidRDefault="00382E0D">
      <w:pPr>
        <w:spacing w:before="280" w:after="280"/>
        <w:jc w:val="center"/>
      </w:pPr>
      <w:r>
        <w:rPr>
          <w:lang w:eastAsia="zh-CN"/>
        </w:rPr>
        <w:t> </w:t>
      </w:r>
    </w:p>
    <w:p w:rsidR="003753EC" w:rsidRDefault="00382E0D">
      <w:pPr>
        <w:spacing w:before="280" w:after="280"/>
        <w:jc w:val="center"/>
      </w:pPr>
      <w:r>
        <w:rPr>
          <w:lang w:eastAsia="zh-CN"/>
        </w:rPr>
        <w:t> </w:t>
      </w:r>
    </w:p>
    <w:p w:rsidR="003753EC" w:rsidRDefault="00382E0D">
      <w:pPr>
        <w:spacing w:before="280" w:after="280"/>
      </w:pPr>
      <w:r>
        <w:rPr>
          <w:lang w:eastAsia="zh-CN"/>
        </w:rPr>
        <w:t> </w:t>
      </w:r>
    </w:p>
    <w:p w:rsidR="003753EC" w:rsidRDefault="00382E0D">
      <w:pPr>
        <w:spacing w:before="280" w:after="280"/>
      </w:pPr>
      <w:r>
        <w:rPr>
          <w:lang w:eastAsia="zh-CN"/>
        </w:rPr>
        <w:t> </w:t>
      </w:r>
    </w:p>
    <w:p w:rsidR="003753EC" w:rsidRDefault="00382E0D">
      <w:pPr>
        <w:spacing w:before="280" w:after="280"/>
      </w:pPr>
      <w:r>
        <w:rPr>
          <w:lang w:eastAsia="zh-CN"/>
        </w:rPr>
        <w:t> </w:t>
      </w:r>
    </w:p>
    <w:p w:rsidR="003753EC" w:rsidRDefault="00382E0D">
      <w:pPr>
        <w:spacing w:before="280" w:after="280"/>
      </w:pPr>
      <w:r>
        <w:rPr>
          <w:lang w:eastAsia="zh-CN"/>
        </w:rPr>
        <w:t> </w:t>
      </w:r>
    </w:p>
    <w:p w:rsidR="003753EC" w:rsidRDefault="00382E0D">
      <w:pPr>
        <w:spacing w:before="280" w:after="280"/>
      </w:pPr>
      <w:r>
        <w:rPr>
          <w:lang w:eastAsia="zh-CN"/>
        </w:rPr>
        <w:t> </w:t>
      </w:r>
    </w:p>
    <w:p w:rsidR="003753EC" w:rsidRDefault="00382E0D">
      <w:pPr>
        <w:spacing w:before="280" w:after="280"/>
      </w:pPr>
      <w:r>
        <w:rPr>
          <w:lang w:eastAsia="zh-CN"/>
        </w:rPr>
        <w:t> </w:t>
      </w:r>
    </w:p>
    <w:p w:rsidR="003753EC" w:rsidRDefault="00382E0D">
      <w:pPr>
        <w:spacing w:before="280" w:after="280"/>
      </w:pPr>
      <w:r>
        <w:rPr>
          <w:lang w:eastAsia="zh-CN"/>
        </w:rPr>
        <w:t> </w:t>
      </w:r>
    </w:p>
    <w:p w:rsidR="003753EC" w:rsidRDefault="00382E0D">
      <w:pPr>
        <w:spacing w:before="280" w:after="280"/>
      </w:pPr>
      <w:r>
        <w:rPr>
          <w:lang w:eastAsia="zh-CN"/>
        </w:rPr>
        <w:t> </w:t>
      </w:r>
    </w:p>
    <w:p w:rsidR="003753EC" w:rsidRDefault="00382E0D">
      <w:pPr>
        <w:spacing w:before="280" w:after="280"/>
      </w:pPr>
      <w:r>
        <w:rPr>
          <w:lang w:eastAsia="zh-CN"/>
        </w:rPr>
        <w:t> </w:t>
      </w:r>
    </w:p>
    <w:p w:rsidR="003753EC" w:rsidRDefault="00382E0D">
      <w:pPr>
        <w:spacing w:before="280" w:after="280"/>
        <w:jc w:val="center"/>
        <w:rPr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公告送出日期：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2025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年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04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月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07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日</w:t>
      </w:r>
    </w:p>
    <w:p w:rsidR="003753EC" w:rsidRDefault="00382E0D">
      <w:pPr>
        <w:spacing w:before="280" w:after="280"/>
      </w:pPr>
      <w:r>
        <w:rPr>
          <w:lang w:eastAsia="zh-CN"/>
        </w:rPr>
        <w:t> </w:t>
      </w:r>
    </w:p>
    <w:p w:rsidR="003753EC" w:rsidRDefault="00382E0D">
      <w:pPr>
        <w:spacing w:before="280" w:after="280"/>
      </w:pPr>
      <w:r>
        <w:rPr>
          <w:lang w:eastAsia="zh-CN"/>
        </w:rPr>
        <w:t> </w:t>
      </w:r>
    </w:p>
    <w:p w:rsidR="003753EC" w:rsidRDefault="00382E0D">
      <w:pPr>
        <w:spacing w:before="280" w:after="280"/>
      </w:pPr>
      <w:r>
        <w:rPr>
          <w:lang w:eastAsia="zh-CN"/>
        </w:rPr>
        <w:t> </w:t>
      </w:r>
    </w:p>
    <w:p w:rsidR="003753EC" w:rsidRDefault="00382E0D">
      <w:pPr>
        <w:spacing w:line="360" w:lineRule="auto"/>
      </w:pPr>
      <w:r>
        <w:rPr>
          <w:rFonts w:ascii="宋体" w:eastAsia="宋体" w:hAnsi="宋体" w:cs="宋体"/>
          <w:b/>
          <w:bCs/>
          <w:lang w:eastAsia="zh-CN"/>
        </w:rPr>
        <w:lastRenderedPageBreak/>
        <w:t>1</w:t>
      </w:r>
      <w:r>
        <w:rPr>
          <w:rFonts w:ascii="宋体" w:eastAsia="宋体" w:hAnsi="宋体" w:cs="宋体"/>
          <w:b/>
          <w:bCs/>
          <w:lang w:eastAsia="zh-CN"/>
        </w:rPr>
        <w:t>公告基本信息</w:t>
      </w:r>
    </w:p>
    <w:tbl>
      <w:tblPr>
        <w:tblW w:w="7881" w:type="dxa"/>
        <w:tblInd w:w="226" w:type="dxa"/>
        <w:tblCellMar>
          <w:left w:w="0" w:type="dxa"/>
          <w:right w:w="0" w:type="dxa"/>
        </w:tblCellMar>
        <w:tblLook w:val="04A0"/>
      </w:tblPr>
      <w:tblGrid>
        <w:gridCol w:w="3201"/>
        <w:gridCol w:w="2424"/>
        <w:gridCol w:w="2256"/>
      </w:tblGrid>
      <w:tr w:rsidR="003753EC"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753EC" w:rsidRDefault="00382E0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基金名称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753EC" w:rsidRDefault="00382E0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鹏华产业债债券型证券投资基金</w:t>
            </w:r>
          </w:p>
        </w:tc>
      </w:tr>
      <w:tr w:rsidR="003753EC"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753EC" w:rsidRDefault="00382E0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基金简称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753EC" w:rsidRDefault="00382E0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鹏华产业债债券</w:t>
            </w:r>
          </w:p>
        </w:tc>
      </w:tr>
      <w:tr w:rsidR="003753EC"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753EC" w:rsidRDefault="00382E0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基金主代码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753EC" w:rsidRDefault="00382E0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206018</w:t>
            </w:r>
          </w:p>
        </w:tc>
      </w:tr>
      <w:tr w:rsidR="003753EC"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753EC" w:rsidRDefault="00382E0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基金管理人名称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753EC" w:rsidRDefault="00382E0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鹏华基金管理有限公司</w:t>
            </w:r>
          </w:p>
        </w:tc>
      </w:tr>
      <w:tr w:rsidR="003753EC"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753EC" w:rsidRDefault="00382E0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公告依据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753EC" w:rsidRDefault="00382E0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《鹏华产业债债券型证券投资基金基金合同》（以下简称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基金合同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）、《鹏华产业债债券型证券投资基金招募说明书》及其更新（以下简称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招募说明书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 w:rsidR="003753EC"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753EC" w:rsidRDefault="00382E0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调整大额申购起始日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753EC" w:rsidRDefault="00382E0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2025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04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08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日</w:t>
            </w:r>
          </w:p>
        </w:tc>
      </w:tr>
      <w:tr w:rsidR="003753EC"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753EC" w:rsidRDefault="00382E0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调整大额转换转入起始日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753EC" w:rsidRDefault="00382E0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2025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04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08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日</w:t>
            </w:r>
          </w:p>
        </w:tc>
      </w:tr>
      <w:tr w:rsidR="003753EC"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753EC" w:rsidRDefault="00382E0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调整大额定期定额投资起始日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753EC" w:rsidRDefault="00382E0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2025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04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08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日</w:t>
            </w:r>
          </w:p>
        </w:tc>
      </w:tr>
      <w:tr w:rsidR="003753EC"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753EC" w:rsidRDefault="00382E0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调整大额申购（转换转入、定期定额投资）的原因说明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753EC" w:rsidRDefault="00382E0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满足投资者的投资需求</w:t>
            </w:r>
          </w:p>
        </w:tc>
      </w:tr>
      <w:tr w:rsidR="003753EC"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753EC" w:rsidRDefault="00382E0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下属基金份额类别的基金简称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753EC" w:rsidRDefault="00382E0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鹏华产业债债券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A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753EC" w:rsidRDefault="00382E0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鹏华产业债债券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</w:t>
            </w:r>
          </w:p>
        </w:tc>
      </w:tr>
      <w:tr w:rsidR="003753EC"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753EC" w:rsidRDefault="00382E0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下属基金份额类别的基金代码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753EC" w:rsidRDefault="00382E0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206018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753EC" w:rsidRDefault="00382E0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019302</w:t>
            </w:r>
          </w:p>
        </w:tc>
      </w:tr>
      <w:tr w:rsidR="003753EC"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753EC" w:rsidRDefault="00382E0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该类基金份额是否调整大额申购（转换转入、定期定额投资）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753EC" w:rsidRDefault="00382E0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753EC" w:rsidRDefault="00382E0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是</w:t>
            </w:r>
          </w:p>
        </w:tc>
      </w:tr>
      <w:tr w:rsidR="003753EC"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753EC" w:rsidRDefault="00382E0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该类基金份额的限制申购（转换转入、定期定额投资）金额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753EC" w:rsidRDefault="00382E0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5,000,000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753EC" w:rsidRDefault="00382E0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-</w:t>
            </w:r>
          </w:p>
        </w:tc>
      </w:tr>
    </w:tbl>
    <w:p w:rsidR="003753EC" w:rsidRDefault="00382E0D">
      <w:pPr>
        <w:spacing w:before="240" w:line="360" w:lineRule="auto"/>
      </w:pPr>
      <w:r>
        <w:rPr>
          <w:rFonts w:ascii="宋体" w:eastAsia="宋体" w:hAnsi="宋体" w:cs="宋体"/>
          <w:b/>
          <w:bCs/>
          <w:lang w:eastAsia="zh-CN"/>
        </w:rPr>
        <w:t>2</w:t>
      </w:r>
      <w:r>
        <w:rPr>
          <w:rFonts w:ascii="宋体" w:eastAsia="宋体" w:hAnsi="宋体" w:cs="宋体"/>
          <w:b/>
          <w:bCs/>
          <w:lang w:eastAsia="zh-CN"/>
        </w:rPr>
        <w:t>其他需要提示的事项</w:t>
      </w:r>
    </w:p>
    <w:p w:rsidR="003753EC" w:rsidRDefault="00382E0D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）鹏华产业债债券型证券投资基金（以下简称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本基金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类基金份额自</w:t>
      </w:r>
      <w:r>
        <w:rPr>
          <w:rFonts w:ascii="宋体" w:eastAsia="宋体" w:hAnsi="宋体" w:cs="宋体"/>
          <w:sz w:val="21"/>
          <w:szCs w:val="21"/>
          <w:lang w:eastAsia="zh-CN"/>
        </w:rPr>
        <w:t>2025</w:t>
      </w:r>
      <w:r>
        <w:rPr>
          <w:rFonts w:ascii="宋体" w:eastAsia="宋体" w:hAnsi="宋体" w:cs="宋体"/>
          <w:sz w:val="21"/>
          <w:szCs w:val="21"/>
          <w:lang w:eastAsia="zh-CN"/>
        </w:rPr>
        <w:t>年</w:t>
      </w:r>
      <w:r>
        <w:rPr>
          <w:rFonts w:ascii="宋体" w:eastAsia="宋体" w:hAnsi="宋体" w:cs="宋体"/>
          <w:sz w:val="21"/>
          <w:szCs w:val="21"/>
          <w:lang w:eastAsia="zh-CN"/>
        </w:rPr>
        <w:t>04</w:t>
      </w:r>
      <w:r>
        <w:rPr>
          <w:rFonts w:ascii="宋体" w:eastAsia="宋体" w:hAnsi="宋体" w:cs="宋体"/>
          <w:sz w:val="21"/>
          <w:szCs w:val="21"/>
          <w:lang w:eastAsia="zh-CN"/>
        </w:rPr>
        <w:t>月</w:t>
      </w:r>
      <w:r>
        <w:rPr>
          <w:rFonts w:ascii="宋体" w:eastAsia="宋体" w:hAnsi="宋体" w:cs="宋体"/>
          <w:sz w:val="21"/>
          <w:szCs w:val="21"/>
          <w:lang w:eastAsia="zh-CN"/>
        </w:rPr>
        <w:t>08</w:t>
      </w:r>
      <w:r>
        <w:rPr>
          <w:rFonts w:ascii="宋体" w:eastAsia="宋体" w:hAnsi="宋体" w:cs="宋体"/>
          <w:sz w:val="21"/>
          <w:szCs w:val="21"/>
          <w:lang w:eastAsia="zh-CN"/>
        </w:rPr>
        <w:t>日起，单日单个基金账户累计的申购、转换转入、定期定额投资金额限额由</w:t>
      </w:r>
      <w:r>
        <w:rPr>
          <w:rFonts w:ascii="宋体" w:eastAsia="宋体" w:hAnsi="宋体" w:cs="宋体"/>
          <w:sz w:val="21"/>
          <w:szCs w:val="21"/>
          <w:lang w:eastAsia="zh-CN"/>
        </w:rPr>
        <w:t>100</w:t>
      </w:r>
      <w:r>
        <w:rPr>
          <w:rFonts w:ascii="宋体" w:eastAsia="宋体" w:hAnsi="宋体" w:cs="宋体"/>
          <w:sz w:val="21"/>
          <w:szCs w:val="21"/>
          <w:lang w:eastAsia="zh-CN"/>
        </w:rPr>
        <w:t>万元调整为</w:t>
      </w:r>
      <w:r>
        <w:rPr>
          <w:rFonts w:ascii="宋体" w:eastAsia="宋体" w:hAnsi="宋体" w:cs="宋体"/>
          <w:sz w:val="21"/>
          <w:szCs w:val="21"/>
          <w:lang w:eastAsia="zh-CN"/>
        </w:rPr>
        <w:t>500</w:t>
      </w:r>
      <w:r>
        <w:rPr>
          <w:rFonts w:ascii="宋体" w:eastAsia="宋体" w:hAnsi="宋体" w:cs="宋体"/>
          <w:sz w:val="21"/>
          <w:szCs w:val="21"/>
          <w:lang w:eastAsia="zh-CN"/>
        </w:rPr>
        <w:t>万元。如某笔申请将导致单日单个基金账户累计申购、转换转入、定期定额投资本基金</w:t>
      </w:r>
      <w:r>
        <w:rPr>
          <w:rFonts w:ascii="宋体" w:eastAsia="宋体" w:hAnsi="宋体" w:cs="宋体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类基金份额金额超过</w:t>
      </w:r>
      <w:r>
        <w:rPr>
          <w:rFonts w:ascii="宋体" w:eastAsia="宋体" w:hAnsi="宋体" w:cs="宋体"/>
          <w:sz w:val="21"/>
          <w:szCs w:val="21"/>
          <w:lang w:eastAsia="zh-CN"/>
        </w:rPr>
        <w:t>500</w:t>
      </w:r>
      <w:r>
        <w:rPr>
          <w:rFonts w:ascii="宋体" w:eastAsia="宋体" w:hAnsi="宋体" w:cs="宋体"/>
          <w:sz w:val="21"/>
          <w:szCs w:val="21"/>
          <w:lang w:eastAsia="zh-CN"/>
        </w:rPr>
        <w:t>万元（不含</w:t>
      </w:r>
      <w:r>
        <w:rPr>
          <w:rFonts w:ascii="宋体" w:eastAsia="宋体" w:hAnsi="宋体" w:cs="宋体"/>
          <w:sz w:val="21"/>
          <w:szCs w:val="21"/>
          <w:lang w:eastAsia="zh-CN"/>
        </w:rPr>
        <w:t>500</w:t>
      </w:r>
      <w:r>
        <w:rPr>
          <w:rFonts w:ascii="宋体" w:eastAsia="宋体" w:hAnsi="宋体" w:cs="宋体"/>
          <w:sz w:val="21"/>
          <w:szCs w:val="21"/>
          <w:lang w:eastAsia="zh-CN"/>
        </w:rPr>
        <w:t>万元），本基金管理人将有权拒绝该笔申请。</w:t>
      </w:r>
    </w:p>
    <w:p w:rsidR="003753EC" w:rsidRDefault="00382E0D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本基金</w:t>
      </w:r>
      <w:r>
        <w:rPr>
          <w:rFonts w:ascii="宋体" w:eastAsia="宋体" w:hAnsi="宋体" w:cs="宋体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类基金份额自</w:t>
      </w:r>
      <w:r>
        <w:rPr>
          <w:rFonts w:ascii="宋体" w:eastAsia="宋体" w:hAnsi="宋体" w:cs="宋体"/>
          <w:sz w:val="21"/>
          <w:szCs w:val="21"/>
          <w:lang w:eastAsia="zh-CN"/>
        </w:rPr>
        <w:t>2025</w:t>
      </w:r>
      <w:r>
        <w:rPr>
          <w:rFonts w:ascii="宋体" w:eastAsia="宋体" w:hAnsi="宋体" w:cs="宋体"/>
          <w:sz w:val="21"/>
          <w:szCs w:val="21"/>
          <w:lang w:eastAsia="zh-CN"/>
        </w:rPr>
        <w:t>年</w:t>
      </w:r>
      <w:r>
        <w:rPr>
          <w:rFonts w:ascii="宋体" w:eastAsia="宋体" w:hAnsi="宋体" w:cs="宋体"/>
          <w:sz w:val="21"/>
          <w:szCs w:val="21"/>
          <w:lang w:eastAsia="zh-CN"/>
        </w:rPr>
        <w:t>04</w:t>
      </w:r>
      <w:r>
        <w:rPr>
          <w:rFonts w:ascii="宋体" w:eastAsia="宋体" w:hAnsi="宋体" w:cs="宋体"/>
          <w:sz w:val="21"/>
          <w:szCs w:val="21"/>
          <w:lang w:eastAsia="zh-CN"/>
        </w:rPr>
        <w:t>月</w:t>
      </w:r>
      <w:r>
        <w:rPr>
          <w:rFonts w:ascii="宋体" w:eastAsia="宋体" w:hAnsi="宋体" w:cs="宋体"/>
          <w:sz w:val="21"/>
          <w:szCs w:val="21"/>
          <w:lang w:eastAsia="zh-CN"/>
        </w:rPr>
        <w:t>08</w:t>
      </w:r>
      <w:r>
        <w:rPr>
          <w:rFonts w:ascii="宋体" w:eastAsia="宋体" w:hAnsi="宋体" w:cs="宋体"/>
          <w:sz w:val="21"/>
          <w:szCs w:val="21"/>
          <w:lang w:eastAsia="zh-CN"/>
        </w:rPr>
        <w:t>日起，恢复大额申购、转换转入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z w:val="21"/>
          <w:szCs w:val="21"/>
          <w:lang w:eastAsia="zh-CN"/>
        </w:rPr>
        <w:t>定期定额投资业务，取消自</w:t>
      </w:r>
      <w:r>
        <w:rPr>
          <w:rFonts w:ascii="宋体" w:eastAsia="宋体" w:hAnsi="宋体" w:cs="宋体"/>
          <w:sz w:val="21"/>
          <w:szCs w:val="21"/>
          <w:lang w:eastAsia="zh-CN"/>
        </w:rPr>
        <w:t>2025</w:t>
      </w:r>
      <w:r>
        <w:rPr>
          <w:rFonts w:ascii="宋体" w:eastAsia="宋体" w:hAnsi="宋体" w:cs="宋体"/>
          <w:sz w:val="21"/>
          <w:szCs w:val="21"/>
          <w:lang w:eastAsia="zh-CN"/>
        </w:rPr>
        <w:t>年</w:t>
      </w:r>
      <w:r>
        <w:rPr>
          <w:rFonts w:ascii="宋体" w:eastAsia="宋体" w:hAnsi="宋体" w:cs="宋体"/>
          <w:sz w:val="21"/>
          <w:szCs w:val="21"/>
          <w:lang w:eastAsia="zh-CN"/>
        </w:rPr>
        <w:t>04</w:t>
      </w:r>
      <w:r>
        <w:rPr>
          <w:rFonts w:ascii="宋体" w:eastAsia="宋体" w:hAnsi="宋体" w:cs="宋体"/>
          <w:sz w:val="21"/>
          <w:szCs w:val="21"/>
          <w:lang w:eastAsia="zh-CN"/>
        </w:rPr>
        <w:t>月</w:t>
      </w:r>
      <w:r>
        <w:rPr>
          <w:rFonts w:ascii="宋体" w:eastAsia="宋体" w:hAnsi="宋体" w:cs="宋体"/>
          <w:sz w:val="21"/>
          <w:szCs w:val="21"/>
          <w:lang w:eastAsia="zh-CN"/>
        </w:rPr>
        <w:t>01</w:t>
      </w:r>
      <w:r>
        <w:rPr>
          <w:rFonts w:ascii="宋体" w:eastAsia="宋体" w:hAnsi="宋体" w:cs="宋体"/>
          <w:sz w:val="21"/>
          <w:szCs w:val="21"/>
          <w:lang w:eastAsia="zh-CN"/>
        </w:rPr>
        <w:t>日起本基金</w:t>
      </w:r>
      <w:r>
        <w:rPr>
          <w:rFonts w:ascii="宋体" w:eastAsia="宋体" w:hAnsi="宋体" w:cs="宋体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类基金份额单日单个基金账户</w:t>
      </w:r>
      <w:r>
        <w:rPr>
          <w:rFonts w:ascii="宋体" w:eastAsia="宋体" w:hAnsi="宋体" w:cs="宋体"/>
          <w:sz w:val="21"/>
          <w:szCs w:val="21"/>
          <w:lang w:eastAsia="zh-CN"/>
        </w:rPr>
        <w:t>累计申购、转换转入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z w:val="21"/>
          <w:szCs w:val="21"/>
          <w:lang w:eastAsia="zh-CN"/>
        </w:rPr>
        <w:t>定期定额投资金额限额为</w:t>
      </w:r>
      <w:r>
        <w:rPr>
          <w:rFonts w:ascii="宋体" w:eastAsia="宋体" w:hAnsi="宋体" w:cs="宋体"/>
          <w:sz w:val="21"/>
          <w:szCs w:val="21"/>
          <w:lang w:eastAsia="zh-CN"/>
        </w:rPr>
        <w:t>100</w:t>
      </w:r>
      <w:r>
        <w:rPr>
          <w:rFonts w:ascii="宋体" w:eastAsia="宋体" w:hAnsi="宋体" w:cs="宋体"/>
          <w:sz w:val="21"/>
          <w:szCs w:val="21"/>
          <w:lang w:eastAsia="zh-CN"/>
        </w:rPr>
        <w:t>万元</w:t>
      </w:r>
      <w:bookmarkStart w:id="0" w:name="_GoBack"/>
      <w:bookmarkEnd w:id="0"/>
      <w:r>
        <w:rPr>
          <w:rFonts w:ascii="宋体" w:eastAsia="宋体" w:hAnsi="宋体" w:cs="宋体"/>
          <w:sz w:val="21"/>
          <w:szCs w:val="21"/>
          <w:lang w:eastAsia="zh-CN"/>
        </w:rPr>
        <w:t>的限制。</w:t>
      </w:r>
    </w:p>
    <w:p w:rsidR="003753EC" w:rsidRDefault="00382E0D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）在暂停大额申购、转换转入、定期定额投资业务期间，赎回和转换转出等其他业务仍照常办理。恢复办理本基金的大额申购、转换转入、定期定额投资业务或调整上述业务限制，基金管理人届时将另行公告。</w:t>
      </w:r>
    </w:p>
    <w:p w:rsidR="003753EC" w:rsidRDefault="00382E0D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）投资者可登录本基金管理人网站（</w:t>
      </w:r>
      <w:r>
        <w:rPr>
          <w:rFonts w:ascii="宋体" w:eastAsia="宋体" w:hAnsi="宋体" w:cs="宋体"/>
          <w:sz w:val="21"/>
          <w:szCs w:val="21"/>
          <w:lang w:eastAsia="zh-CN"/>
        </w:rPr>
        <w:t>www.phfund.com.cn</w:t>
      </w:r>
      <w:r>
        <w:rPr>
          <w:rFonts w:ascii="宋体" w:eastAsia="宋体" w:hAnsi="宋体" w:cs="宋体"/>
          <w:sz w:val="21"/>
          <w:szCs w:val="21"/>
          <w:lang w:eastAsia="zh-CN"/>
        </w:rPr>
        <w:t>），或拨打客户服务电话（</w:t>
      </w:r>
      <w:r>
        <w:rPr>
          <w:rFonts w:ascii="宋体" w:eastAsia="宋体" w:hAnsi="宋体" w:cs="宋体"/>
          <w:sz w:val="21"/>
          <w:szCs w:val="21"/>
          <w:lang w:eastAsia="zh-CN"/>
        </w:rPr>
        <w:t>400-6788-533</w:t>
      </w:r>
      <w:r>
        <w:rPr>
          <w:rFonts w:ascii="宋体" w:eastAsia="宋体" w:hAnsi="宋体" w:cs="宋体"/>
          <w:sz w:val="21"/>
          <w:szCs w:val="21"/>
          <w:lang w:eastAsia="zh-CN"/>
        </w:rPr>
        <w:t>）咨询相关信息。</w:t>
      </w:r>
    </w:p>
    <w:p w:rsidR="003753EC" w:rsidRDefault="00382E0D">
      <w:pPr>
        <w:spacing w:line="360" w:lineRule="auto"/>
        <w:ind w:firstLine="420"/>
        <w:rPr>
          <w:sz w:val="21"/>
          <w:szCs w:val="21"/>
        </w:rPr>
      </w:pPr>
      <w:r>
        <w:rPr>
          <w:sz w:val="21"/>
          <w:szCs w:val="21"/>
          <w:lang w:eastAsia="zh-CN"/>
        </w:rPr>
        <w:t> </w:t>
      </w:r>
    </w:p>
    <w:p w:rsidR="003753EC" w:rsidRDefault="00382E0D">
      <w:pPr>
        <w:spacing w:line="360" w:lineRule="auto"/>
        <w:ind w:firstLine="420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风险提示：本公司承诺以诚实信用、勤勉尽责的原则管理和运用基金资产，但不保证基金一定盈利，也不保证最低收益，敬请投资者注意投资风险定期定额投资是引导投资人进行长期投资、平均投资成本的一种简单易行的投资方式。但是定期定额投资并不能规避</w:t>
      </w:r>
      <w:r>
        <w:rPr>
          <w:rFonts w:ascii="宋体" w:eastAsia="宋体" w:hAnsi="宋体" w:cs="宋体"/>
          <w:sz w:val="21"/>
          <w:szCs w:val="21"/>
          <w:lang w:eastAsia="zh-CN"/>
        </w:rPr>
        <w:lastRenderedPageBreak/>
        <w:t>基金投资所固有的风险，不能保证投资人获得收益，也不是替代储蓄的等效理财方式。投资者投资于本基金前应认真阅读本基金的基金合同、招募说明书</w:t>
      </w:r>
      <w:r>
        <w:rPr>
          <w:rFonts w:ascii="宋体" w:eastAsia="宋体" w:hAnsi="宋体" w:cs="宋体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sz w:val="21"/>
          <w:szCs w:val="21"/>
          <w:lang w:eastAsia="zh-CN"/>
        </w:rPr>
        <w:t>更新</w:t>
      </w:r>
      <w:r>
        <w:rPr>
          <w:rFonts w:ascii="宋体" w:eastAsia="宋体" w:hAnsi="宋体" w:cs="宋体"/>
          <w:sz w:val="21"/>
          <w:szCs w:val="21"/>
          <w:lang w:eastAsia="zh-CN"/>
        </w:rPr>
        <w:t>)</w:t>
      </w:r>
      <w:r>
        <w:rPr>
          <w:rFonts w:ascii="宋体" w:eastAsia="宋体" w:hAnsi="宋体" w:cs="宋体"/>
          <w:sz w:val="21"/>
          <w:szCs w:val="21"/>
          <w:lang w:eastAsia="zh-CN"/>
        </w:rPr>
        <w:t>、基金产品资料概要（更新）等文件，并根据自身风险承受能力选择适合自己的基金产品。</w:t>
      </w:r>
    </w:p>
    <w:p w:rsidR="003753EC" w:rsidRDefault="00382E0D">
      <w:pPr>
        <w:spacing w:line="360" w:lineRule="auto"/>
        <w:ind w:firstLine="420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特此公告。</w:t>
      </w:r>
    </w:p>
    <w:p w:rsidR="003753EC" w:rsidRDefault="00382E0D">
      <w:pPr>
        <w:spacing w:before="280" w:after="280" w:line="360" w:lineRule="auto"/>
        <w:rPr>
          <w:sz w:val="21"/>
          <w:szCs w:val="21"/>
        </w:rPr>
      </w:pPr>
      <w:r>
        <w:rPr>
          <w:sz w:val="21"/>
          <w:szCs w:val="21"/>
          <w:lang w:eastAsia="zh-CN"/>
        </w:rPr>
        <w:t> </w:t>
      </w:r>
    </w:p>
    <w:p w:rsidR="003753EC" w:rsidRDefault="00382E0D">
      <w:pPr>
        <w:spacing w:line="360" w:lineRule="auto"/>
        <w:jc w:val="righ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鹏华基金管理有限公司</w:t>
      </w:r>
    </w:p>
    <w:p w:rsidR="003753EC" w:rsidRDefault="00382E0D">
      <w:pPr>
        <w:spacing w:line="360" w:lineRule="auto"/>
        <w:jc w:val="righ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2025</w:t>
      </w:r>
      <w:r>
        <w:rPr>
          <w:rFonts w:ascii="宋体" w:eastAsia="宋体" w:hAnsi="宋体" w:cs="宋体"/>
          <w:sz w:val="21"/>
          <w:szCs w:val="21"/>
          <w:lang w:eastAsia="zh-CN"/>
        </w:rPr>
        <w:t>年</w:t>
      </w:r>
      <w:r>
        <w:rPr>
          <w:rFonts w:ascii="宋体" w:eastAsia="宋体" w:hAnsi="宋体" w:cs="宋体"/>
          <w:sz w:val="21"/>
          <w:szCs w:val="21"/>
          <w:lang w:eastAsia="zh-CN"/>
        </w:rPr>
        <w:t>04</w:t>
      </w:r>
      <w:r>
        <w:rPr>
          <w:rFonts w:ascii="宋体" w:eastAsia="宋体" w:hAnsi="宋体" w:cs="宋体"/>
          <w:sz w:val="21"/>
          <w:szCs w:val="21"/>
          <w:lang w:eastAsia="zh-CN"/>
        </w:rPr>
        <w:t>月</w:t>
      </w:r>
      <w:r>
        <w:rPr>
          <w:rFonts w:ascii="宋体" w:eastAsia="宋体" w:hAnsi="宋体" w:cs="宋体"/>
          <w:sz w:val="21"/>
          <w:szCs w:val="21"/>
          <w:lang w:eastAsia="zh-CN"/>
        </w:rPr>
        <w:t>07</w:t>
      </w:r>
      <w:r>
        <w:rPr>
          <w:rFonts w:ascii="宋体" w:eastAsia="宋体" w:hAnsi="宋体" w:cs="宋体"/>
          <w:sz w:val="21"/>
          <w:szCs w:val="21"/>
          <w:lang w:eastAsia="zh-CN"/>
        </w:rPr>
        <w:t>日</w:t>
      </w:r>
    </w:p>
    <w:p w:rsidR="003753EC" w:rsidRDefault="00382E0D">
      <w:pPr>
        <w:rPr>
          <w:sz w:val="21"/>
          <w:szCs w:val="21"/>
        </w:rPr>
      </w:pPr>
      <w:r>
        <w:rPr>
          <w:sz w:val="21"/>
          <w:szCs w:val="21"/>
          <w:lang w:eastAsia="zh-CN"/>
        </w:rPr>
        <w:t> </w:t>
      </w:r>
    </w:p>
    <w:p w:rsidR="003753EC" w:rsidRDefault="003753EC">
      <w:pPr>
        <w:rPr>
          <w:sz w:val="21"/>
          <w:szCs w:val="21"/>
        </w:rPr>
      </w:pPr>
    </w:p>
    <w:sectPr w:rsidR="003753EC" w:rsidSect="003753EC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3EC" w:rsidRDefault="003753EC" w:rsidP="003753EC">
      <w:r>
        <w:separator/>
      </w:r>
    </w:p>
  </w:endnote>
  <w:endnote w:type="continuationSeparator" w:id="0">
    <w:p w:rsidR="003753EC" w:rsidRDefault="003753EC" w:rsidP="00375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3EC" w:rsidRDefault="003753EC">
    <w:pPr>
      <w:jc w:val="center"/>
    </w:pPr>
    <w:r>
      <w:rPr>
        <w:rFonts w:ascii="宋体" w:eastAsia="宋体" w:hAnsi="宋体" w:cs="宋体"/>
        <w:sz w:val="18"/>
      </w:rPr>
      <w:fldChar w:fldCharType="begin"/>
    </w:r>
    <w:r w:rsidR="00382E0D">
      <w:rPr>
        <w:rFonts w:ascii="宋体" w:eastAsia="宋体" w:hAnsi="宋体" w:cs="宋体"/>
        <w:sz w:val="18"/>
        <w:lang w:eastAsia="zh-CN"/>
      </w:rPr>
      <w:instrText xml:space="preserve"> PAGE </w:instrText>
    </w:r>
    <w:r>
      <w:rPr>
        <w:rFonts w:ascii="宋体" w:eastAsia="宋体" w:hAnsi="宋体" w:cs="宋体"/>
        <w:sz w:val="18"/>
      </w:rPr>
      <w:fldChar w:fldCharType="separate"/>
    </w:r>
    <w:r w:rsidR="00382E0D">
      <w:rPr>
        <w:rFonts w:ascii="宋体" w:eastAsia="宋体" w:hAnsi="宋体" w:cs="宋体"/>
        <w:noProof/>
        <w:sz w:val="18"/>
        <w:lang w:eastAsia="zh-CN"/>
      </w:rPr>
      <w:t>1</w:t>
    </w:r>
    <w:r>
      <w:rPr>
        <w:rFonts w:ascii="宋体" w:eastAsia="宋体" w:hAnsi="宋体" w:cs="宋体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3EC" w:rsidRDefault="003753EC" w:rsidP="003753EC">
      <w:r>
        <w:separator/>
      </w:r>
    </w:p>
  </w:footnote>
  <w:footnote w:type="continuationSeparator" w:id="0">
    <w:p w:rsidR="003753EC" w:rsidRDefault="003753EC" w:rsidP="003753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753EC"/>
    <w:rsid w:val="00382E0D"/>
    <w:rsid w:val="00A77B3E"/>
    <w:rsid w:val="00CA2A55"/>
    <w:rsid w:val="74F15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3EC"/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rsid w:val="003753EC"/>
    <w:pPr>
      <w:spacing w:line="360" w:lineRule="auto"/>
    </w:pPr>
    <w:rPr>
      <w:rFonts w:ascii="宋体" w:eastAsia="宋体" w:hAnsi="宋体" w:cs="宋体"/>
      <w:b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</Words>
  <Characters>1032</Characters>
  <Application>Microsoft Office Word</Application>
  <DocSecurity>4</DocSecurity>
  <Lines>8</Lines>
  <Paragraphs>2</Paragraphs>
  <ScaleCrop>false</ScaleCrop>
  <Company>CNSTOCK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ZHONGM</cp:lastModifiedBy>
  <cp:revision>2</cp:revision>
  <dcterms:created xsi:type="dcterms:W3CDTF">2025-04-03T16:03:00Z</dcterms:created>
  <dcterms:modified xsi:type="dcterms:W3CDTF">2025-04-03T16:03:00Z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304F13B6BC6845A6BE86069C3CAAA295_12</vt:lpwstr>
  </property>
</Properties>
</file>