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4C" w:rsidRDefault="00AA05DA">
      <w:pPr>
        <w:spacing w:line="360" w:lineRule="auto"/>
        <w:jc w:val="center"/>
        <w:rPr>
          <w:rFonts w:ascii="Calibri" w:eastAsia="宋体" w:hAnsi="Calibri"/>
          <w:b/>
          <w:sz w:val="24"/>
          <w:szCs w:val="24"/>
          <w:shd w:val="clear" w:color="auto" w:fill="FFFFFF"/>
        </w:rPr>
      </w:pPr>
      <w:r>
        <w:rPr>
          <w:rFonts w:ascii="Calibri" w:eastAsia="宋体" w:hAnsi="Calibri" w:hint="eastAsia"/>
          <w:b/>
          <w:sz w:val="24"/>
          <w:szCs w:val="24"/>
          <w:shd w:val="clear" w:color="auto" w:fill="FFFFFF"/>
        </w:rPr>
        <w:t>富国基金管理有限公司</w:t>
      </w:r>
      <w:bookmarkStart w:id="0" w:name="_Hlk190799510"/>
      <w:r>
        <w:rPr>
          <w:rFonts w:ascii="Calibri" w:eastAsia="宋体" w:hAnsi="Calibri" w:hint="eastAsia"/>
          <w:b/>
          <w:sz w:val="24"/>
          <w:szCs w:val="24"/>
          <w:shd w:val="clear" w:color="auto" w:fill="FFFFFF"/>
        </w:rPr>
        <w:t>关于旗下部分基金</w:t>
      </w:r>
      <w:bookmarkEnd w:id="0"/>
      <w:r>
        <w:rPr>
          <w:rFonts w:ascii="Calibri" w:eastAsia="宋体" w:hAnsi="Calibri" w:hint="eastAsia"/>
          <w:b/>
          <w:sz w:val="24"/>
          <w:szCs w:val="24"/>
          <w:shd w:val="clear" w:color="auto" w:fill="FFFFFF"/>
        </w:rPr>
        <w:t>基金托管人信息变更并修订基金合同等法律文件的公告</w:t>
      </w:r>
    </w:p>
    <w:p w:rsidR="003E0C4C" w:rsidRDefault="003E0C4C">
      <w:pPr>
        <w:snapToGrid w:val="0"/>
        <w:spacing w:line="360" w:lineRule="auto"/>
        <w:ind w:firstLineChars="200" w:firstLine="420"/>
        <w:rPr>
          <w:rFonts w:ascii="宋体" w:eastAsia="宋体" w:hAnsi="宋体"/>
        </w:rPr>
      </w:pPr>
    </w:p>
    <w:p w:rsidR="003E0C4C" w:rsidRDefault="00AA05DA">
      <w:pPr>
        <w:snapToGrid w:val="0"/>
        <w:spacing w:line="360" w:lineRule="auto"/>
        <w:ind w:firstLineChars="200" w:firstLine="420"/>
        <w:rPr>
          <w:rFonts w:ascii="宋体" w:eastAsia="宋体" w:hAnsi="宋体"/>
          <w:szCs w:val="21"/>
        </w:rPr>
      </w:pPr>
      <w:r>
        <w:rPr>
          <w:rFonts w:ascii="宋体" w:eastAsia="宋体" w:hAnsi="宋体" w:hint="eastAsia"/>
          <w:szCs w:val="21"/>
        </w:rPr>
        <w:t>根据国泰</w:t>
      </w:r>
      <w:r>
        <w:rPr>
          <w:rFonts w:ascii="宋体" w:eastAsia="宋体" w:hAnsi="宋体"/>
          <w:szCs w:val="21"/>
        </w:rPr>
        <w:t>海通</w:t>
      </w:r>
      <w:r>
        <w:rPr>
          <w:rFonts w:ascii="宋体" w:eastAsia="宋体" w:hAnsi="宋体" w:hint="eastAsia"/>
          <w:szCs w:val="21"/>
        </w:rPr>
        <w:t>证券股份有限公司于2025年4月</w:t>
      </w:r>
      <w:r w:rsidR="00CB178C">
        <w:rPr>
          <w:rFonts w:ascii="宋体" w:eastAsia="宋体" w:hAnsi="宋体"/>
          <w:szCs w:val="21"/>
        </w:rPr>
        <w:t>4</w:t>
      </w:r>
      <w:r>
        <w:rPr>
          <w:rFonts w:ascii="宋体" w:eastAsia="宋体" w:hAnsi="宋体" w:hint="eastAsia"/>
          <w:szCs w:val="21"/>
        </w:rPr>
        <w:t>日发布的相关公告，国泰君安证券股份有限公司的公司名称等信息发生变更。富国基金管理有限公司（以下简称“基金管理人”）旗下托管在国泰君安证券股份有限公司的基金的基金托管</w:t>
      </w:r>
      <w:bookmarkStart w:id="1" w:name="_GoBack"/>
      <w:bookmarkEnd w:id="1"/>
      <w:r>
        <w:rPr>
          <w:rFonts w:ascii="宋体" w:eastAsia="宋体" w:hAnsi="宋体" w:hint="eastAsia"/>
          <w:szCs w:val="21"/>
        </w:rPr>
        <w:t>人信息需相应变更。根据《公开募集证券投资基金信息披露管理办法》等有关法律法规，基金管理人拟对旗下部分基金的基金合同、托管协议的相关条款进行修订。现将具体情况公告如下：</w:t>
      </w:r>
    </w:p>
    <w:p w:rsidR="003E0C4C" w:rsidRDefault="003E0C4C">
      <w:pPr>
        <w:snapToGrid w:val="0"/>
        <w:spacing w:line="360" w:lineRule="auto"/>
        <w:ind w:firstLineChars="200" w:firstLine="420"/>
        <w:rPr>
          <w:rFonts w:ascii="宋体" w:eastAsia="宋体" w:hAnsi="宋体"/>
          <w:szCs w:val="21"/>
        </w:rPr>
      </w:pPr>
    </w:p>
    <w:p w:rsidR="003E0C4C" w:rsidRDefault="00AA05DA">
      <w:pPr>
        <w:snapToGrid w:val="0"/>
        <w:spacing w:line="360" w:lineRule="auto"/>
        <w:ind w:firstLineChars="200" w:firstLine="420"/>
        <w:rPr>
          <w:rFonts w:ascii="宋体" w:eastAsia="宋体" w:hAnsi="宋体"/>
          <w:szCs w:val="21"/>
        </w:rPr>
      </w:pPr>
      <w:r>
        <w:rPr>
          <w:rFonts w:ascii="宋体" w:eastAsia="宋体" w:hAnsi="宋体" w:hint="eastAsia"/>
          <w:szCs w:val="21"/>
        </w:rPr>
        <w:t>一、涉及基金托管人信息变更的基金</w:t>
      </w:r>
    </w:p>
    <w:tbl>
      <w:tblPr>
        <w:tblStyle w:val="a6"/>
        <w:tblW w:w="4998" w:type="pct"/>
        <w:tblLook w:val="04A0"/>
      </w:tblPr>
      <w:tblGrid>
        <w:gridCol w:w="617"/>
        <w:gridCol w:w="968"/>
        <w:gridCol w:w="2368"/>
        <w:gridCol w:w="2280"/>
        <w:gridCol w:w="2286"/>
      </w:tblGrid>
      <w:tr w:rsidR="003E0C4C">
        <w:tc>
          <w:tcPr>
            <w:tcW w:w="363"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序号</w:t>
            </w:r>
          </w:p>
        </w:tc>
        <w:tc>
          <w:tcPr>
            <w:tcW w:w="568"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基金代码</w:t>
            </w:r>
          </w:p>
        </w:tc>
        <w:tc>
          <w:tcPr>
            <w:tcW w:w="1389"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基金名称</w:t>
            </w:r>
          </w:p>
        </w:tc>
        <w:tc>
          <w:tcPr>
            <w:tcW w:w="1337"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变更前基金托管人信息</w:t>
            </w:r>
          </w:p>
        </w:tc>
        <w:tc>
          <w:tcPr>
            <w:tcW w:w="1341"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变更后基金托管人信息</w:t>
            </w:r>
          </w:p>
        </w:tc>
      </w:tr>
      <w:tr w:rsidR="003E0C4C">
        <w:tc>
          <w:tcPr>
            <w:tcW w:w="363"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1</w:t>
            </w:r>
          </w:p>
        </w:tc>
        <w:tc>
          <w:tcPr>
            <w:tcW w:w="568"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161032</w:t>
            </w:r>
          </w:p>
        </w:tc>
        <w:tc>
          <w:tcPr>
            <w:tcW w:w="1389"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富国中证煤炭指数型证券投资基金</w:t>
            </w:r>
          </w:p>
        </w:tc>
        <w:tc>
          <w:tcPr>
            <w:tcW w:w="1337"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名称：国泰君安证券股份有限公司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注册地址：上海浦东新区商城路618号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办公地址：上海市静安区新闸路669号19楼</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法定代表人：贺青</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批准设立机关和批准设立文号：证监机构字[1999]77号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注册资本：890794.7954万元人民币</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基金托管资格批文及文号：证监许可[2014]511号</w:t>
            </w:r>
          </w:p>
        </w:tc>
        <w:tc>
          <w:tcPr>
            <w:tcW w:w="1341"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名称：国泰海通证券股份有限公司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住所：中国（上海）自由贸易试验区商城路618号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法定代表人：朱健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批准设立机关：中国证监会</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批准设立文号：证监机构字[1999]77号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组织形式：其他股份有限公司（上市）</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注册资本：人民币 17,629,708,696 元整</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基金托管资格批文及文号：证监许可[2014]511号</w:t>
            </w:r>
          </w:p>
        </w:tc>
      </w:tr>
      <w:tr w:rsidR="003E0C4C">
        <w:tc>
          <w:tcPr>
            <w:tcW w:w="363"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2</w:t>
            </w:r>
          </w:p>
        </w:tc>
        <w:tc>
          <w:tcPr>
            <w:tcW w:w="568"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159583</w:t>
            </w:r>
          </w:p>
        </w:tc>
        <w:tc>
          <w:tcPr>
            <w:tcW w:w="1389"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富国中证通信设备主题交易型开放式指数证券投资基金</w:t>
            </w:r>
          </w:p>
        </w:tc>
        <w:tc>
          <w:tcPr>
            <w:tcW w:w="1337"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名称：国泰君安证券股份有限公司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住所：中国（上海）自由贸易试验区商城路618号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法定代表人：朱健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批准设立机关和批准设立</w:t>
            </w:r>
            <w:r>
              <w:rPr>
                <w:rFonts w:ascii="宋体" w:eastAsia="宋体" w:hAnsi="宋体" w:hint="eastAsia"/>
                <w:sz w:val="18"/>
                <w:szCs w:val="18"/>
              </w:rPr>
              <w:lastRenderedPageBreak/>
              <w:t>文号：中国证监会证监机构字[1999]77号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注册资本：人民币890,794.80万元</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基金托管资格批文及文号：中国证监会证监许可[2014]511号</w:t>
            </w:r>
          </w:p>
        </w:tc>
        <w:tc>
          <w:tcPr>
            <w:tcW w:w="1341"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lastRenderedPageBreak/>
              <w:t>名称：国泰海通证券股份有限公司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住所：中国（上海）自由贸易试验区商城路618号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法定代表人：朱健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批准设立机关：中国证监会</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lastRenderedPageBreak/>
              <w:t>批准设立文号：证监机构字[1999]77号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组织形式：其他股份有限公司（上市）</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注册资本：人民币 17,629,708,696 元整</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基金托管资格批文及文号：证监许可[2014]511号</w:t>
            </w:r>
          </w:p>
        </w:tc>
      </w:tr>
      <w:tr w:rsidR="003E0C4C">
        <w:tc>
          <w:tcPr>
            <w:tcW w:w="363"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lastRenderedPageBreak/>
              <w:t>3</w:t>
            </w:r>
          </w:p>
        </w:tc>
        <w:tc>
          <w:tcPr>
            <w:tcW w:w="568"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021933</w:t>
            </w:r>
          </w:p>
        </w:tc>
        <w:tc>
          <w:tcPr>
            <w:tcW w:w="1389" w:type="pct"/>
            <w:vAlign w:val="center"/>
          </w:tcPr>
          <w:p w:rsidR="003E0C4C" w:rsidRDefault="00AA05DA">
            <w:pPr>
              <w:snapToGrid w:val="0"/>
              <w:spacing w:line="360" w:lineRule="auto"/>
              <w:jc w:val="center"/>
              <w:rPr>
                <w:rFonts w:ascii="宋体" w:eastAsia="宋体" w:hAnsi="宋体"/>
                <w:sz w:val="18"/>
                <w:szCs w:val="18"/>
              </w:rPr>
            </w:pPr>
            <w:r>
              <w:rPr>
                <w:rFonts w:ascii="宋体" w:eastAsia="宋体" w:hAnsi="宋体" w:hint="eastAsia"/>
                <w:sz w:val="18"/>
                <w:szCs w:val="18"/>
              </w:rPr>
              <w:t>富国中证通信设备主题交易型开放式指数证券投资基金发起式联接基金</w:t>
            </w:r>
          </w:p>
        </w:tc>
        <w:tc>
          <w:tcPr>
            <w:tcW w:w="1337"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名称：国泰君安证券股份有限公司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住所：中国（上海）自由贸易试验区商城路618号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法定代表人：朱健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批准设立机关和批准设立文号：中国证监会证监机构字[1999]77号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注册资本：人民币890461.0816万元</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基金托管资格批文及文号：中国证监会证监许可[2014]511号</w:t>
            </w:r>
          </w:p>
        </w:tc>
        <w:tc>
          <w:tcPr>
            <w:tcW w:w="1341" w:type="pct"/>
            <w:vAlign w:val="center"/>
          </w:tcPr>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名称：国泰海通证券股份有限公司</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住所：中国（上海）自由贸易试验区商城路618号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法定代表人：朱健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成立时间：1999年8月18日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批准设立机关：中国证监会</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批准设立文号：证监机构字[1999]77号</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组织形式：其他股份有限公司（上市）</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注册资本：人民币 17,629,708,696 元整</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存续期间：持续经营</w:t>
            </w:r>
          </w:p>
          <w:p w:rsidR="003E0C4C" w:rsidRDefault="00AA05DA">
            <w:pPr>
              <w:snapToGrid w:val="0"/>
              <w:spacing w:line="360" w:lineRule="auto"/>
              <w:jc w:val="left"/>
              <w:rPr>
                <w:rFonts w:ascii="宋体" w:eastAsia="宋体" w:hAnsi="宋体"/>
                <w:sz w:val="18"/>
                <w:szCs w:val="18"/>
              </w:rPr>
            </w:pPr>
            <w:r>
              <w:rPr>
                <w:rFonts w:ascii="宋体" w:eastAsia="宋体" w:hAnsi="宋体" w:hint="eastAsia"/>
                <w:sz w:val="18"/>
                <w:szCs w:val="18"/>
              </w:rPr>
              <w:t>基金托管资格批文及文号：证监许可[2014]511号</w:t>
            </w:r>
          </w:p>
        </w:tc>
      </w:tr>
    </w:tbl>
    <w:p w:rsidR="003E0C4C" w:rsidRDefault="003E0C4C">
      <w:pPr>
        <w:snapToGrid w:val="0"/>
        <w:spacing w:line="360" w:lineRule="auto"/>
        <w:ind w:firstLineChars="200" w:firstLine="420"/>
        <w:rPr>
          <w:rFonts w:ascii="宋体" w:eastAsia="宋体" w:hAnsi="宋体"/>
          <w:szCs w:val="21"/>
        </w:rPr>
      </w:pPr>
    </w:p>
    <w:p w:rsidR="003E0C4C" w:rsidRDefault="00AA05DA">
      <w:pPr>
        <w:snapToGrid w:val="0"/>
        <w:spacing w:line="360" w:lineRule="auto"/>
        <w:ind w:firstLineChars="200" w:firstLine="420"/>
        <w:rPr>
          <w:rFonts w:ascii="宋体" w:eastAsia="宋体" w:hAnsi="宋体"/>
          <w:szCs w:val="21"/>
        </w:rPr>
      </w:pPr>
      <w:r>
        <w:rPr>
          <w:rFonts w:ascii="宋体" w:eastAsia="宋体" w:hAnsi="宋体" w:hint="eastAsia"/>
          <w:szCs w:val="21"/>
        </w:rPr>
        <w:t>二、其他事项</w:t>
      </w:r>
    </w:p>
    <w:p w:rsidR="003E0C4C" w:rsidRDefault="00AA05DA">
      <w:pPr>
        <w:snapToGrid w:val="0"/>
        <w:spacing w:line="360" w:lineRule="auto"/>
        <w:ind w:firstLineChars="200" w:firstLine="420"/>
        <w:rPr>
          <w:rFonts w:ascii="宋体" w:eastAsia="宋体" w:hAnsi="宋体"/>
          <w:szCs w:val="21"/>
        </w:rPr>
      </w:pPr>
      <w:r>
        <w:rPr>
          <w:rFonts w:ascii="宋体" w:eastAsia="宋体" w:hAnsi="宋体"/>
          <w:szCs w:val="21"/>
        </w:rPr>
        <w:t>基金管理人将根据上述调整情况修订</w:t>
      </w:r>
      <w:r>
        <w:rPr>
          <w:rFonts w:ascii="宋体" w:eastAsia="宋体" w:hAnsi="宋体" w:hint="eastAsia"/>
          <w:szCs w:val="21"/>
        </w:rPr>
        <w:t>上述</w:t>
      </w:r>
      <w:r>
        <w:rPr>
          <w:rFonts w:ascii="宋体" w:eastAsia="宋体" w:hAnsi="宋体"/>
          <w:szCs w:val="21"/>
        </w:rPr>
        <w:t>基金基金合同</w:t>
      </w:r>
      <w:r>
        <w:rPr>
          <w:rFonts w:ascii="宋体" w:eastAsia="宋体" w:hAnsi="宋体" w:hint="eastAsia"/>
          <w:szCs w:val="21"/>
        </w:rPr>
        <w:t>的“基金合同当事人及权利义务”</w:t>
      </w:r>
      <w:r>
        <w:rPr>
          <w:rFonts w:ascii="宋体" w:eastAsia="宋体" w:hAnsi="宋体"/>
          <w:szCs w:val="21"/>
        </w:rPr>
        <w:t>等章节中的有关内容，</w:t>
      </w:r>
      <w:r>
        <w:rPr>
          <w:rFonts w:ascii="宋体" w:eastAsia="宋体" w:hAnsi="宋体" w:hint="eastAsia"/>
          <w:szCs w:val="21"/>
        </w:rPr>
        <w:t>以及上述基金托管协议的“基金托管协议当事人”</w:t>
      </w:r>
      <w:r>
        <w:rPr>
          <w:rFonts w:ascii="宋体" w:eastAsia="宋体" w:hAnsi="宋体"/>
          <w:szCs w:val="21"/>
        </w:rPr>
        <w:t>等章节中的有关内容</w:t>
      </w:r>
      <w:r>
        <w:rPr>
          <w:rFonts w:ascii="宋体" w:eastAsia="宋体" w:hAnsi="宋体" w:hint="eastAsia"/>
          <w:szCs w:val="21"/>
        </w:rPr>
        <w:t>，</w:t>
      </w:r>
      <w:r>
        <w:rPr>
          <w:rFonts w:ascii="宋体" w:eastAsia="宋体" w:hAnsi="宋体"/>
          <w:szCs w:val="21"/>
        </w:rPr>
        <w:t>招募说明书、基金产品资料概要（如涉及）将根据法律法规的规定相应更新。本次</w:t>
      </w:r>
      <w:r>
        <w:rPr>
          <w:rFonts w:ascii="宋体" w:eastAsia="宋体" w:hAnsi="宋体" w:hint="eastAsia"/>
          <w:szCs w:val="21"/>
        </w:rPr>
        <w:t>修订对基金份额持有人利益无实质性不利影响，亦不涉及基金合同当事人权利义务关系发生重大变化</w:t>
      </w:r>
      <w:r>
        <w:rPr>
          <w:rFonts w:ascii="宋体" w:eastAsia="宋体" w:hAnsi="宋体"/>
          <w:szCs w:val="21"/>
        </w:rPr>
        <w:t>。</w:t>
      </w:r>
    </w:p>
    <w:p w:rsidR="003E0C4C" w:rsidRDefault="00AA05DA">
      <w:pPr>
        <w:snapToGrid w:val="0"/>
        <w:spacing w:line="360" w:lineRule="auto"/>
        <w:ind w:firstLineChars="200" w:firstLine="420"/>
        <w:rPr>
          <w:rFonts w:ascii="宋体" w:eastAsia="宋体" w:hAnsi="宋体"/>
          <w:szCs w:val="21"/>
        </w:rPr>
      </w:pPr>
      <w:r>
        <w:rPr>
          <w:rFonts w:ascii="宋体" w:eastAsia="宋体" w:hAnsi="宋体"/>
          <w:szCs w:val="21"/>
        </w:rPr>
        <w:t>本次修订已履行规定的程序，符合法律法规及各基金基金合同的规定，修订内容自2025年</w:t>
      </w:r>
      <w:r>
        <w:rPr>
          <w:rFonts w:ascii="宋体" w:eastAsia="宋体" w:hAnsi="宋体" w:hint="eastAsia"/>
          <w:szCs w:val="21"/>
        </w:rPr>
        <w:t>4</w:t>
      </w:r>
      <w:r>
        <w:rPr>
          <w:rFonts w:ascii="宋体" w:eastAsia="宋体" w:hAnsi="宋体"/>
          <w:szCs w:val="21"/>
        </w:rPr>
        <w:t>月</w:t>
      </w:r>
      <w:r>
        <w:rPr>
          <w:rFonts w:ascii="宋体" w:eastAsia="宋体" w:hAnsi="宋体" w:hint="eastAsia"/>
          <w:szCs w:val="21"/>
        </w:rPr>
        <w:t>5</w:t>
      </w:r>
      <w:r>
        <w:rPr>
          <w:rFonts w:ascii="宋体" w:eastAsia="宋体" w:hAnsi="宋体"/>
          <w:szCs w:val="21"/>
        </w:rPr>
        <w:t>日起生效，修订后的法律文件将依照《信息披露办法》的有关规定在基金管理人网站（www.fullgoal.com.cn）和中国证监会基金电子披露网站（http://eid.csrc.gov.cn/fund）发布，投资者可登录查阅。</w:t>
      </w:r>
    </w:p>
    <w:p w:rsidR="003E0C4C" w:rsidRDefault="00AA05DA">
      <w:pPr>
        <w:snapToGrid w:val="0"/>
        <w:spacing w:line="360" w:lineRule="auto"/>
        <w:ind w:firstLineChars="200" w:firstLine="420"/>
        <w:rPr>
          <w:rFonts w:ascii="宋体" w:eastAsia="宋体" w:hAnsi="宋体"/>
          <w:szCs w:val="21"/>
        </w:rPr>
      </w:pPr>
      <w:r>
        <w:rPr>
          <w:rFonts w:ascii="宋体" w:eastAsia="宋体" w:hAnsi="宋体"/>
          <w:szCs w:val="21"/>
        </w:rPr>
        <w:t>如有疑问，投资者可访问本公司网站(www.fullgoal.com.cn)或拨打客户服务电话</w:t>
      </w:r>
      <w:r>
        <w:rPr>
          <w:rFonts w:ascii="宋体" w:eastAsia="宋体" w:hAnsi="宋体"/>
          <w:szCs w:val="21"/>
        </w:rPr>
        <w:lastRenderedPageBreak/>
        <w:t>（95105686、400-888-0688）咨询相关事宜。</w:t>
      </w:r>
    </w:p>
    <w:p w:rsidR="003E0C4C" w:rsidRDefault="00AA05DA">
      <w:pPr>
        <w:snapToGrid w:val="0"/>
        <w:spacing w:line="360" w:lineRule="auto"/>
        <w:ind w:firstLineChars="200" w:firstLine="420"/>
        <w:rPr>
          <w:rFonts w:ascii="宋体" w:eastAsia="宋体" w:hAnsi="宋体"/>
          <w:szCs w:val="21"/>
        </w:rPr>
      </w:pPr>
      <w:r>
        <w:rPr>
          <w:rFonts w:ascii="宋体" w:eastAsia="宋体" w:hAnsi="宋体"/>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3E0C4C" w:rsidRDefault="00AA05DA">
      <w:pPr>
        <w:snapToGrid w:val="0"/>
        <w:spacing w:line="360" w:lineRule="auto"/>
        <w:ind w:firstLineChars="200" w:firstLine="420"/>
        <w:rPr>
          <w:rFonts w:ascii="宋体" w:eastAsia="宋体" w:hAnsi="宋体"/>
          <w:szCs w:val="21"/>
        </w:rPr>
      </w:pPr>
      <w:r>
        <w:rPr>
          <w:rFonts w:ascii="宋体" w:eastAsia="宋体" w:hAnsi="宋体"/>
          <w:szCs w:val="21"/>
        </w:rPr>
        <w:t>特此公告</w:t>
      </w:r>
      <w:r>
        <w:rPr>
          <w:rFonts w:ascii="宋体" w:eastAsia="宋体" w:hAnsi="宋体" w:hint="eastAsia"/>
          <w:szCs w:val="21"/>
        </w:rPr>
        <w:t>。</w:t>
      </w:r>
    </w:p>
    <w:p w:rsidR="003E0C4C" w:rsidRDefault="003E0C4C">
      <w:pPr>
        <w:snapToGrid w:val="0"/>
        <w:spacing w:line="360" w:lineRule="auto"/>
        <w:ind w:firstLineChars="200" w:firstLine="420"/>
        <w:rPr>
          <w:rFonts w:ascii="宋体" w:eastAsia="宋体" w:hAnsi="宋体"/>
          <w:szCs w:val="21"/>
        </w:rPr>
      </w:pPr>
    </w:p>
    <w:p w:rsidR="003E0C4C" w:rsidRDefault="003E0C4C">
      <w:pPr>
        <w:snapToGrid w:val="0"/>
        <w:spacing w:line="360" w:lineRule="auto"/>
        <w:ind w:firstLineChars="200" w:firstLine="420"/>
        <w:rPr>
          <w:rFonts w:ascii="宋体" w:eastAsia="宋体" w:hAnsi="宋体"/>
          <w:szCs w:val="21"/>
        </w:rPr>
      </w:pPr>
    </w:p>
    <w:p w:rsidR="003E0C4C" w:rsidRDefault="00AA05DA">
      <w:pPr>
        <w:snapToGrid w:val="0"/>
        <w:spacing w:line="360" w:lineRule="auto"/>
        <w:ind w:firstLineChars="200" w:firstLine="420"/>
        <w:jc w:val="right"/>
        <w:rPr>
          <w:rFonts w:ascii="宋体" w:eastAsia="宋体" w:hAnsi="宋体"/>
          <w:szCs w:val="21"/>
        </w:rPr>
      </w:pPr>
      <w:r>
        <w:rPr>
          <w:rFonts w:ascii="宋体" w:eastAsia="宋体" w:hAnsi="宋体"/>
          <w:szCs w:val="21"/>
        </w:rPr>
        <w:t>富国基金管理有限公司</w:t>
      </w:r>
    </w:p>
    <w:p w:rsidR="003E0C4C" w:rsidRDefault="00AA05DA">
      <w:pPr>
        <w:snapToGrid w:val="0"/>
        <w:spacing w:line="360" w:lineRule="auto"/>
        <w:ind w:firstLineChars="200" w:firstLine="420"/>
        <w:jc w:val="right"/>
        <w:rPr>
          <w:rFonts w:ascii="宋体" w:eastAsia="宋体" w:hAnsi="宋体"/>
          <w:szCs w:val="21"/>
        </w:rPr>
      </w:pPr>
      <w:r>
        <w:rPr>
          <w:rFonts w:ascii="宋体" w:eastAsia="宋体" w:hAnsi="宋体"/>
          <w:szCs w:val="21"/>
        </w:rPr>
        <w:t>2025年</w:t>
      </w:r>
      <w:r>
        <w:rPr>
          <w:rFonts w:ascii="宋体" w:eastAsia="宋体" w:hAnsi="宋体" w:hint="eastAsia"/>
          <w:szCs w:val="21"/>
        </w:rPr>
        <w:t>4</w:t>
      </w:r>
      <w:r>
        <w:rPr>
          <w:rFonts w:ascii="宋体" w:eastAsia="宋体" w:hAnsi="宋体"/>
          <w:szCs w:val="21"/>
        </w:rPr>
        <w:t>月</w:t>
      </w:r>
      <w:r>
        <w:rPr>
          <w:rFonts w:ascii="宋体" w:eastAsia="宋体" w:hAnsi="宋体" w:hint="eastAsia"/>
          <w:szCs w:val="21"/>
        </w:rPr>
        <w:t>5</w:t>
      </w:r>
      <w:r>
        <w:rPr>
          <w:rFonts w:ascii="宋体" w:eastAsia="宋体" w:hAnsi="宋体"/>
          <w:szCs w:val="21"/>
        </w:rPr>
        <w:t>日</w:t>
      </w:r>
    </w:p>
    <w:p w:rsidR="003E0C4C" w:rsidRDefault="003E0C4C">
      <w:pPr>
        <w:snapToGrid w:val="0"/>
        <w:spacing w:line="360" w:lineRule="auto"/>
        <w:ind w:firstLineChars="200" w:firstLine="420"/>
        <w:rPr>
          <w:rFonts w:ascii="宋体" w:eastAsia="宋体" w:hAnsi="宋体"/>
          <w:szCs w:val="21"/>
        </w:rPr>
      </w:pPr>
    </w:p>
    <w:p w:rsidR="003E0C4C" w:rsidRDefault="003E0C4C">
      <w:pPr>
        <w:snapToGrid w:val="0"/>
        <w:spacing w:line="360" w:lineRule="auto"/>
        <w:ind w:firstLineChars="200" w:firstLine="420"/>
        <w:rPr>
          <w:rFonts w:ascii="宋体" w:eastAsia="宋体" w:hAnsi="宋体"/>
          <w:szCs w:val="21"/>
        </w:rPr>
      </w:pPr>
    </w:p>
    <w:sectPr w:rsidR="003E0C4C" w:rsidSect="009E1A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4CC402C6"/>
    <w:rsid w:val="003E0C4C"/>
    <w:rsid w:val="005778E1"/>
    <w:rsid w:val="005F4FE6"/>
    <w:rsid w:val="007D0EFA"/>
    <w:rsid w:val="009E1A8D"/>
    <w:rsid w:val="00AA05DA"/>
    <w:rsid w:val="00CB178C"/>
    <w:rsid w:val="00D82AFC"/>
    <w:rsid w:val="06C660F2"/>
    <w:rsid w:val="16B717E9"/>
    <w:rsid w:val="18993976"/>
    <w:rsid w:val="19BC3EF8"/>
    <w:rsid w:val="1E130BCF"/>
    <w:rsid w:val="40C4772B"/>
    <w:rsid w:val="4CC402C6"/>
    <w:rsid w:val="55AB7874"/>
    <w:rsid w:val="5D0D7714"/>
    <w:rsid w:val="61D77FB7"/>
    <w:rsid w:val="66641E2E"/>
    <w:rsid w:val="6A4E0F31"/>
    <w:rsid w:val="75A6573C"/>
    <w:rsid w:val="76F06982"/>
    <w:rsid w:val="7D8B1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A8D"/>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E1A8D"/>
    <w:pPr>
      <w:jc w:val="left"/>
    </w:pPr>
  </w:style>
  <w:style w:type="paragraph" w:styleId="a4">
    <w:name w:val="Balloon Text"/>
    <w:basedOn w:val="a"/>
    <w:link w:val="Char0"/>
    <w:qFormat/>
    <w:rsid w:val="009E1A8D"/>
    <w:rPr>
      <w:sz w:val="18"/>
      <w:szCs w:val="18"/>
    </w:rPr>
  </w:style>
  <w:style w:type="paragraph" w:styleId="a5">
    <w:name w:val="annotation subject"/>
    <w:basedOn w:val="a3"/>
    <w:next w:val="a3"/>
    <w:link w:val="Char1"/>
    <w:rsid w:val="009E1A8D"/>
    <w:rPr>
      <w:b/>
      <w:bCs/>
    </w:rPr>
  </w:style>
  <w:style w:type="table" w:styleId="a6">
    <w:name w:val="Table Grid"/>
    <w:basedOn w:val="a1"/>
    <w:rsid w:val="009E1A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qFormat/>
    <w:rsid w:val="009E1A8D"/>
    <w:rPr>
      <w:sz w:val="21"/>
      <w:szCs w:val="21"/>
    </w:rPr>
  </w:style>
  <w:style w:type="character" w:customStyle="1" w:styleId="Char0">
    <w:name w:val="批注框文本 Char"/>
    <w:basedOn w:val="a0"/>
    <w:link w:val="a4"/>
    <w:qFormat/>
    <w:rsid w:val="009E1A8D"/>
    <w:rPr>
      <w:rFonts w:ascii="等线" w:eastAsia="等线" w:hAnsi="等线"/>
      <w:kern w:val="2"/>
      <w:sz w:val="18"/>
      <w:szCs w:val="18"/>
    </w:rPr>
  </w:style>
  <w:style w:type="character" w:customStyle="1" w:styleId="Char">
    <w:name w:val="批注文字 Char"/>
    <w:basedOn w:val="a0"/>
    <w:link w:val="a3"/>
    <w:rsid w:val="009E1A8D"/>
    <w:rPr>
      <w:rFonts w:ascii="等线" w:eastAsia="等线" w:hAnsi="等线"/>
      <w:kern w:val="2"/>
      <w:sz w:val="21"/>
      <w:szCs w:val="22"/>
    </w:rPr>
  </w:style>
  <w:style w:type="character" w:customStyle="1" w:styleId="Char1">
    <w:name w:val="批注主题 Char"/>
    <w:basedOn w:val="Char"/>
    <w:link w:val="a5"/>
    <w:rsid w:val="009E1A8D"/>
    <w:rPr>
      <w:rFonts w:ascii="等线" w:eastAsia="等线" w:hAnsi="等线"/>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1874</Characters>
  <Application>Microsoft Office Word</Application>
  <DocSecurity>4</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曾雯歆</dc:creator>
  <cp:lastModifiedBy>ZHONGM</cp:lastModifiedBy>
  <cp:revision>2</cp:revision>
  <dcterms:created xsi:type="dcterms:W3CDTF">2025-04-03T16:02:00Z</dcterms:created>
  <dcterms:modified xsi:type="dcterms:W3CDTF">2025-04-03T16:02:00Z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5AACC220BFF04FF89F3786218761D9CB</vt:lpwstr>
  </property>
</Properties>
</file>